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7B060D" w:rsidRPr="0019380D" w14:paraId="1411E7E8" w14:textId="77777777" w:rsidTr="00F10082">
        <w:trPr>
          <w:trHeight w:val="1977"/>
        </w:trPr>
        <w:tc>
          <w:tcPr>
            <w:tcW w:w="4594" w:type="dxa"/>
            <w:tcBorders>
              <w:bottom w:val="single" w:sz="4" w:space="0" w:color="auto"/>
            </w:tcBorders>
            <w:tcMar>
              <w:bottom w:w="170" w:type="dxa"/>
            </w:tcMar>
          </w:tcPr>
          <w:p w14:paraId="113D77F4" w14:textId="77777777" w:rsidR="007B060D" w:rsidRPr="0019380D" w:rsidRDefault="007B060D" w:rsidP="00F10082">
            <w:pPr>
              <w:jc w:val="both"/>
            </w:pPr>
            <w:r w:rsidRPr="0019380D">
              <w:rPr>
                <w:noProof/>
                <w:lang w:val="de-DE" w:eastAsia="de-DE"/>
              </w:rPr>
              <w:drawing>
                <wp:anchor distT="0" distB="0" distL="114300" distR="114300" simplePos="0" relativeHeight="251659264" behindDoc="1" locked="0" layoutInCell="0" allowOverlap="1" wp14:anchorId="6DDE66F6" wp14:editId="0820E4E8">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7E2F9631" w14:textId="77777777" w:rsidR="007B060D" w:rsidRPr="0019380D" w:rsidRDefault="007B060D" w:rsidP="00F10082"/>
        </w:tc>
        <w:tc>
          <w:tcPr>
            <w:tcW w:w="425" w:type="dxa"/>
            <w:tcBorders>
              <w:bottom w:val="single" w:sz="4" w:space="0" w:color="auto"/>
            </w:tcBorders>
            <w:tcMar>
              <w:left w:w="0" w:type="dxa"/>
              <w:right w:w="0" w:type="dxa"/>
            </w:tcMar>
          </w:tcPr>
          <w:p w14:paraId="02A1CBBE" w14:textId="77777777" w:rsidR="007B060D" w:rsidRPr="0019380D" w:rsidRDefault="007B060D" w:rsidP="00F10082">
            <w:pPr>
              <w:jc w:val="right"/>
            </w:pPr>
            <w:r w:rsidRPr="0019380D">
              <w:rPr>
                <w:b/>
                <w:sz w:val="40"/>
                <w:szCs w:val="40"/>
              </w:rPr>
              <w:t>C</w:t>
            </w:r>
          </w:p>
        </w:tc>
      </w:tr>
      <w:tr w:rsidR="007B060D" w:rsidRPr="0019380D" w14:paraId="5A1030A0" w14:textId="77777777" w:rsidTr="00F10082">
        <w:trPr>
          <w:trHeight w:hRule="exact" w:val="340"/>
        </w:trPr>
        <w:tc>
          <w:tcPr>
            <w:tcW w:w="9356" w:type="dxa"/>
            <w:gridSpan w:val="3"/>
            <w:tcBorders>
              <w:top w:val="single" w:sz="4" w:space="0" w:color="auto"/>
            </w:tcBorders>
            <w:tcMar>
              <w:top w:w="170" w:type="dxa"/>
              <w:left w:w="0" w:type="dxa"/>
              <w:right w:w="0" w:type="dxa"/>
            </w:tcMar>
            <w:vAlign w:val="bottom"/>
          </w:tcPr>
          <w:p w14:paraId="0DFA6563" w14:textId="52B5CB50" w:rsidR="007B060D" w:rsidRPr="0019380D" w:rsidRDefault="007B060D" w:rsidP="007B060D">
            <w:pPr>
              <w:jc w:val="right"/>
              <w:rPr>
                <w:rFonts w:ascii="Arial Black" w:hAnsi="Arial Black"/>
                <w:caps/>
                <w:sz w:val="15"/>
              </w:rPr>
            </w:pPr>
            <w:r w:rsidRPr="0019380D">
              <w:rPr>
                <w:rFonts w:ascii="Arial Black" w:hAnsi="Arial Black" w:hint="eastAsia"/>
                <w:caps/>
                <w:sz w:val="15"/>
              </w:rPr>
              <w:t>cws/</w:t>
            </w:r>
            <w:r w:rsidRPr="0019380D">
              <w:rPr>
                <w:rFonts w:ascii="Arial Black" w:hAnsi="Arial Black"/>
                <w:caps/>
                <w:sz w:val="15"/>
              </w:rPr>
              <w:t>7</w:t>
            </w:r>
            <w:r w:rsidRPr="0019380D">
              <w:rPr>
                <w:rFonts w:ascii="Arial Black" w:hAnsi="Arial Black" w:hint="eastAsia"/>
                <w:caps/>
                <w:sz w:val="15"/>
              </w:rPr>
              <w:t>/</w:t>
            </w:r>
            <w:bookmarkStart w:id="0" w:name="Code"/>
            <w:bookmarkEnd w:id="0"/>
            <w:r>
              <w:rPr>
                <w:rFonts w:ascii="Arial Black" w:hAnsi="Arial Black"/>
                <w:caps/>
                <w:sz w:val="15"/>
              </w:rPr>
              <w:t>12</w:t>
            </w:r>
          </w:p>
        </w:tc>
      </w:tr>
      <w:tr w:rsidR="007B060D" w:rsidRPr="0019380D" w14:paraId="68FEACEB" w14:textId="77777777" w:rsidTr="00F10082">
        <w:trPr>
          <w:trHeight w:hRule="exact" w:val="170"/>
        </w:trPr>
        <w:tc>
          <w:tcPr>
            <w:tcW w:w="9356" w:type="dxa"/>
            <w:gridSpan w:val="3"/>
            <w:noWrap/>
            <w:tcMar>
              <w:left w:w="0" w:type="dxa"/>
              <w:right w:w="0" w:type="dxa"/>
            </w:tcMar>
            <w:vAlign w:val="bottom"/>
          </w:tcPr>
          <w:p w14:paraId="3A2643AA" w14:textId="77777777" w:rsidR="007B060D" w:rsidRPr="0019380D" w:rsidRDefault="007B060D" w:rsidP="00F10082">
            <w:pPr>
              <w:jc w:val="right"/>
              <w:rPr>
                <w:rFonts w:ascii="Arial Black" w:hAnsi="Arial Black"/>
                <w:b/>
                <w:caps/>
                <w:sz w:val="15"/>
                <w:szCs w:val="15"/>
              </w:rPr>
            </w:pPr>
            <w:r w:rsidRPr="0019380D">
              <w:rPr>
                <w:rFonts w:eastAsia="SimHei" w:hint="eastAsia"/>
                <w:b/>
                <w:sz w:val="15"/>
                <w:szCs w:val="15"/>
              </w:rPr>
              <w:t>原</w:t>
            </w:r>
            <w:r w:rsidRPr="0019380D">
              <w:rPr>
                <w:rFonts w:eastAsia="SimHei"/>
                <w:b/>
                <w:sz w:val="15"/>
                <w:szCs w:val="15"/>
                <w:lang w:val="pt-BR"/>
              </w:rPr>
              <w:t xml:space="preserve"> </w:t>
            </w:r>
            <w:r w:rsidRPr="0019380D">
              <w:rPr>
                <w:rFonts w:eastAsia="SimHei" w:hint="eastAsia"/>
                <w:b/>
                <w:sz w:val="15"/>
                <w:szCs w:val="15"/>
              </w:rPr>
              <w:t>文</w:t>
            </w:r>
            <w:r w:rsidRPr="0019380D">
              <w:rPr>
                <w:rFonts w:eastAsia="SimHei" w:hint="eastAsia"/>
                <w:b/>
                <w:sz w:val="15"/>
                <w:szCs w:val="15"/>
                <w:lang w:val="pt-BR"/>
              </w:rPr>
              <w:t>：</w:t>
            </w:r>
            <w:bookmarkStart w:id="1" w:name="Original"/>
            <w:bookmarkEnd w:id="1"/>
            <w:r w:rsidRPr="0019380D">
              <w:rPr>
                <w:rFonts w:eastAsia="SimHei" w:hint="eastAsia"/>
                <w:b/>
                <w:sz w:val="15"/>
                <w:szCs w:val="15"/>
                <w:lang w:val="pt-BR"/>
              </w:rPr>
              <w:t>英</w:t>
            </w:r>
            <w:r w:rsidRPr="0019380D">
              <w:rPr>
                <w:rFonts w:eastAsia="SimHei" w:hint="eastAsia"/>
                <w:b/>
                <w:sz w:val="15"/>
                <w:szCs w:val="15"/>
              </w:rPr>
              <w:t>文</w:t>
            </w:r>
          </w:p>
        </w:tc>
      </w:tr>
      <w:tr w:rsidR="007B060D" w:rsidRPr="0019380D" w14:paraId="6969469C" w14:textId="77777777" w:rsidTr="00F10082">
        <w:trPr>
          <w:trHeight w:hRule="exact" w:val="198"/>
        </w:trPr>
        <w:tc>
          <w:tcPr>
            <w:tcW w:w="9356" w:type="dxa"/>
            <w:gridSpan w:val="3"/>
            <w:tcMar>
              <w:left w:w="0" w:type="dxa"/>
              <w:right w:w="0" w:type="dxa"/>
            </w:tcMar>
            <w:vAlign w:val="bottom"/>
          </w:tcPr>
          <w:p w14:paraId="0D3C9D40" w14:textId="55D88013" w:rsidR="007B060D" w:rsidRPr="0019380D" w:rsidRDefault="007B060D" w:rsidP="007B060D">
            <w:pPr>
              <w:jc w:val="right"/>
              <w:rPr>
                <w:rFonts w:ascii="SimHei" w:eastAsia="SimHei" w:hAnsi="Arial Black"/>
                <w:b/>
                <w:caps/>
                <w:sz w:val="15"/>
                <w:szCs w:val="15"/>
              </w:rPr>
            </w:pPr>
            <w:r w:rsidRPr="0019380D">
              <w:rPr>
                <w:rFonts w:ascii="SimHei" w:eastAsia="SimHei" w:hint="eastAsia"/>
                <w:b/>
                <w:sz w:val="15"/>
                <w:szCs w:val="15"/>
              </w:rPr>
              <w:t>日</w:t>
            </w:r>
            <w:r w:rsidRPr="0019380D">
              <w:rPr>
                <w:rFonts w:ascii="SimHei" w:eastAsia="SimHei" w:hint="eastAsia"/>
                <w:b/>
                <w:sz w:val="15"/>
                <w:szCs w:val="15"/>
                <w:lang w:val="pt-BR"/>
              </w:rPr>
              <w:t xml:space="preserve"> </w:t>
            </w:r>
            <w:r w:rsidRPr="0019380D">
              <w:rPr>
                <w:rFonts w:ascii="SimHei" w:eastAsia="SimHei" w:hint="eastAsia"/>
                <w:b/>
                <w:sz w:val="15"/>
                <w:szCs w:val="15"/>
              </w:rPr>
              <w:t>期</w:t>
            </w:r>
            <w:r w:rsidRPr="0019380D">
              <w:rPr>
                <w:rFonts w:ascii="SimHei" w:eastAsia="SimHei" w:hAnsi="SimSun" w:hint="eastAsia"/>
                <w:b/>
                <w:sz w:val="15"/>
                <w:szCs w:val="15"/>
                <w:lang w:val="pt-BR"/>
              </w:rPr>
              <w:t>：</w:t>
            </w:r>
            <w:bookmarkStart w:id="2" w:name="Date"/>
            <w:bookmarkEnd w:id="2"/>
            <w:r w:rsidRPr="0019380D">
              <w:rPr>
                <w:rFonts w:ascii="Arial Black" w:eastAsia="SimHei" w:hAnsi="Arial Black"/>
                <w:sz w:val="15"/>
                <w:szCs w:val="15"/>
                <w:lang w:val="pt-BR"/>
              </w:rPr>
              <w:t>201</w:t>
            </w:r>
            <w:r w:rsidRPr="0019380D">
              <w:rPr>
                <w:rFonts w:ascii="Arial Black" w:eastAsia="SimHei" w:hAnsi="Arial Black" w:hint="eastAsia"/>
                <w:sz w:val="15"/>
                <w:szCs w:val="15"/>
                <w:lang w:val="pt-BR"/>
              </w:rPr>
              <w:t>9</w:t>
            </w:r>
            <w:r w:rsidRPr="0019380D">
              <w:rPr>
                <w:rFonts w:ascii="SimHei" w:eastAsia="SimHei" w:hAnsi="Times New Roman" w:hint="eastAsia"/>
                <w:b/>
                <w:sz w:val="15"/>
                <w:szCs w:val="15"/>
              </w:rPr>
              <w:t>年</w:t>
            </w:r>
            <w:r w:rsidRPr="0019380D">
              <w:rPr>
                <w:rFonts w:ascii="Arial Black" w:eastAsia="SimHei" w:hAnsi="Arial Black" w:hint="eastAsia"/>
                <w:sz w:val="15"/>
                <w:szCs w:val="15"/>
                <w:lang w:val="pt-BR"/>
              </w:rPr>
              <w:t>6</w:t>
            </w:r>
            <w:r w:rsidRPr="0019380D">
              <w:rPr>
                <w:rFonts w:ascii="SimHei" w:eastAsia="SimHei" w:hAnsi="Times New Roman" w:hint="eastAsia"/>
                <w:b/>
                <w:sz w:val="15"/>
                <w:szCs w:val="15"/>
              </w:rPr>
              <w:t>月</w:t>
            </w:r>
            <w:r>
              <w:rPr>
                <w:rFonts w:ascii="Arial Black" w:eastAsia="SimHei" w:hAnsi="Arial Black" w:hint="eastAsia"/>
                <w:sz w:val="15"/>
                <w:szCs w:val="15"/>
              </w:rPr>
              <w:t>1</w:t>
            </w:r>
            <w:r>
              <w:rPr>
                <w:rFonts w:ascii="Arial Black" w:eastAsia="SimHei" w:hAnsi="Arial Black"/>
                <w:sz w:val="15"/>
                <w:szCs w:val="15"/>
              </w:rPr>
              <w:t>2</w:t>
            </w:r>
            <w:r w:rsidRPr="0019380D">
              <w:rPr>
                <w:rFonts w:ascii="SimHei" w:eastAsia="SimHei" w:hAnsi="Times New Roman" w:hint="eastAsia"/>
                <w:b/>
                <w:sz w:val="15"/>
                <w:szCs w:val="15"/>
              </w:rPr>
              <w:t>日</w:t>
            </w:r>
            <w:r w:rsidRPr="0019380D">
              <w:rPr>
                <w:rFonts w:ascii="SimHei" w:eastAsia="SimHei" w:hAnsi="Arial Black" w:hint="eastAsia"/>
                <w:b/>
                <w:caps/>
                <w:sz w:val="15"/>
                <w:szCs w:val="15"/>
              </w:rPr>
              <w:t xml:space="preserve">  </w:t>
            </w:r>
          </w:p>
        </w:tc>
      </w:tr>
    </w:tbl>
    <w:p w14:paraId="06C6CEE1" w14:textId="77777777" w:rsidR="007B060D" w:rsidRPr="0019380D" w:rsidRDefault="007B060D" w:rsidP="007B060D"/>
    <w:p w14:paraId="13FB390D" w14:textId="77777777" w:rsidR="007B060D" w:rsidRPr="0019380D" w:rsidRDefault="007B060D" w:rsidP="007B060D"/>
    <w:p w14:paraId="27C85AC0" w14:textId="77777777" w:rsidR="007B060D" w:rsidRPr="0019380D" w:rsidRDefault="007B060D" w:rsidP="007B060D"/>
    <w:p w14:paraId="4C4E45FA" w14:textId="77777777" w:rsidR="007B060D" w:rsidRPr="0019380D" w:rsidRDefault="007B060D" w:rsidP="007B060D"/>
    <w:p w14:paraId="71DF5392" w14:textId="77777777" w:rsidR="007B060D" w:rsidRPr="0019380D" w:rsidRDefault="007B060D" w:rsidP="007B060D"/>
    <w:p w14:paraId="1F95FA62" w14:textId="77777777" w:rsidR="007B060D" w:rsidRPr="0019380D" w:rsidRDefault="007B060D" w:rsidP="007B060D">
      <w:pPr>
        <w:rPr>
          <w:rFonts w:ascii="SimHei" w:eastAsia="SimHei"/>
          <w:sz w:val="28"/>
          <w:szCs w:val="28"/>
        </w:rPr>
      </w:pPr>
      <w:r w:rsidRPr="0019380D">
        <w:rPr>
          <w:rFonts w:ascii="SimHei" w:eastAsia="SimHei" w:hint="eastAsia"/>
          <w:sz w:val="28"/>
          <w:szCs w:val="28"/>
        </w:rPr>
        <w:t>世界知识产权组织标准委员会（CWS）</w:t>
      </w:r>
    </w:p>
    <w:p w14:paraId="57B33C45" w14:textId="77777777" w:rsidR="007B060D" w:rsidRPr="0019380D" w:rsidRDefault="007B060D" w:rsidP="007B060D"/>
    <w:p w14:paraId="121C0586" w14:textId="77777777" w:rsidR="007B060D" w:rsidRPr="0019380D" w:rsidRDefault="007B060D" w:rsidP="007B060D"/>
    <w:p w14:paraId="580CB314" w14:textId="77777777" w:rsidR="007B060D" w:rsidRPr="0019380D" w:rsidRDefault="007B060D" w:rsidP="007B060D">
      <w:pPr>
        <w:textAlignment w:val="bottom"/>
        <w:rPr>
          <w:rFonts w:ascii="KaiTi" w:eastAsia="KaiTi"/>
          <w:b/>
          <w:sz w:val="24"/>
          <w:szCs w:val="24"/>
        </w:rPr>
      </w:pPr>
      <w:r w:rsidRPr="0019380D">
        <w:rPr>
          <w:rFonts w:ascii="KaiTi" w:eastAsia="KaiTi" w:hint="eastAsia"/>
          <w:b/>
          <w:sz w:val="24"/>
          <w:szCs w:val="24"/>
        </w:rPr>
        <w:t>第七届会议</w:t>
      </w:r>
    </w:p>
    <w:p w14:paraId="7A3EF874" w14:textId="77777777" w:rsidR="007B060D" w:rsidRPr="0019380D" w:rsidRDefault="007B060D" w:rsidP="007B060D">
      <w:pPr>
        <w:textAlignment w:val="bottom"/>
        <w:rPr>
          <w:rFonts w:ascii="KaiTi" w:eastAsia="KaiTi" w:hAnsi="KaiTi"/>
          <w:b/>
          <w:sz w:val="24"/>
          <w:szCs w:val="24"/>
        </w:rPr>
      </w:pPr>
      <w:r w:rsidRPr="0019380D">
        <w:rPr>
          <w:rFonts w:ascii="KaiTi" w:eastAsia="KaiTi" w:hAnsi="KaiTi" w:hint="eastAsia"/>
          <w:sz w:val="24"/>
          <w:szCs w:val="24"/>
        </w:rPr>
        <w:t>2019</w:t>
      </w:r>
      <w:r w:rsidRPr="0019380D">
        <w:rPr>
          <w:rFonts w:ascii="KaiTi" w:eastAsia="KaiTi" w:hAnsi="KaiTi" w:hint="eastAsia"/>
          <w:b/>
          <w:sz w:val="24"/>
          <w:szCs w:val="24"/>
        </w:rPr>
        <w:t>年</w:t>
      </w:r>
      <w:r w:rsidRPr="0019380D">
        <w:rPr>
          <w:rFonts w:ascii="KaiTi" w:eastAsia="KaiTi" w:hAnsi="KaiTi" w:hint="eastAsia"/>
          <w:sz w:val="24"/>
          <w:szCs w:val="24"/>
        </w:rPr>
        <w:t>7</w:t>
      </w:r>
      <w:r w:rsidRPr="0019380D">
        <w:rPr>
          <w:rFonts w:ascii="KaiTi" w:eastAsia="KaiTi" w:hAnsi="KaiTi" w:hint="eastAsia"/>
          <w:b/>
          <w:sz w:val="24"/>
          <w:szCs w:val="24"/>
        </w:rPr>
        <w:t>月</w:t>
      </w:r>
      <w:r w:rsidRPr="0019380D">
        <w:rPr>
          <w:rFonts w:ascii="KaiTi" w:eastAsia="KaiTi" w:hAnsi="KaiTi" w:hint="eastAsia"/>
          <w:sz w:val="24"/>
          <w:szCs w:val="24"/>
        </w:rPr>
        <w:t>1</w:t>
      </w:r>
      <w:r w:rsidRPr="0019380D">
        <w:rPr>
          <w:rFonts w:ascii="KaiTi" w:eastAsia="KaiTi" w:hAnsi="KaiTi" w:hint="eastAsia"/>
          <w:b/>
          <w:sz w:val="24"/>
          <w:szCs w:val="24"/>
        </w:rPr>
        <w:t>日至</w:t>
      </w:r>
      <w:r w:rsidRPr="0019380D">
        <w:rPr>
          <w:rFonts w:ascii="KaiTi" w:eastAsia="KaiTi" w:hAnsi="KaiTi" w:hint="eastAsia"/>
          <w:sz w:val="24"/>
          <w:szCs w:val="24"/>
        </w:rPr>
        <w:t>5</w:t>
      </w:r>
      <w:r w:rsidRPr="0019380D">
        <w:rPr>
          <w:rFonts w:ascii="KaiTi" w:eastAsia="KaiTi" w:hAnsi="KaiTi" w:hint="eastAsia"/>
          <w:b/>
          <w:sz w:val="24"/>
          <w:szCs w:val="24"/>
        </w:rPr>
        <w:t>日，日内瓦</w:t>
      </w:r>
    </w:p>
    <w:p w14:paraId="5CCE7373" w14:textId="77777777" w:rsidR="007B060D" w:rsidRPr="0019380D" w:rsidRDefault="007B060D" w:rsidP="007B060D"/>
    <w:p w14:paraId="772FDF9C" w14:textId="77777777" w:rsidR="007B060D" w:rsidRPr="0019380D" w:rsidRDefault="007B060D" w:rsidP="007B060D"/>
    <w:p w14:paraId="02A265E7" w14:textId="77777777" w:rsidR="007B060D" w:rsidRPr="0019380D" w:rsidRDefault="007B060D" w:rsidP="007B060D"/>
    <w:p w14:paraId="2B2BF6B5" w14:textId="36468158" w:rsidR="007B060D" w:rsidRPr="0019380D" w:rsidRDefault="007B060D" w:rsidP="007B060D">
      <w:pPr>
        <w:rPr>
          <w:rFonts w:ascii="KaiTi" w:eastAsia="KaiTi" w:hAnsi="KaiTi" w:cs="Times New Roman"/>
          <w:kern w:val="2"/>
          <w:sz w:val="24"/>
          <w:szCs w:val="32"/>
        </w:rPr>
      </w:pPr>
      <w:bookmarkStart w:id="3" w:name="TitleOfDoc"/>
      <w:bookmarkStart w:id="4" w:name="_GoBack"/>
      <w:bookmarkEnd w:id="3"/>
      <w:r w:rsidRPr="007B060D">
        <w:rPr>
          <w:rFonts w:ascii="KaiTi" w:eastAsia="KaiTi" w:hAnsi="KaiTi" w:cs="Times New Roman" w:hint="eastAsia"/>
          <w:kern w:val="2"/>
          <w:sz w:val="24"/>
          <w:szCs w:val="32"/>
        </w:rPr>
        <w:t>修订产权组织标准ST.27</w:t>
      </w:r>
    </w:p>
    <w:bookmarkEnd w:id="4"/>
    <w:p w14:paraId="50A4428A" w14:textId="77777777" w:rsidR="007B060D" w:rsidRPr="0019380D" w:rsidRDefault="007B060D" w:rsidP="007B060D"/>
    <w:p w14:paraId="48998F3C" w14:textId="77777777" w:rsidR="007B060D" w:rsidRPr="0019380D" w:rsidRDefault="007B060D" w:rsidP="007B060D">
      <w:pPr>
        <w:rPr>
          <w:rFonts w:ascii="KaiTi" w:eastAsia="KaiTi" w:hAnsi="STKaiti" w:cs="Times New Roman"/>
          <w:kern w:val="2"/>
          <w:sz w:val="21"/>
          <w:szCs w:val="24"/>
        </w:rPr>
      </w:pPr>
      <w:bookmarkStart w:id="5" w:name="Prepared"/>
      <w:bookmarkEnd w:id="5"/>
      <w:r w:rsidRPr="0019380D">
        <w:rPr>
          <w:rFonts w:ascii="KaiTi" w:eastAsia="KaiTi" w:hAnsi="STKaiti" w:cs="Times New Roman" w:hint="eastAsia"/>
          <w:kern w:val="2"/>
          <w:sz w:val="21"/>
          <w:szCs w:val="24"/>
        </w:rPr>
        <w:t>国际局编拟的文件</w:t>
      </w:r>
    </w:p>
    <w:p w14:paraId="4618C83D" w14:textId="77777777" w:rsidR="007B060D" w:rsidRPr="0019380D" w:rsidRDefault="007B060D" w:rsidP="007B060D"/>
    <w:p w14:paraId="3FC6A507" w14:textId="77777777" w:rsidR="007B060D" w:rsidRPr="0019380D" w:rsidRDefault="007B060D" w:rsidP="007B060D"/>
    <w:p w14:paraId="42B5C15A" w14:textId="77777777" w:rsidR="007B060D" w:rsidRPr="0019380D" w:rsidRDefault="007B060D" w:rsidP="007B060D"/>
    <w:p w14:paraId="51C7824B" w14:textId="77777777" w:rsidR="007B060D" w:rsidRPr="0019380D" w:rsidRDefault="007B060D" w:rsidP="007B060D"/>
    <w:p w14:paraId="2D132C93" w14:textId="04A9A2DC" w:rsidR="00FC7AE8" w:rsidRPr="00721434" w:rsidRDefault="002B5DD0" w:rsidP="00721434">
      <w:pPr>
        <w:pStyle w:val="Heading2"/>
        <w:spacing w:beforeLines="100" w:afterLines="50" w:after="120" w:line="340" w:lineRule="atLeast"/>
        <w:rPr>
          <w:rFonts w:ascii="SimHei" w:eastAsia="SimHei" w:hAnsi="SimHei"/>
          <w:caps w:val="0"/>
          <w:sz w:val="21"/>
        </w:rPr>
      </w:pPr>
      <w:r w:rsidRPr="00721434">
        <w:rPr>
          <w:rFonts w:ascii="SimHei" w:eastAsia="SimHei" w:hAnsi="SimHei" w:hint="eastAsia"/>
          <w:caps w:val="0"/>
          <w:sz w:val="21"/>
        </w:rPr>
        <w:t>导</w:t>
      </w:r>
      <w:r w:rsidR="007F04C2">
        <w:rPr>
          <w:rFonts w:ascii="SimHei" w:eastAsia="SimHei" w:hAnsi="SimHei" w:hint="eastAsia"/>
          <w:caps w:val="0"/>
          <w:sz w:val="21"/>
        </w:rPr>
        <w:t xml:space="preserve">　</w:t>
      </w:r>
      <w:r w:rsidRPr="00721434">
        <w:rPr>
          <w:rFonts w:ascii="SimHei" w:eastAsia="SimHei" w:hAnsi="SimHei" w:hint="eastAsia"/>
          <w:caps w:val="0"/>
          <w:sz w:val="21"/>
        </w:rPr>
        <w:t>言</w:t>
      </w:r>
    </w:p>
    <w:p w14:paraId="26556948" w14:textId="32B2502D" w:rsidR="00D05455" w:rsidRPr="00F32937" w:rsidRDefault="00C54011"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产权组织标准委员会在2018年举行的第六届会议上批准了修订</w:t>
      </w:r>
      <w:r w:rsidR="00075978" w:rsidRPr="00F32937">
        <w:rPr>
          <w:rFonts w:ascii="SimSun" w:hAnsi="SimSun" w:hint="eastAsia"/>
          <w:sz w:val="21"/>
          <w:szCs w:val="21"/>
        </w:rPr>
        <w:t>后的</w:t>
      </w:r>
      <w:r w:rsidRPr="00F32937">
        <w:rPr>
          <w:rFonts w:ascii="SimSun" w:hAnsi="SimSun" w:hint="eastAsia"/>
          <w:sz w:val="21"/>
          <w:szCs w:val="21"/>
        </w:rPr>
        <w:t>产权组织标准ST.27</w:t>
      </w:r>
      <w:r w:rsidR="001622C2" w:rsidRPr="00F32937">
        <w:rPr>
          <w:rFonts w:ascii="SimSun" w:hAnsi="SimSun" w:hint="eastAsia"/>
          <w:sz w:val="21"/>
          <w:szCs w:val="21"/>
        </w:rPr>
        <w:t>（</w:t>
      </w:r>
      <w:r w:rsidRPr="00F32937">
        <w:rPr>
          <w:rFonts w:ascii="SimSun" w:hAnsi="SimSun" w:hint="eastAsia"/>
          <w:sz w:val="21"/>
          <w:szCs w:val="21"/>
        </w:rPr>
        <w:t>1.1版</w:t>
      </w:r>
      <w:r w:rsidR="001622C2" w:rsidRPr="00F32937">
        <w:rPr>
          <w:rFonts w:ascii="SimSun" w:hAnsi="SimSun" w:hint="eastAsia"/>
          <w:sz w:val="21"/>
          <w:szCs w:val="21"/>
        </w:rPr>
        <w:t>）</w:t>
      </w:r>
      <w:r w:rsidRPr="00F32937">
        <w:rPr>
          <w:rFonts w:ascii="SimSun" w:hAnsi="SimSun" w:hint="eastAsia"/>
          <w:sz w:val="21"/>
          <w:szCs w:val="21"/>
        </w:rPr>
        <w:t>，并通过了</w:t>
      </w:r>
      <w:r w:rsidR="002C5355" w:rsidRPr="00F32937">
        <w:rPr>
          <w:rFonts w:ascii="SimSun" w:hAnsi="SimSun" w:hint="eastAsia"/>
          <w:sz w:val="21"/>
          <w:szCs w:val="21"/>
        </w:rPr>
        <w:t>暂定</w:t>
      </w:r>
      <w:r w:rsidR="00E47E3C" w:rsidRPr="00F32937">
        <w:rPr>
          <w:rFonts w:ascii="SimSun" w:hAnsi="SimSun" w:hint="eastAsia"/>
          <w:sz w:val="21"/>
          <w:szCs w:val="21"/>
        </w:rPr>
        <w:t>的新</w:t>
      </w:r>
      <w:r w:rsidRPr="00F32937">
        <w:rPr>
          <w:rFonts w:ascii="SimSun" w:hAnsi="SimSun"/>
          <w:sz w:val="21"/>
          <w:szCs w:val="21"/>
        </w:rPr>
        <w:t>ST.27</w:t>
      </w:r>
      <w:r w:rsidRPr="00F32937">
        <w:rPr>
          <w:rFonts w:ascii="SimSun" w:hAnsi="SimSun" w:hint="eastAsia"/>
          <w:sz w:val="21"/>
          <w:szCs w:val="21"/>
        </w:rPr>
        <w:t>附件五“指导文件”</w:t>
      </w:r>
      <w:r w:rsidR="0096624E" w:rsidRPr="00F32937">
        <w:rPr>
          <w:rFonts w:ascii="SimSun" w:hAnsi="SimSun" w:hint="eastAsia"/>
          <w:sz w:val="21"/>
          <w:szCs w:val="21"/>
        </w:rPr>
        <w:t>。</w:t>
      </w:r>
      <w:r w:rsidR="00416E00" w:rsidRPr="00F32937">
        <w:rPr>
          <w:rFonts w:ascii="SimSun" w:hAnsi="SimSun" w:hint="eastAsia"/>
          <w:sz w:val="21"/>
          <w:szCs w:val="21"/>
        </w:rPr>
        <w:t>所</w:t>
      </w:r>
      <w:r w:rsidR="00CD0461">
        <w:rPr>
          <w:rFonts w:ascii="SimSun" w:hAnsi="SimSun" w:hint="eastAsia"/>
          <w:sz w:val="21"/>
          <w:szCs w:val="21"/>
        </w:rPr>
        <w:t>作</w:t>
      </w:r>
      <w:r w:rsidR="00B9103D">
        <w:rPr>
          <w:rFonts w:ascii="SimSun" w:hAnsi="SimSun" w:hint="eastAsia"/>
          <w:sz w:val="21"/>
          <w:szCs w:val="21"/>
        </w:rPr>
        <w:t>更改</w:t>
      </w:r>
      <w:r w:rsidR="00416E00" w:rsidRPr="00F32937">
        <w:rPr>
          <w:rFonts w:ascii="SimSun" w:hAnsi="SimSun" w:hint="eastAsia"/>
          <w:sz w:val="21"/>
          <w:szCs w:val="21"/>
        </w:rPr>
        <w:t>包括对</w:t>
      </w:r>
      <w:r w:rsidR="002C5355" w:rsidRPr="00F32937">
        <w:rPr>
          <w:rFonts w:ascii="SimSun" w:hAnsi="SimSun" w:hint="eastAsia"/>
          <w:sz w:val="21"/>
          <w:szCs w:val="21"/>
        </w:rPr>
        <w:t>支付</w:t>
      </w:r>
      <w:r w:rsidR="00416E00" w:rsidRPr="00F32937">
        <w:rPr>
          <w:rFonts w:ascii="SimSun" w:hAnsi="SimSun" w:hint="eastAsia"/>
          <w:sz w:val="21"/>
          <w:szCs w:val="21"/>
        </w:rPr>
        <w:t>维持费事件的修改和对变更名称和转让所有权事件说明的完善。若干</w:t>
      </w:r>
      <w:r w:rsidR="00864E36">
        <w:rPr>
          <w:rFonts w:ascii="SimSun" w:hAnsi="SimSun" w:hint="eastAsia"/>
          <w:sz w:val="21"/>
          <w:szCs w:val="21"/>
        </w:rPr>
        <w:t>其他提案</w:t>
      </w:r>
      <w:r w:rsidR="00416E00" w:rsidRPr="00F32937">
        <w:rPr>
          <w:rFonts w:ascii="SimSun" w:hAnsi="SimSun" w:hint="eastAsia"/>
          <w:sz w:val="21"/>
          <w:szCs w:val="21"/>
        </w:rPr>
        <w:t>移交法律状态工作队作进一步审议（见文件CWS/6/34第73至86段）。</w:t>
      </w:r>
    </w:p>
    <w:p w14:paraId="53A1C09E" w14:textId="4EC957CB" w:rsidR="001C4A9D" w:rsidRPr="00F32937" w:rsidRDefault="00B469AE"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委员会</w:t>
      </w:r>
      <w:r w:rsidR="00A203D1" w:rsidRPr="00F32937">
        <w:rPr>
          <w:rFonts w:ascii="SimSun" w:hAnsi="SimSun" w:hint="eastAsia"/>
          <w:sz w:val="21"/>
          <w:szCs w:val="21"/>
        </w:rPr>
        <w:t>在第六届会议上还修订了第47号任务的说明，具体如下：“编写详细事件的最终提案和关于专利法律状态数据指导文件的最终提案；编写关于工业品外观设计法律状态数据指导文件的最终提案；编写工业产权局交换商标法律状态数据的建议”（见文件 CWS/6/34第 73段）。</w:t>
      </w:r>
    </w:p>
    <w:p w14:paraId="3A3F613B" w14:textId="54CBAA2D" w:rsidR="00FC7AE8" w:rsidRPr="00F32937" w:rsidRDefault="002531A0" w:rsidP="00F32937">
      <w:pPr>
        <w:pStyle w:val="Heading2"/>
        <w:spacing w:beforeLines="100" w:afterLines="50" w:after="120" w:line="340" w:lineRule="atLeast"/>
        <w:rPr>
          <w:rFonts w:ascii="SimHei" w:eastAsia="SimHei" w:hAnsi="SimHei"/>
          <w:caps w:val="0"/>
          <w:sz w:val="21"/>
        </w:rPr>
      </w:pPr>
      <w:r w:rsidRPr="00F32937">
        <w:rPr>
          <w:rFonts w:ascii="SimHei" w:eastAsia="SimHei" w:hAnsi="SimHei" w:hint="eastAsia"/>
          <w:caps w:val="0"/>
          <w:sz w:val="21"/>
        </w:rPr>
        <w:t>拟对标准 ST.27</w:t>
      </w:r>
      <w:r w:rsidR="00F32937" w:rsidRPr="00F32937">
        <w:rPr>
          <w:rFonts w:ascii="SimHei" w:eastAsia="SimHei" w:hAnsi="SimHei" w:hint="eastAsia"/>
          <w:caps w:val="0"/>
          <w:sz w:val="21"/>
        </w:rPr>
        <w:t>作</w:t>
      </w:r>
      <w:r w:rsidR="00E04960" w:rsidRPr="00F32937">
        <w:rPr>
          <w:rFonts w:ascii="SimHei" w:eastAsia="SimHei" w:hAnsi="SimHei" w:hint="eastAsia"/>
          <w:caps w:val="0"/>
          <w:sz w:val="21"/>
        </w:rPr>
        <w:t>出</w:t>
      </w:r>
      <w:r w:rsidRPr="00F32937">
        <w:rPr>
          <w:rFonts w:ascii="SimHei" w:eastAsia="SimHei" w:hAnsi="SimHei" w:hint="eastAsia"/>
          <w:caps w:val="0"/>
          <w:sz w:val="21"/>
        </w:rPr>
        <w:t>的修订</w:t>
      </w:r>
    </w:p>
    <w:p w14:paraId="2C81E309" w14:textId="139F3901" w:rsidR="00FC7AE8" w:rsidRPr="00F32937" w:rsidRDefault="002531A0"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法律状态工作队（LSTF）在第 47号任务的框架下，编</w:t>
      </w:r>
      <w:r w:rsidR="00CF2220" w:rsidRPr="00F32937">
        <w:rPr>
          <w:rFonts w:ascii="SimSun" w:hAnsi="SimSun" w:hint="eastAsia"/>
          <w:sz w:val="21"/>
          <w:szCs w:val="21"/>
        </w:rPr>
        <w:t>写</w:t>
      </w:r>
      <w:r w:rsidRPr="00F32937">
        <w:rPr>
          <w:rFonts w:ascii="SimSun" w:hAnsi="SimSun" w:hint="eastAsia"/>
          <w:sz w:val="21"/>
          <w:szCs w:val="21"/>
        </w:rPr>
        <w:t>了一份关于</w:t>
      </w:r>
      <w:r w:rsidR="006F5FCC" w:rsidRPr="00F32937">
        <w:rPr>
          <w:rFonts w:ascii="SimSun" w:hAnsi="SimSun" w:hint="eastAsia"/>
          <w:sz w:val="21"/>
          <w:szCs w:val="21"/>
        </w:rPr>
        <w:t>经</w:t>
      </w:r>
      <w:r w:rsidRPr="00F32937">
        <w:rPr>
          <w:rFonts w:ascii="SimSun" w:hAnsi="SimSun" w:hint="eastAsia"/>
          <w:sz w:val="21"/>
          <w:szCs w:val="21"/>
        </w:rPr>
        <w:t>修订的产权组织标准ST.27的提案，特别是更新了详细事件列表，并增加了</w:t>
      </w:r>
      <w:r w:rsidR="00950D74" w:rsidRPr="00F32937">
        <w:rPr>
          <w:rFonts w:ascii="SimSun" w:hAnsi="SimSun" w:hint="eastAsia"/>
          <w:sz w:val="21"/>
          <w:szCs w:val="21"/>
        </w:rPr>
        <w:t>一份载有常见情况案例的</w:t>
      </w:r>
      <w:r w:rsidRPr="00F32937">
        <w:rPr>
          <w:rFonts w:ascii="SimSun" w:hAnsi="SimSun" w:hint="eastAsia"/>
          <w:sz w:val="21"/>
          <w:szCs w:val="21"/>
        </w:rPr>
        <w:t>新附件。</w:t>
      </w:r>
      <w:r w:rsidR="00950D74" w:rsidRPr="00F32937">
        <w:rPr>
          <w:rFonts w:ascii="SimSun" w:hAnsi="SimSun" w:hint="eastAsia"/>
          <w:sz w:val="21"/>
          <w:szCs w:val="21"/>
        </w:rPr>
        <w:t>工作队还讨论了上文第1段中</w:t>
      </w:r>
      <w:r w:rsidR="006E1FBD" w:rsidRPr="00F32937">
        <w:rPr>
          <w:rFonts w:ascii="SimSun" w:hAnsi="SimSun" w:hint="eastAsia"/>
          <w:sz w:val="21"/>
          <w:szCs w:val="21"/>
        </w:rPr>
        <w:t>标准委员会</w:t>
      </w:r>
      <w:r w:rsidR="000E1879" w:rsidRPr="00F32937">
        <w:rPr>
          <w:rFonts w:ascii="SimSun" w:hAnsi="SimSun" w:hint="eastAsia"/>
          <w:sz w:val="21"/>
          <w:szCs w:val="21"/>
        </w:rPr>
        <w:t>向其</w:t>
      </w:r>
      <w:r w:rsidR="00864E36">
        <w:rPr>
          <w:rFonts w:ascii="SimSun" w:hAnsi="SimSun" w:hint="eastAsia"/>
          <w:sz w:val="21"/>
          <w:szCs w:val="21"/>
        </w:rPr>
        <w:t>移交</w:t>
      </w:r>
      <w:r w:rsidR="000E1879" w:rsidRPr="00F32937">
        <w:rPr>
          <w:rFonts w:ascii="SimSun" w:hAnsi="SimSun" w:hint="eastAsia"/>
          <w:sz w:val="21"/>
          <w:szCs w:val="21"/>
        </w:rPr>
        <w:t>的相关提案</w:t>
      </w:r>
      <w:r w:rsidR="00950D74" w:rsidRPr="00F32937">
        <w:rPr>
          <w:rFonts w:ascii="SimSun" w:hAnsi="SimSun" w:hint="eastAsia"/>
          <w:sz w:val="21"/>
          <w:szCs w:val="21"/>
        </w:rPr>
        <w:t>。</w:t>
      </w:r>
    </w:p>
    <w:p w14:paraId="62B1301B" w14:textId="7B8AD741" w:rsidR="00AD02A9" w:rsidRPr="00F32937" w:rsidRDefault="0071193E" w:rsidP="007F04C2">
      <w:pPr>
        <w:pStyle w:val="Heading2"/>
        <w:spacing w:beforeLines="100" w:afterLines="50" w:after="120" w:line="340" w:lineRule="atLeast"/>
        <w:rPr>
          <w:rFonts w:ascii="SimHei" w:eastAsia="SimHei" w:hAnsi="SimHei"/>
          <w:bCs w:val="0"/>
          <w:iCs w:val="0"/>
          <w:sz w:val="21"/>
        </w:rPr>
      </w:pPr>
      <w:r w:rsidRPr="00F32937">
        <w:rPr>
          <w:rFonts w:ascii="SimHei" w:eastAsia="SimHei" w:hAnsi="SimHei" w:hint="eastAsia"/>
          <w:sz w:val="21"/>
        </w:rPr>
        <w:t>对事件列表的</w:t>
      </w:r>
      <w:r w:rsidR="00084704" w:rsidRPr="00F32937">
        <w:rPr>
          <w:rFonts w:ascii="SimHei" w:eastAsia="SimHei" w:hAnsi="SimHei" w:hint="eastAsia"/>
          <w:sz w:val="21"/>
        </w:rPr>
        <w:t>更改</w:t>
      </w:r>
      <w:r w:rsidRPr="00F32937">
        <w:rPr>
          <w:rFonts w:ascii="SimHei" w:eastAsia="SimHei" w:hAnsi="SimHei" w:hint="eastAsia"/>
          <w:sz w:val="21"/>
        </w:rPr>
        <w:t>（产权组织标准ST.27</w:t>
      </w:r>
      <w:r w:rsidR="009825E7" w:rsidRPr="00F32937">
        <w:rPr>
          <w:rFonts w:ascii="SimHei" w:eastAsia="SimHei" w:hAnsi="SimHei" w:hint="eastAsia"/>
          <w:sz w:val="21"/>
        </w:rPr>
        <w:t>附件一</w:t>
      </w:r>
      <w:r w:rsidRPr="00F32937">
        <w:rPr>
          <w:rFonts w:ascii="SimHei" w:eastAsia="SimHei" w:hAnsi="SimHei" w:hint="eastAsia"/>
          <w:sz w:val="21"/>
        </w:rPr>
        <w:t>）</w:t>
      </w:r>
    </w:p>
    <w:p w14:paraId="3BBA443C" w14:textId="2C77A661" w:rsidR="000D08AE" w:rsidRPr="00F32937" w:rsidRDefault="006037CE"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针对关于</w:t>
      </w:r>
      <w:r w:rsidR="006F6D8F" w:rsidRPr="00F32937">
        <w:rPr>
          <w:rFonts w:ascii="SimSun" w:hAnsi="SimSun" w:hint="eastAsia"/>
          <w:sz w:val="21"/>
          <w:szCs w:val="21"/>
        </w:rPr>
        <w:t>“增补专利”</w:t>
      </w:r>
      <w:r w:rsidR="00243160" w:rsidRPr="00F32937">
        <w:rPr>
          <w:rFonts w:ascii="SimSun" w:hAnsi="SimSun" w:hint="eastAsia"/>
          <w:sz w:val="21"/>
          <w:szCs w:val="21"/>
        </w:rPr>
        <w:t>的</w:t>
      </w:r>
      <w:r w:rsidR="006F6D8F" w:rsidRPr="00F32937">
        <w:rPr>
          <w:rFonts w:ascii="SimSun" w:hAnsi="SimSun" w:hint="eastAsia"/>
          <w:sz w:val="21"/>
          <w:szCs w:val="21"/>
        </w:rPr>
        <w:t>新事件的</w:t>
      </w:r>
      <w:r w:rsidR="00243160" w:rsidRPr="00F32937">
        <w:rPr>
          <w:rFonts w:ascii="SimSun" w:hAnsi="SimSun" w:hint="eastAsia"/>
          <w:sz w:val="21"/>
          <w:szCs w:val="21"/>
        </w:rPr>
        <w:t>提</w:t>
      </w:r>
      <w:r w:rsidR="006F6D8F" w:rsidRPr="00F32937">
        <w:rPr>
          <w:rFonts w:ascii="SimSun" w:hAnsi="SimSun" w:hint="eastAsia"/>
          <w:sz w:val="21"/>
          <w:szCs w:val="21"/>
        </w:rPr>
        <w:t>议，工作队认为，现有事件已经涵盖了增补专利。增补</w:t>
      </w:r>
      <w:r w:rsidR="00BE258E" w:rsidRPr="00F32937">
        <w:rPr>
          <w:rFonts w:ascii="SimSun" w:hAnsi="SimSun" w:hint="eastAsia"/>
          <w:sz w:val="21"/>
          <w:szCs w:val="21"/>
        </w:rPr>
        <w:t>专利是部分知识产权局提供的一种专利类型。工作队建议更新ST.27一些类别的说明，以</w:t>
      </w:r>
      <w:r w:rsidR="002E01E6" w:rsidRPr="00F32937">
        <w:rPr>
          <w:rFonts w:ascii="SimSun" w:hAnsi="SimSun" w:hint="eastAsia"/>
          <w:sz w:val="21"/>
          <w:szCs w:val="21"/>
        </w:rPr>
        <w:t>澄清</w:t>
      </w:r>
      <w:r w:rsidR="00BE258E" w:rsidRPr="00F32937">
        <w:rPr>
          <w:rFonts w:ascii="SimSun" w:hAnsi="SimSun" w:hint="eastAsia"/>
          <w:sz w:val="21"/>
          <w:szCs w:val="21"/>
        </w:rPr>
        <w:t>申请类型</w:t>
      </w:r>
      <w:r w:rsidR="00C379E1" w:rsidRPr="00F32937">
        <w:rPr>
          <w:rFonts w:ascii="SimSun" w:hAnsi="SimSun" w:hint="eastAsia"/>
          <w:sz w:val="21"/>
          <w:szCs w:val="21"/>
        </w:rPr>
        <w:lastRenderedPageBreak/>
        <w:t>范围</w:t>
      </w:r>
      <w:r w:rsidR="00BE258E" w:rsidRPr="00F32937">
        <w:rPr>
          <w:rFonts w:ascii="SimSun" w:hAnsi="SimSun" w:hint="eastAsia"/>
          <w:sz w:val="21"/>
          <w:szCs w:val="21"/>
        </w:rPr>
        <w:t>和</w:t>
      </w:r>
      <w:r w:rsidR="00C379E1" w:rsidRPr="00F32937">
        <w:rPr>
          <w:rFonts w:ascii="SimSun" w:hAnsi="SimSun" w:hint="eastAsia"/>
          <w:sz w:val="21"/>
          <w:szCs w:val="21"/>
        </w:rPr>
        <w:t>所涵盖的</w:t>
      </w:r>
      <w:r w:rsidR="003A049D" w:rsidRPr="00F32937">
        <w:rPr>
          <w:rFonts w:ascii="SimSun" w:hAnsi="SimSun" w:hint="eastAsia"/>
          <w:sz w:val="21"/>
          <w:szCs w:val="21"/>
        </w:rPr>
        <w:t>知识产权权利类型</w:t>
      </w:r>
      <w:r w:rsidR="009D38BC" w:rsidRPr="00F32937">
        <w:rPr>
          <w:rFonts w:ascii="SimSun" w:hAnsi="SimSun" w:hint="eastAsia"/>
          <w:sz w:val="21"/>
          <w:szCs w:val="21"/>
        </w:rPr>
        <w:t>。建议对A</w:t>
      </w:r>
      <w:r w:rsidR="00656A40" w:rsidRPr="00F32937">
        <w:rPr>
          <w:rFonts w:ascii="SimSun" w:hAnsi="SimSun" w:hint="eastAsia"/>
          <w:sz w:val="21"/>
          <w:szCs w:val="21"/>
        </w:rPr>
        <w:t>类</w:t>
      </w:r>
      <w:r w:rsidR="009D38BC" w:rsidRPr="00F32937">
        <w:rPr>
          <w:rFonts w:ascii="SimSun" w:hAnsi="SimSun" w:hint="eastAsia"/>
          <w:sz w:val="21"/>
          <w:szCs w:val="21"/>
        </w:rPr>
        <w:t>和F</w:t>
      </w:r>
      <w:r w:rsidR="00656A40" w:rsidRPr="00F32937">
        <w:rPr>
          <w:rFonts w:ascii="SimSun" w:hAnsi="SimSun" w:hint="eastAsia"/>
          <w:sz w:val="21"/>
          <w:szCs w:val="21"/>
        </w:rPr>
        <w:t>类</w:t>
      </w:r>
      <w:r w:rsidR="009D38BC" w:rsidRPr="00F32937">
        <w:rPr>
          <w:rFonts w:ascii="SimSun" w:hAnsi="SimSun" w:hint="eastAsia"/>
          <w:sz w:val="21"/>
          <w:szCs w:val="21"/>
        </w:rPr>
        <w:t>进行下述修改，</w:t>
      </w:r>
      <w:r w:rsidR="004E68FE" w:rsidRPr="00F32937">
        <w:rPr>
          <w:rFonts w:ascii="SimSun" w:hAnsi="SimSun" w:hint="eastAsia"/>
          <w:sz w:val="21"/>
          <w:szCs w:val="21"/>
        </w:rPr>
        <w:t>其他类别酌情参照A</w:t>
      </w:r>
      <w:r w:rsidR="00656A40" w:rsidRPr="00F32937">
        <w:rPr>
          <w:rFonts w:ascii="SimSun" w:hAnsi="SimSun" w:hint="eastAsia"/>
          <w:sz w:val="21"/>
          <w:szCs w:val="21"/>
        </w:rPr>
        <w:t>类</w:t>
      </w:r>
      <w:r w:rsidR="004E68FE" w:rsidRPr="00F32937">
        <w:rPr>
          <w:rFonts w:ascii="SimSun" w:hAnsi="SimSun" w:hint="eastAsia"/>
          <w:sz w:val="21"/>
          <w:szCs w:val="21"/>
        </w:rPr>
        <w:t>或F</w:t>
      </w:r>
      <w:r w:rsidR="00656A40" w:rsidRPr="00F32937">
        <w:rPr>
          <w:rFonts w:ascii="SimSun" w:hAnsi="SimSun" w:hint="eastAsia"/>
          <w:sz w:val="21"/>
          <w:szCs w:val="21"/>
        </w:rPr>
        <w:t>类</w:t>
      </w:r>
      <w:r w:rsidR="002231BC">
        <w:rPr>
          <w:rFonts w:ascii="SimSun" w:hAnsi="SimSun" w:hint="eastAsia"/>
          <w:sz w:val="21"/>
          <w:szCs w:val="21"/>
        </w:rPr>
        <w:t>（</w:t>
      </w:r>
      <w:r w:rsidR="004E68FE" w:rsidRPr="00F32937">
        <w:rPr>
          <w:rFonts w:ascii="SimSun" w:hAnsi="SimSun" w:hint="eastAsia"/>
          <w:sz w:val="21"/>
          <w:szCs w:val="21"/>
        </w:rPr>
        <w:t>显示的</w:t>
      </w:r>
      <w:r w:rsidR="007D321C" w:rsidRPr="00F32937">
        <w:rPr>
          <w:rFonts w:ascii="SimSun" w:hAnsi="SimSun" w:hint="eastAsia"/>
          <w:sz w:val="21"/>
          <w:szCs w:val="21"/>
        </w:rPr>
        <w:t>修改</w:t>
      </w:r>
      <w:r w:rsidR="004E68FE" w:rsidRPr="00F32937">
        <w:rPr>
          <w:rFonts w:ascii="SimSun" w:hAnsi="SimSun" w:hint="eastAsia"/>
          <w:sz w:val="21"/>
          <w:szCs w:val="21"/>
        </w:rPr>
        <w:t>跟踪是与2018年11月公布的1.1版相比）：</w:t>
      </w:r>
    </w:p>
    <w:p w14:paraId="56C7CE7F" w14:textId="110C461C" w:rsidR="00B42F5D" w:rsidRPr="00F32937" w:rsidRDefault="00B42F5D" w:rsidP="00DB6ACE">
      <w:pPr>
        <w:spacing w:afterLines="50" w:after="120" w:line="340" w:lineRule="atLeast"/>
        <w:ind w:left="567"/>
        <w:rPr>
          <w:rFonts w:ascii="SimSun" w:hAnsi="SimSun"/>
          <w:sz w:val="21"/>
          <w:szCs w:val="21"/>
        </w:rPr>
      </w:pPr>
      <w:r w:rsidRPr="00F32937">
        <w:rPr>
          <w:rFonts w:ascii="SimSun" w:hAnsi="SimSun"/>
          <w:b/>
          <w:sz w:val="21"/>
          <w:szCs w:val="21"/>
        </w:rPr>
        <w:t>A.</w:t>
      </w:r>
      <w:r w:rsidRPr="00F32937">
        <w:rPr>
          <w:rFonts w:ascii="SimSun" w:hAnsi="SimSun"/>
          <w:b/>
          <w:sz w:val="21"/>
          <w:szCs w:val="21"/>
        </w:rPr>
        <w:tab/>
        <w:t xml:space="preserve">Application filing:  </w:t>
      </w:r>
      <w:r w:rsidRPr="00F32937">
        <w:rPr>
          <w:rFonts w:ascii="SimSun" w:hAnsi="SimSun"/>
          <w:sz w:val="21"/>
          <w:szCs w:val="21"/>
        </w:rPr>
        <w:t xml:space="preserve">This category is a group of events related to the filing of </w:t>
      </w:r>
      <w:r w:rsidRPr="00F32937">
        <w:rPr>
          <w:rFonts w:ascii="SimSun" w:hAnsi="SimSun"/>
          <w:sz w:val="21"/>
          <w:szCs w:val="21"/>
          <w:u w:val="single"/>
        </w:rPr>
        <w:t xml:space="preserve">various types of </w:t>
      </w:r>
      <w:r w:rsidRPr="00F32937">
        <w:rPr>
          <w:rFonts w:ascii="SimSun" w:hAnsi="SimSun"/>
          <w:strike/>
          <w:sz w:val="21"/>
          <w:szCs w:val="21"/>
        </w:rPr>
        <w:t xml:space="preserve">an </w:t>
      </w:r>
      <w:r w:rsidRPr="00F32937">
        <w:rPr>
          <w:rFonts w:ascii="SimSun" w:hAnsi="SimSun"/>
          <w:sz w:val="21"/>
          <w:szCs w:val="21"/>
        </w:rPr>
        <w:t>application</w:t>
      </w:r>
      <w:r w:rsidRPr="00F32937">
        <w:rPr>
          <w:rFonts w:ascii="SimSun" w:hAnsi="SimSun"/>
          <w:sz w:val="21"/>
          <w:szCs w:val="21"/>
          <w:u w:val="single"/>
        </w:rPr>
        <w:t>s for an IP right</w:t>
      </w:r>
      <w:r w:rsidRPr="00F32937">
        <w:rPr>
          <w:rFonts w:ascii="SimSun" w:hAnsi="SimSun"/>
          <w:sz w:val="21"/>
          <w:szCs w:val="21"/>
        </w:rPr>
        <w:t>.  It includes, for example, when a national or regional IPO receives an application for the grant of an IP right</w:t>
      </w:r>
      <w:r w:rsidRPr="00F32937">
        <w:rPr>
          <w:rFonts w:ascii="SimSun" w:hAnsi="SimSun"/>
          <w:sz w:val="21"/>
          <w:szCs w:val="21"/>
          <w:u w:val="single"/>
        </w:rPr>
        <w:t>,</w:t>
      </w:r>
      <w:r w:rsidRPr="00F32937">
        <w:rPr>
          <w:rFonts w:ascii="SimSun" w:hAnsi="SimSun"/>
          <w:sz w:val="21"/>
          <w:szCs w:val="21"/>
        </w:rPr>
        <w:t xml:space="preserve"> together with any additional documentation and fees necessary to obtain a filing date under national or regional law or convention or the Patent Cooperation Treaty (PCT) as applicable.  </w:t>
      </w:r>
      <w:r w:rsidRPr="00F32937">
        <w:rPr>
          <w:rFonts w:ascii="SimSun" w:hAnsi="SimSun"/>
          <w:sz w:val="21"/>
          <w:szCs w:val="21"/>
          <w:u w:val="single"/>
        </w:rPr>
        <w:t>Types of applications covered include patents for inventions, utility models, supplementary protection certificates, plant patents, design patents, inventors’ certificates, utility certificates, and patents of addition</w:t>
      </w:r>
      <w:r w:rsidR="0031768F" w:rsidRPr="00F32937">
        <w:rPr>
          <w:rFonts w:ascii="SimSun" w:hAnsi="SimSun"/>
          <w:sz w:val="21"/>
          <w:szCs w:val="21"/>
          <w:u w:val="single"/>
        </w:rPr>
        <w:t xml:space="preserve">.  </w:t>
      </w:r>
      <w:r w:rsidR="0031768F" w:rsidRPr="00F32937">
        <w:rPr>
          <w:rFonts w:ascii="SimSun" w:hAnsi="SimSun"/>
          <w:sz w:val="21"/>
          <w:szCs w:val="21"/>
        </w:rPr>
        <w:t>T</w:t>
      </w:r>
      <w:r w:rsidRPr="00F32937">
        <w:rPr>
          <w:rFonts w:ascii="SimSun" w:hAnsi="SimSun"/>
          <w:sz w:val="21"/>
          <w:szCs w:val="21"/>
        </w:rPr>
        <w:t xml:space="preserve">his category also includes events related to the filing of a provisional application, divisional application, continuation, continuation in part, or an application for conversion.  It also </w:t>
      </w:r>
      <w:r w:rsidRPr="00F32937">
        <w:rPr>
          <w:rFonts w:ascii="SimSun" w:hAnsi="SimSun"/>
          <w:strike/>
          <w:sz w:val="21"/>
          <w:szCs w:val="21"/>
        </w:rPr>
        <w:t xml:space="preserve">includes </w:t>
      </w:r>
      <w:r w:rsidRPr="00F32937">
        <w:rPr>
          <w:rFonts w:ascii="SimSun" w:hAnsi="SimSun"/>
          <w:sz w:val="21"/>
          <w:szCs w:val="21"/>
          <w:u w:val="single"/>
        </w:rPr>
        <w:t xml:space="preserve">covers </w:t>
      </w:r>
      <w:r w:rsidRPr="00F32937">
        <w:rPr>
          <w:rFonts w:ascii="SimSun" w:hAnsi="SimSun"/>
          <w:sz w:val="21"/>
          <w:szCs w:val="21"/>
        </w:rPr>
        <w:t>entry of an international application into the national or regional phase.</w:t>
      </w:r>
    </w:p>
    <w:p w14:paraId="0A5475CA" w14:textId="77777777" w:rsidR="00C1371B" w:rsidRPr="00F32937" w:rsidRDefault="00C1371B" w:rsidP="00DB6ACE">
      <w:pPr>
        <w:spacing w:afterLines="50" w:after="120" w:line="340" w:lineRule="atLeast"/>
        <w:ind w:left="567"/>
        <w:rPr>
          <w:rFonts w:ascii="SimSun" w:hAnsi="SimSun"/>
          <w:sz w:val="21"/>
          <w:szCs w:val="21"/>
        </w:rPr>
      </w:pPr>
      <w:r w:rsidRPr="00F32937">
        <w:rPr>
          <w:rFonts w:ascii="SimSun" w:hAnsi="SimSun"/>
          <w:b/>
          <w:sz w:val="21"/>
          <w:szCs w:val="21"/>
        </w:rPr>
        <w:t>F.</w:t>
      </w:r>
      <w:r w:rsidRPr="00F32937">
        <w:rPr>
          <w:rFonts w:ascii="SimSun" w:hAnsi="SimSun"/>
          <w:b/>
          <w:sz w:val="21"/>
          <w:szCs w:val="21"/>
        </w:rPr>
        <w:tab/>
        <w:t xml:space="preserve">IP right grant:  </w:t>
      </w:r>
      <w:r w:rsidRPr="00F32937">
        <w:rPr>
          <w:rFonts w:ascii="SimSun" w:hAnsi="SimSun"/>
          <w:sz w:val="21"/>
          <w:szCs w:val="21"/>
        </w:rPr>
        <w:t xml:space="preserve">This category is a group of events which relate to the effective grant date of an IP right and/or entry of an IP right into the IPO's register.  It includes, for example, when an IP right was granted following an examination, an appeal, pre-grant review or inadmissibility, rejection or withdrawal of a pre-grant review request.  </w:t>
      </w:r>
      <w:r w:rsidRPr="00F32937">
        <w:rPr>
          <w:rFonts w:ascii="SimSun" w:hAnsi="SimSun"/>
          <w:sz w:val="21"/>
          <w:szCs w:val="21"/>
          <w:u w:val="single"/>
        </w:rPr>
        <w:t xml:space="preserve">Types of IP rights covered include patents of invention, utility models, supplementary protection certificates, and any other IP rights that result from the types of applications covered by Category A.  </w:t>
      </w:r>
      <w:r w:rsidRPr="00F32937">
        <w:rPr>
          <w:rFonts w:ascii="SimSun" w:hAnsi="SimSun"/>
          <w:sz w:val="21"/>
          <w:szCs w:val="21"/>
        </w:rPr>
        <w:t>The events in this category may move an application from the examination stage or the pre-grant challenge stage into the grant stage.</w:t>
      </w:r>
    </w:p>
    <w:p w14:paraId="12FA5734" w14:textId="027B00E1" w:rsidR="00064EBA" w:rsidRPr="00F32937" w:rsidRDefault="00917DC8"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一旦拟议</w:t>
      </w:r>
      <w:r w:rsidR="00961FEA" w:rsidRPr="00F32937">
        <w:rPr>
          <w:rFonts w:ascii="SimSun" w:hAnsi="SimSun" w:hint="eastAsia"/>
          <w:sz w:val="21"/>
          <w:szCs w:val="21"/>
        </w:rPr>
        <w:t>修订得到批准，则建议更新ST.27的附件二以相应反映这些</w:t>
      </w:r>
      <w:r w:rsidRPr="00F32937">
        <w:rPr>
          <w:rFonts w:ascii="SimSun" w:hAnsi="SimSun" w:hint="eastAsia"/>
          <w:sz w:val="21"/>
          <w:szCs w:val="21"/>
        </w:rPr>
        <w:t>更改</w:t>
      </w:r>
      <w:r w:rsidR="00961FEA" w:rsidRPr="00F32937">
        <w:rPr>
          <w:rFonts w:ascii="SimSun" w:hAnsi="SimSun" w:hint="eastAsia"/>
          <w:sz w:val="21"/>
          <w:szCs w:val="21"/>
        </w:rPr>
        <w:t>。</w:t>
      </w:r>
    </w:p>
    <w:p w14:paraId="714183CA" w14:textId="200D2DF1" w:rsidR="00FE2B6E" w:rsidRPr="00F32937" w:rsidRDefault="00DE16CE"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关于向事件D14和D15增加“向申请人”</w:t>
      </w:r>
      <w:r w:rsidR="00A10C1D" w:rsidRPr="00F32937">
        <w:rPr>
          <w:rFonts w:ascii="SimSun" w:hAnsi="SimSun" w:hint="eastAsia"/>
          <w:sz w:val="21"/>
          <w:szCs w:val="21"/>
        </w:rPr>
        <w:t>一词</w:t>
      </w:r>
      <w:r w:rsidRPr="00F32937">
        <w:rPr>
          <w:rFonts w:ascii="SimSun" w:hAnsi="SimSun" w:hint="eastAsia"/>
          <w:sz w:val="21"/>
          <w:szCs w:val="21"/>
        </w:rPr>
        <w:t>的建议，工作队认为并非所有知识产权局在检索和审查完成后都会向申请人提供检索</w:t>
      </w:r>
      <w:r w:rsidR="00A10C1D" w:rsidRPr="00F32937">
        <w:rPr>
          <w:rFonts w:ascii="SimSun" w:hAnsi="SimSun" w:hint="eastAsia"/>
          <w:sz w:val="21"/>
          <w:szCs w:val="21"/>
        </w:rPr>
        <w:t>和</w:t>
      </w:r>
      <w:r w:rsidRPr="00F32937">
        <w:rPr>
          <w:rFonts w:ascii="SimSun" w:hAnsi="SimSun" w:hint="eastAsia"/>
          <w:sz w:val="21"/>
          <w:szCs w:val="21"/>
        </w:rPr>
        <w:t>审查报告。</w:t>
      </w:r>
      <w:r w:rsidR="00084704" w:rsidRPr="00F32937">
        <w:rPr>
          <w:rFonts w:ascii="SimSun" w:hAnsi="SimSun" w:hint="eastAsia"/>
          <w:sz w:val="21"/>
          <w:szCs w:val="21"/>
        </w:rPr>
        <w:t>工作队建议</w:t>
      </w:r>
      <w:r w:rsidR="005A0813" w:rsidRPr="00F32937">
        <w:rPr>
          <w:rFonts w:ascii="SimSun" w:hAnsi="SimSun" w:hint="eastAsia"/>
          <w:sz w:val="21"/>
          <w:szCs w:val="21"/>
        </w:rPr>
        <w:t>对</w:t>
      </w:r>
      <w:r w:rsidR="00084704" w:rsidRPr="00F32937">
        <w:rPr>
          <w:rFonts w:ascii="SimSun" w:hAnsi="SimSun" w:hint="eastAsia"/>
          <w:sz w:val="21"/>
          <w:szCs w:val="21"/>
        </w:rPr>
        <w:t>上述事件的说明</w:t>
      </w:r>
      <w:r w:rsidR="005A0813" w:rsidRPr="00F32937">
        <w:rPr>
          <w:rFonts w:ascii="SimSun" w:hAnsi="SimSun" w:hint="eastAsia"/>
          <w:sz w:val="21"/>
          <w:szCs w:val="21"/>
        </w:rPr>
        <w:t>作</w:t>
      </w:r>
      <w:r w:rsidR="00084704" w:rsidRPr="00F32937">
        <w:rPr>
          <w:rFonts w:ascii="SimSun" w:hAnsi="SimSun" w:hint="eastAsia"/>
          <w:sz w:val="21"/>
          <w:szCs w:val="21"/>
        </w:rPr>
        <w:t>如下</w:t>
      </w:r>
      <w:r w:rsidR="005A0813" w:rsidRPr="00F32937">
        <w:rPr>
          <w:rFonts w:ascii="SimSun" w:hAnsi="SimSun" w:hint="eastAsia"/>
          <w:sz w:val="21"/>
          <w:szCs w:val="21"/>
        </w:rPr>
        <w:t>更改</w:t>
      </w:r>
      <w:r w:rsidR="00084704" w:rsidRPr="00F32937">
        <w:rPr>
          <w:rFonts w:ascii="SimSun" w:hAnsi="SimSun" w:hint="eastAsia"/>
          <w:sz w:val="21"/>
          <w:szCs w:val="21"/>
        </w:rPr>
        <w:t>：</w:t>
      </w:r>
    </w:p>
    <w:p w14:paraId="2B4FE0B1" w14:textId="77777777" w:rsidR="00B70952" w:rsidRDefault="00FE2B6E" w:rsidP="00DB6ACE">
      <w:pPr>
        <w:spacing w:afterLines="50" w:after="120" w:line="340" w:lineRule="atLeast"/>
        <w:ind w:left="1134" w:hanging="567"/>
        <w:rPr>
          <w:rFonts w:ascii="SimSun" w:hAnsi="SimSun"/>
          <w:sz w:val="21"/>
          <w:szCs w:val="21"/>
        </w:rPr>
      </w:pPr>
      <w:r w:rsidRPr="00F32937">
        <w:rPr>
          <w:rFonts w:ascii="SimSun" w:hAnsi="SimSun"/>
          <w:sz w:val="21"/>
          <w:szCs w:val="21"/>
        </w:rPr>
        <w:t>D14.</w:t>
      </w:r>
      <w:r w:rsidRPr="00F32937">
        <w:rPr>
          <w:rFonts w:ascii="SimSun" w:hAnsi="SimSun"/>
          <w:sz w:val="21"/>
          <w:szCs w:val="21"/>
        </w:rPr>
        <w:tab/>
        <w:t xml:space="preserve">Search report </w:t>
      </w:r>
      <w:r w:rsidRPr="00F32937">
        <w:rPr>
          <w:rFonts w:ascii="SimSun" w:hAnsi="SimSun"/>
          <w:strike/>
          <w:sz w:val="21"/>
          <w:szCs w:val="21"/>
        </w:rPr>
        <w:t xml:space="preserve">issued </w:t>
      </w:r>
      <w:r w:rsidRPr="00F32937">
        <w:rPr>
          <w:rFonts w:ascii="SimSun" w:hAnsi="SimSun"/>
          <w:sz w:val="21"/>
          <w:szCs w:val="21"/>
          <w:u w:val="single"/>
        </w:rPr>
        <w:t>completed</w:t>
      </w:r>
      <w:r w:rsidRPr="00F32937">
        <w:rPr>
          <w:rFonts w:ascii="SimSun" w:hAnsi="SimSun"/>
          <w:sz w:val="21"/>
          <w:szCs w:val="21"/>
        </w:rPr>
        <w:t xml:space="preserve"> (A prior art search report for an application was </w:t>
      </w:r>
      <w:r w:rsidRPr="00F32937">
        <w:rPr>
          <w:rFonts w:ascii="SimSun" w:hAnsi="SimSun"/>
          <w:strike/>
          <w:sz w:val="21"/>
          <w:szCs w:val="21"/>
        </w:rPr>
        <w:t>issued</w:t>
      </w:r>
      <w:r w:rsidR="004300DA" w:rsidRPr="00F32937">
        <w:rPr>
          <w:rFonts w:ascii="SimSun" w:hAnsi="SimSun"/>
          <w:strike/>
          <w:sz w:val="21"/>
          <w:szCs w:val="21"/>
        </w:rPr>
        <w:t xml:space="preserve"> </w:t>
      </w:r>
      <w:r w:rsidRPr="00F32937">
        <w:rPr>
          <w:rFonts w:ascii="SimSun" w:hAnsi="SimSun"/>
          <w:sz w:val="21"/>
          <w:szCs w:val="21"/>
          <w:u w:val="single"/>
        </w:rPr>
        <w:t>completed by the IPO</w:t>
      </w:r>
      <w:r w:rsidRPr="00F32937">
        <w:rPr>
          <w:rStyle w:val="CommentReference"/>
          <w:rFonts w:ascii="SimSun" w:hAnsi="SimSun"/>
          <w:sz w:val="21"/>
          <w:szCs w:val="21"/>
        </w:rPr>
        <w:t>.</w:t>
      </w:r>
      <w:r w:rsidRPr="00F32937">
        <w:rPr>
          <w:rFonts w:ascii="SimSun" w:hAnsi="SimSun"/>
          <w:sz w:val="21"/>
          <w:szCs w:val="21"/>
        </w:rPr>
        <w:t>)</w:t>
      </w:r>
    </w:p>
    <w:p w14:paraId="6A1BCD74" w14:textId="117AB3C9" w:rsidR="00FE2B6E" w:rsidRPr="00F32937" w:rsidRDefault="00FE2B6E" w:rsidP="00DB6ACE">
      <w:pPr>
        <w:spacing w:afterLines="50" w:after="120" w:line="340" w:lineRule="atLeast"/>
        <w:ind w:left="1134" w:hanging="567"/>
        <w:jc w:val="both"/>
        <w:rPr>
          <w:rFonts w:ascii="SimSun" w:hAnsi="SimSun"/>
          <w:sz w:val="21"/>
          <w:szCs w:val="21"/>
        </w:rPr>
      </w:pPr>
      <w:r w:rsidRPr="00F32937">
        <w:rPr>
          <w:rFonts w:ascii="SimSun" w:hAnsi="SimSun"/>
          <w:sz w:val="21"/>
          <w:szCs w:val="21"/>
        </w:rPr>
        <w:t>D15.</w:t>
      </w:r>
      <w:r w:rsidRPr="00F32937">
        <w:rPr>
          <w:rFonts w:ascii="SimSun" w:hAnsi="SimSun"/>
          <w:sz w:val="21"/>
          <w:szCs w:val="21"/>
        </w:rPr>
        <w:tab/>
        <w:t xml:space="preserve">Examination report </w:t>
      </w:r>
      <w:r w:rsidRPr="00F32937">
        <w:rPr>
          <w:rFonts w:ascii="SimSun" w:hAnsi="SimSun"/>
          <w:strike/>
          <w:sz w:val="21"/>
          <w:szCs w:val="21"/>
        </w:rPr>
        <w:t xml:space="preserve">issued </w:t>
      </w:r>
      <w:r w:rsidRPr="00F32937">
        <w:rPr>
          <w:rFonts w:ascii="SimSun" w:hAnsi="SimSun"/>
          <w:sz w:val="21"/>
          <w:szCs w:val="21"/>
          <w:u w:val="single"/>
        </w:rPr>
        <w:t>completed</w:t>
      </w:r>
      <w:r w:rsidRPr="00F32937">
        <w:rPr>
          <w:rFonts w:ascii="SimSun" w:hAnsi="SimSun"/>
          <w:sz w:val="21"/>
          <w:szCs w:val="21"/>
        </w:rPr>
        <w:t xml:space="preserve"> (A substantive examination report </w:t>
      </w:r>
      <w:r w:rsidRPr="00F32937">
        <w:rPr>
          <w:rFonts w:ascii="SimSun" w:hAnsi="SimSun"/>
          <w:sz w:val="21"/>
          <w:szCs w:val="21"/>
          <w:u w:val="single"/>
        </w:rPr>
        <w:t>was completed by the IPO</w:t>
      </w:r>
      <w:r w:rsidRPr="00F32937">
        <w:rPr>
          <w:rFonts w:ascii="SimSun" w:hAnsi="SimSun"/>
          <w:strike/>
          <w:sz w:val="21"/>
          <w:szCs w:val="21"/>
          <w:u w:val="single"/>
        </w:rPr>
        <w:t xml:space="preserve"> </w:t>
      </w:r>
      <w:r w:rsidRPr="00F32937">
        <w:rPr>
          <w:rFonts w:ascii="SimSun" w:hAnsi="SimSun"/>
          <w:strike/>
          <w:sz w:val="21"/>
          <w:szCs w:val="21"/>
        </w:rPr>
        <w:t>or a notification of the reason for refusal of the application was issued</w:t>
      </w:r>
      <w:r w:rsidRPr="00F32937">
        <w:rPr>
          <w:rFonts w:ascii="SimSun" w:hAnsi="SimSun"/>
          <w:sz w:val="21"/>
          <w:szCs w:val="21"/>
        </w:rPr>
        <w:t>.)</w:t>
      </w:r>
    </w:p>
    <w:p w14:paraId="715D4953" w14:textId="5208AD42" w:rsidR="008D21BB" w:rsidRPr="00F32937" w:rsidRDefault="00934FEB"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标准委员会批准</w:t>
      </w:r>
      <w:r w:rsidR="00EF436F" w:rsidRPr="00F32937">
        <w:rPr>
          <w:rFonts w:ascii="SimSun" w:hAnsi="SimSun" w:hint="eastAsia"/>
          <w:sz w:val="21"/>
          <w:szCs w:val="21"/>
        </w:rPr>
        <w:t>了在委员会第六届会议上对事件R12至R14</w:t>
      </w:r>
      <w:r w:rsidR="00DB5FFA" w:rsidRPr="00F32937">
        <w:rPr>
          <w:rFonts w:ascii="SimSun" w:hAnsi="SimSun" w:hint="eastAsia"/>
          <w:sz w:val="21"/>
          <w:szCs w:val="21"/>
        </w:rPr>
        <w:t>做出</w:t>
      </w:r>
      <w:r w:rsidR="00EF436F" w:rsidRPr="00F32937">
        <w:rPr>
          <w:rFonts w:ascii="SimSun" w:hAnsi="SimSun" w:hint="eastAsia"/>
          <w:sz w:val="21"/>
          <w:szCs w:val="21"/>
        </w:rPr>
        <w:t>澄清的建议。工作队认为进一步的澄清将有助于用户更好地理解这些事件之间的差异，并</w:t>
      </w:r>
      <w:r w:rsidR="008F0CBE" w:rsidRPr="00F32937">
        <w:rPr>
          <w:rFonts w:ascii="SimSun" w:hAnsi="SimSun" w:hint="eastAsia"/>
          <w:sz w:val="21"/>
          <w:szCs w:val="21"/>
        </w:rPr>
        <w:t>提出以下</w:t>
      </w:r>
      <w:r w:rsidR="002C2A95" w:rsidRPr="00F32937">
        <w:rPr>
          <w:rFonts w:ascii="SimSun" w:hAnsi="SimSun" w:hint="eastAsia"/>
          <w:sz w:val="21"/>
          <w:szCs w:val="21"/>
        </w:rPr>
        <w:t>新增</w:t>
      </w:r>
      <w:r w:rsidR="008F0CBE" w:rsidRPr="00F32937">
        <w:rPr>
          <w:rFonts w:ascii="SimSun" w:hAnsi="SimSun" w:hint="eastAsia"/>
          <w:sz w:val="21"/>
          <w:szCs w:val="21"/>
        </w:rPr>
        <w:t>澄清性</w:t>
      </w:r>
      <w:r w:rsidR="002C2A95" w:rsidRPr="00F32937">
        <w:rPr>
          <w:rFonts w:ascii="SimSun" w:hAnsi="SimSun" w:hint="eastAsia"/>
          <w:sz w:val="21"/>
          <w:szCs w:val="21"/>
        </w:rPr>
        <w:t>修改</w:t>
      </w:r>
      <w:r w:rsidR="008F0CBE" w:rsidRPr="00F32937">
        <w:rPr>
          <w:rFonts w:ascii="SimSun" w:hAnsi="SimSun" w:hint="eastAsia"/>
          <w:sz w:val="21"/>
          <w:szCs w:val="21"/>
        </w:rPr>
        <w:t>：</w:t>
      </w:r>
    </w:p>
    <w:p w14:paraId="58C757B5" w14:textId="77777777" w:rsidR="007E1B1A" w:rsidRPr="00F32937" w:rsidRDefault="007E1B1A" w:rsidP="00DB6ACE">
      <w:pPr>
        <w:spacing w:afterLines="50" w:after="120" w:line="340" w:lineRule="atLeast"/>
        <w:ind w:left="1134" w:hanging="567"/>
        <w:jc w:val="both"/>
        <w:rPr>
          <w:rFonts w:ascii="SimSun" w:hAnsi="SimSun"/>
          <w:sz w:val="21"/>
          <w:szCs w:val="21"/>
        </w:rPr>
      </w:pPr>
      <w:r w:rsidRPr="00F32937">
        <w:rPr>
          <w:rFonts w:ascii="SimSun" w:hAnsi="SimSun"/>
          <w:sz w:val="21"/>
          <w:szCs w:val="21"/>
        </w:rPr>
        <w:t>R12*.</w:t>
      </w:r>
      <w:r w:rsidRPr="00F32937">
        <w:rPr>
          <w:rFonts w:ascii="SimSun" w:hAnsi="SimSun"/>
          <w:sz w:val="21"/>
          <w:szCs w:val="21"/>
        </w:rPr>
        <w:tab/>
        <w:t xml:space="preserve">Change to the name of applicant or owner or transfer of ownership recorded (A change to the applicant(s) or owner(s) of the application or IP right, </w:t>
      </w:r>
      <w:r w:rsidRPr="00F32937">
        <w:rPr>
          <w:rFonts w:ascii="SimSun" w:hAnsi="SimSun"/>
          <w:sz w:val="21"/>
          <w:szCs w:val="21"/>
          <w:u w:val="single"/>
        </w:rPr>
        <w:t xml:space="preserve">or a transfer of ownership or an assignment, </w:t>
      </w:r>
      <w:r w:rsidRPr="00F32937">
        <w:rPr>
          <w:rFonts w:ascii="SimSun" w:hAnsi="SimSun"/>
          <w:strike/>
          <w:sz w:val="21"/>
          <w:szCs w:val="21"/>
        </w:rPr>
        <w:t xml:space="preserve">including a change in name(s) or in composition, </w:t>
      </w:r>
      <w:r w:rsidRPr="00F32937">
        <w:rPr>
          <w:rFonts w:ascii="SimSun" w:hAnsi="SimSun"/>
          <w:sz w:val="21"/>
          <w:szCs w:val="21"/>
        </w:rPr>
        <w:t xml:space="preserve">was recorded by the IPO.  This may be due to a </w:t>
      </w:r>
      <w:r w:rsidRPr="00F32937">
        <w:rPr>
          <w:rFonts w:ascii="SimSun" w:hAnsi="SimSun"/>
          <w:sz w:val="21"/>
          <w:szCs w:val="21"/>
          <w:u w:val="single"/>
        </w:rPr>
        <w:t xml:space="preserve">name correction, a legal </w:t>
      </w:r>
      <w:r w:rsidRPr="00F32937">
        <w:rPr>
          <w:rFonts w:ascii="SimSun" w:hAnsi="SimSun"/>
          <w:sz w:val="21"/>
          <w:szCs w:val="21"/>
        </w:rPr>
        <w:t xml:space="preserve">name change, a transfer of ownership, </w:t>
      </w:r>
      <w:r w:rsidRPr="00F32937">
        <w:rPr>
          <w:rFonts w:ascii="SimSun" w:hAnsi="SimSun"/>
          <w:sz w:val="21"/>
          <w:szCs w:val="21"/>
          <w:u w:val="single"/>
        </w:rPr>
        <w:t xml:space="preserve">or </w:t>
      </w:r>
      <w:r w:rsidRPr="00F32937">
        <w:rPr>
          <w:rFonts w:ascii="SimSun" w:hAnsi="SimSun"/>
          <w:sz w:val="21"/>
          <w:szCs w:val="21"/>
        </w:rPr>
        <w:t>an assignment</w:t>
      </w:r>
      <w:r w:rsidRPr="00F32937">
        <w:rPr>
          <w:rFonts w:ascii="SimSun" w:hAnsi="SimSun"/>
          <w:strike/>
          <w:sz w:val="21"/>
          <w:szCs w:val="21"/>
        </w:rPr>
        <w:t xml:space="preserve"> or a legal </w:t>
      </w:r>
      <w:r w:rsidRPr="00F32937">
        <w:rPr>
          <w:rFonts w:ascii="SimSun" w:hAnsi="SimSun"/>
          <w:strike/>
          <w:sz w:val="21"/>
          <w:szCs w:val="21"/>
        </w:rPr>
        <w:lastRenderedPageBreak/>
        <w:t>proceeding</w:t>
      </w:r>
      <w:r w:rsidRPr="00F32937">
        <w:rPr>
          <w:rFonts w:ascii="SimSun" w:hAnsi="SimSun"/>
          <w:sz w:val="21"/>
          <w:szCs w:val="21"/>
        </w:rPr>
        <w:t>.)  This detailed event is intended for use by IPOs which cannot distinguish between R13 and R14.  If the distinction is possible, the use of R13 and R14 is highly recommended.</w:t>
      </w:r>
    </w:p>
    <w:p w14:paraId="727CAEE4" w14:textId="3D42C8EC" w:rsidR="007E1B1A" w:rsidRPr="00F32937" w:rsidRDefault="007E1B1A" w:rsidP="00DB6ACE">
      <w:pPr>
        <w:spacing w:afterLines="50" w:after="120" w:line="340" w:lineRule="atLeast"/>
        <w:ind w:left="1134" w:hanging="567"/>
        <w:jc w:val="both"/>
        <w:rPr>
          <w:rFonts w:ascii="SimSun" w:hAnsi="SimSun"/>
          <w:color w:val="222222"/>
          <w:sz w:val="21"/>
          <w:szCs w:val="21"/>
          <w:lang w:eastAsia="en-CA"/>
        </w:rPr>
      </w:pPr>
      <w:r w:rsidRPr="00F32937">
        <w:rPr>
          <w:rFonts w:ascii="SimSun" w:hAnsi="SimSun"/>
          <w:color w:val="222222"/>
          <w:sz w:val="21"/>
          <w:szCs w:val="21"/>
          <w:lang w:eastAsia="en-CA"/>
        </w:rPr>
        <w:t>R13*</w:t>
      </w:r>
      <w:r w:rsidR="0031768F" w:rsidRPr="00F32937">
        <w:rPr>
          <w:rFonts w:ascii="SimSun" w:hAnsi="SimSun"/>
          <w:color w:val="222222"/>
          <w:sz w:val="21"/>
          <w:szCs w:val="21"/>
          <w:lang w:eastAsia="en-CA"/>
        </w:rPr>
        <w:t>.  C</w:t>
      </w:r>
      <w:r w:rsidRPr="00F32937">
        <w:rPr>
          <w:rFonts w:ascii="SimSun" w:hAnsi="SimSun"/>
          <w:color w:val="222222"/>
          <w:sz w:val="21"/>
          <w:szCs w:val="21"/>
          <w:lang w:eastAsia="en-CA"/>
        </w:rPr>
        <w:t xml:space="preserve">hange to the name of applicant or owner recorded (A change to the name(s) of the applicant(s) or owner(s) of the application or IP right </w:t>
      </w:r>
      <w:r w:rsidRPr="00F32937">
        <w:rPr>
          <w:rFonts w:ascii="SimSun" w:hAnsi="SimSun"/>
          <w:color w:val="222222"/>
          <w:sz w:val="21"/>
          <w:szCs w:val="21"/>
          <w:u w:val="single"/>
          <w:lang w:eastAsia="en-CA"/>
        </w:rPr>
        <w:t xml:space="preserve">that does not indicate a transfer </w:t>
      </w:r>
      <w:r w:rsidRPr="00F32937">
        <w:rPr>
          <w:rFonts w:ascii="SimSun" w:hAnsi="SimSun"/>
          <w:color w:val="222222"/>
          <w:sz w:val="21"/>
          <w:szCs w:val="21"/>
          <w:lang w:eastAsia="en-CA"/>
        </w:rPr>
        <w:t>was recorded by the IPO.</w:t>
      </w:r>
      <w:r w:rsidRPr="00F32937">
        <w:rPr>
          <w:rFonts w:ascii="SimSun" w:hAnsi="SimSun"/>
          <w:color w:val="222222"/>
          <w:sz w:val="21"/>
          <w:szCs w:val="21"/>
          <w:u w:val="single"/>
          <w:lang w:eastAsia="en-CA"/>
        </w:rPr>
        <w:t xml:space="preserve">  </w:t>
      </w:r>
      <w:r w:rsidRPr="00F32937">
        <w:rPr>
          <w:rFonts w:ascii="SimSun" w:hAnsi="SimSun"/>
          <w:bCs/>
          <w:color w:val="222222"/>
          <w:sz w:val="21"/>
          <w:szCs w:val="21"/>
          <w:u w:val="single"/>
          <w:lang w:eastAsia="en-CA"/>
        </w:rPr>
        <w:t>The most common reasons for this type of change are name corrections, spelling mistakes, or legal name changes such as a corporate merger.</w:t>
      </w:r>
      <w:r w:rsidRPr="00F32937">
        <w:rPr>
          <w:rFonts w:ascii="SimSun" w:hAnsi="SimSun"/>
          <w:color w:val="222222"/>
          <w:sz w:val="21"/>
          <w:szCs w:val="21"/>
          <w:lang w:eastAsia="en-CA"/>
        </w:rPr>
        <w:t>)</w:t>
      </w:r>
    </w:p>
    <w:p w14:paraId="344E4F80" w14:textId="42BBE684" w:rsidR="007E1B1A" w:rsidRPr="00F32937" w:rsidRDefault="007E1B1A" w:rsidP="00DB6ACE">
      <w:pPr>
        <w:spacing w:afterLines="50" w:after="120" w:line="340" w:lineRule="atLeast"/>
        <w:ind w:left="1134" w:hanging="567"/>
        <w:jc w:val="both"/>
        <w:rPr>
          <w:rFonts w:ascii="SimSun" w:hAnsi="SimSun"/>
          <w:color w:val="222222"/>
          <w:sz w:val="21"/>
          <w:szCs w:val="21"/>
          <w:lang w:eastAsia="en-CA"/>
        </w:rPr>
      </w:pPr>
      <w:r w:rsidRPr="00F32937">
        <w:rPr>
          <w:rFonts w:ascii="SimSun" w:hAnsi="SimSun"/>
          <w:color w:val="222222"/>
          <w:sz w:val="21"/>
          <w:szCs w:val="21"/>
          <w:lang w:eastAsia="en-CA"/>
        </w:rPr>
        <w:t>R14*</w:t>
      </w:r>
      <w:r w:rsidR="0031768F" w:rsidRPr="00F32937">
        <w:rPr>
          <w:rFonts w:ascii="SimSun" w:hAnsi="SimSun"/>
          <w:color w:val="222222"/>
          <w:sz w:val="21"/>
          <w:szCs w:val="21"/>
          <w:lang w:eastAsia="en-CA"/>
        </w:rPr>
        <w:t>.  T</w:t>
      </w:r>
      <w:r w:rsidRPr="00F32937">
        <w:rPr>
          <w:rFonts w:ascii="SimSun" w:hAnsi="SimSun"/>
          <w:color w:val="222222"/>
          <w:sz w:val="21"/>
          <w:szCs w:val="21"/>
          <w:lang w:eastAsia="en-CA"/>
        </w:rPr>
        <w:t>ransfer of ownership recorded (A transfer of ownership</w:t>
      </w:r>
      <w:r w:rsidRPr="00F32937">
        <w:rPr>
          <w:rFonts w:ascii="SimSun" w:hAnsi="SimSun"/>
          <w:strike/>
          <w:color w:val="222222"/>
          <w:sz w:val="21"/>
          <w:szCs w:val="21"/>
          <w:lang w:eastAsia="en-CA"/>
        </w:rPr>
        <w:t>,</w:t>
      </w:r>
      <w:r w:rsidRPr="00F32937">
        <w:rPr>
          <w:rFonts w:ascii="SimSun" w:hAnsi="SimSun"/>
          <w:color w:val="222222"/>
          <w:sz w:val="21"/>
          <w:szCs w:val="21"/>
          <w:lang w:eastAsia="en-CA"/>
        </w:rPr>
        <w:t xml:space="preserve"> </w:t>
      </w:r>
      <w:r w:rsidRPr="00F32937">
        <w:rPr>
          <w:rFonts w:ascii="SimSun" w:hAnsi="SimSun"/>
          <w:color w:val="222222"/>
          <w:sz w:val="21"/>
          <w:szCs w:val="21"/>
          <w:u w:val="single"/>
          <w:lang w:eastAsia="en-CA"/>
        </w:rPr>
        <w:t xml:space="preserve">or </w:t>
      </w:r>
      <w:r w:rsidRPr="00F32937">
        <w:rPr>
          <w:rFonts w:ascii="SimSun" w:hAnsi="SimSun"/>
          <w:color w:val="222222"/>
          <w:sz w:val="21"/>
          <w:szCs w:val="21"/>
          <w:lang w:eastAsia="en-CA"/>
        </w:rPr>
        <w:t>an assignment</w:t>
      </w:r>
      <w:r w:rsidRPr="00F32937">
        <w:rPr>
          <w:rFonts w:ascii="SimSun" w:hAnsi="SimSun"/>
          <w:strike/>
          <w:color w:val="222222"/>
          <w:sz w:val="21"/>
          <w:szCs w:val="21"/>
          <w:lang w:eastAsia="en-CA"/>
        </w:rPr>
        <w:t>, or a change to the composition of applicant(s) or owner(s)</w:t>
      </w:r>
      <w:r w:rsidRPr="00F32937">
        <w:rPr>
          <w:rFonts w:ascii="SimSun" w:hAnsi="SimSun"/>
          <w:color w:val="222222"/>
          <w:sz w:val="21"/>
          <w:szCs w:val="21"/>
          <w:lang w:eastAsia="en-CA"/>
        </w:rPr>
        <w:t xml:space="preserve"> of the application or IP right was recorded by the IPO.</w:t>
      </w:r>
      <w:r w:rsidRPr="00F32937">
        <w:rPr>
          <w:rFonts w:ascii="SimSun" w:hAnsi="SimSun"/>
          <w:color w:val="222222"/>
          <w:sz w:val="21"/>
          <w:szCs w:val="21"/>
          <w:u w:val="single"/>
          <w:lang w:eastAsia="en-CA"/>
        </w:rPr>
        <w:t xml:space="preserve">  </w:t>
      </w:r>
      <w:r w:rsidRPr="00F32937">
        <w:rPr>
          <w:rFonts w:ascii="SimSun" w:hAnsi="SimSun"/>
          <w:bCs/>
          <w:color w:val="222222"/>
          <w:sz w:val="21"/>
          <w:szCs w:val="21"/>
          <w:u w:val="single"/>
          <w:lang w:eastAsia="en-CA"/>
        </w:rPr>
        <w:t>This event indicates that the interest is given by one party to another, such as by a voluntary exchange, an assignment, or a contractual obligation.</w:t>
      </w:r>
      <w:r w:rsidRPr="00F32937">
        <w:rPr>
          <w:rFonts w:ascii="SimSun" w:hAnsi="SimSun"/>
          <w:color w:val="222222"/>
          <w:sz w:val="21"/>
          <w:szCs w:val="21"/>
          <w:lang w:eastAsia="en-CA"/>
        </w:rPr>
        <w:t>)</w:t>
      </w:r>
    </w:p>
    <w:p w14:paraId="6B862ADD" w14:textId="1ACF2888" w:rsidR="001A2212" w:rsidRPr="00F32937" w:rsidRDefault="007B1C75"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一个工作队成员提议一项新事件</w:t>
      </w:r>
      <w:r w:rsidR="00640C5D" w:rsidRPr="00F32937">
        <w:rPr>
          <w:rFonts w:ascii="SimSun" w:hAnsi="SimSun" w:hint="eastAsia"/>
          <w:sz w:val="21"/>
          <w:szCs w:val="21"/>
        </w:rPr>
        <w:t>以</w:t>
      </w:r>
      <w:r w:rsidRPr="00F32937">
        <w:rPr>
          <w:rFonts w:ascii="SimSun" w:hAnsi="SimSun" w:hint="eastAsia"/>
          <w:sz w:val="21"/>
          <w:szCs w:val="21"/>
        </w:rPr>
        <w:t>对补充保护证书（SPC）生效进行记录。工作队认为这一事件是有必要的，因为很多知识产权局在其对《产权组织手册》第七部分中SPC和专利期限延长（PTE）所作调查的回复中报告说它们有针对这一情况的国家事件</w:t>
      </w:r>
      <w:r w:rsidR="00186697" w:rsidRPr="00F32937">
        <w:rPr>
          <w:rFonts w:ascii="SimSun" w:hAnsi="SimSun" w:hint="eastAsia"/>
          <w:sz w:val="21"/>
          <w:szCs w:val="21"/>
        </w:rPr>
        <w:t>。工作队建议为产权组织标准ST.27增加以下新事件</w:t>
      </w:r>
      <w:r w:rsidRPr="00F32937">
        <w:rPr>
          <w:rFonts w:ascii="SimSun" w:hAnsi="SimSun" w:hint="eastAsia"/>
          <w:sz w:val="21"/>
          <w:szCs w:val="21"/>
        </w:rPr>
        <w:t>：</w:t>
      </w:r>
    </w:p>
    <w:p w14:paraId="6451CB1C" w14:textId="1429DCE4" w:rsidR="001A2212" w:rsidRPr="00F32937" w:rsidRDefault="001A2212" w:rsidP="00DB6ACE">
      <w:pPr>
        <w:spacing w:afterLines="50" w:after="120" w:line="340" w:lineRule="atLeast"/>
        <w:ind w:left="1134" w:hanging="567"/>
        <w:jc w:val="both"/>
        <w:rPr>
          <w:rFonts w:ascii="SimSun" w:hAnsi="SimSun"/>
          <w:sz w:val="21"/>
          <w:szCs w:val="21"/>
        </w:rPr>
      </w:pPr>
      <w:r w:rsidRPr="00F32937">
        <w:rPr>
          <w:rFonts w:ascii="SimSun" w:hAnsi="SimSun"/>
          <w:bCs/>
          <w:sz w:val="21"/>
          <w:szCs w:val="21"/>
          <w:u w:val="single"/>
        </w:rPr>
        <w:t>F17.</w:t>
      </w:r>
      <w:r w:rsidRPr="00F32937">
        <w:rPr>
          <w:rFonts w:ascii="SimSun" w:hAnsi="SimSun"/>
          <w:b/>
          <w:bCs/>
          <w:sz w:val="21"/>
          <w:szCs w:val="21"/>
          <w:u w:val="single"/>
        </w:rPr>
        <w:tab/>
      </w:r>
      <w:r w:rsidRPr="00F32937">
        <w:rPr>
          <w:rFonts w:ascii="SimSun" w:hAnsi="SimSun"/>
          <w:bCs/>
          <w:sz w:val="21"/>
          <w:szCs w:val="21"/>
          <w:u w:val="single"/>
        </w:rPr>
        <w:t>IP right entered into force.</w:t>
      </w:r>
      <w:r w:rsidRPr="00F32937">
        <w:rPr>
          <w:rFonts w:ascii="SimSun" w:hAnsi="SimSun"/>
          <w:sz w:val="21"/>
          <w:szCs w:val="21"/>
          <w:u w:val="single"/>
        </w:rPr>
        <w:t> (This event is for IP rights which enter into force at a later time after the grant, such as SPCs.  Offices do not need to use this event when the grant and entry into force occur at the same time, such as a patent grant.)</w:t>
      </w:r>
    </w:p>
    <w:p w14:paraId="3251E2BE" w14:textId="3E794CD0" w:rsidR="00AA65C5" w:rsidRPr="00F32937" w:rsidRDefault="00BD2D63"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工作队建议将S</w:t>
      </w:r>
      <w:r w:rsidR="00656A40" w:rsidRPr="00F32937">
        <w:rPr>
          <w:rFonts w:ascii="SimSun" w:hAnsi="SimSun" w:hint="eastAsia"/>
          <w:sz w:val="21"/>
          <w:szCs w:val="21"/>
        </w:rPr>
        <w:t>类</w:t>
      </w:r>
      <w:r w:rsidRPr="00F32937">
        <w:rPr>
          <w:rFonts w:ascii="SimSun" w:hAnsi="SimSun" w:hint="eastAsia"/>
          <w:sz w:val="21"/>
          <w:szCs w:val="21"/>
        </w:rPr>
        <w:t>的名称</w:t>
      </w:r>
      <w:r w:rsidR="00656A40" w:rsidRPr="00F32937">
        <w:rPr>
          <w:rFonts w:ascii="SimSun" w:hAnsi="SimSun" w:hint="eastAsia"/>
          <w:sz w:val="21"/>
          <w:szCs w:val="21"/>
        </w:rPr>
        <w:t>从</w:t>
      </w:r>
      <w:r w:rsidRPr="00F32937">
        <w:rPr>
          <w:rFonts w:ascii="SimSun" w:hAnsi="SimSun" w:hint="eastAsia"/>
          <w:sz w:val="21"/>
          <w:szCs w:val="21"/>
        </w:rPr>
        <w:t>“许可”改为“许可和相关交易”，以便更好地反映S</w:t>
      </w:r>
      <w:r w:rsidR="00656A40" w:rsidRPr="00F32937">
        <w:rPr>
          <w:rFonts w:ascii="SimSun" w:hAnsi="SimSun" w:hint="eastAsia"/>
          <w:sz w:val="21"/>
          <w:szCs w:val="21"/>
        </w:rPr>
        <w:t>类</w:t>
      </w:r>
      <w:r w:rsidRPr="00F32937">
        <w:rPr>
          <w:rFonts w:ascii="SimSun" w:hAnsi="SimSun" w:hint="eastAsia"/>
          <w:sz w:val="21"/>
          <w:szCs w:val="21"/>
        </w:rPr>
        <w:t>中不涉及许可的事件，例如担保权益或许可费协议。工作队还考虑削减S</w:t>
      </w:r>
      <w:r w:rsidR="00656A40" w:rsidRPr="00F32937">
        <w:rPr>
          <w:rFonts w:ascii="SimSun" w:hAnsi="SimSun" w:hint="eastAsia"/>
          <w:sz w:val="21"/>
          <w:szCs w:val="21"/>
        </w:rPr>
        <w:t>类</w:t>
      </w:r>
      <w:r w:rsidR="002954FC" w:rsidRPr="00F32937">
        <w:rPr>
          <w:rFonts w:ascii="SimSun" w:hAnsi="SimSun" w:hint="eastAsia"/>
          <w:sz w:val="21"/>
          <w:szCs w:val="21"/>
        </w:rPr>
        <w:t>中</w:t>
      </w:r>
      <w:r w:rsidRPr="00F32937">
        <w:rPr>
          <w:rFonts w:ascii="SimSun" w:hAnsi="SimSun" w:hint="eastAsia"/>
          <w:sz w:val="21"/>
          <w:szCs w:val="21"/>
        </w:rPr>
        <w:t>的事件数量，因为一些许可事件的特点可能更适宜被</w:t>
      </w:r>
      <w:r w:rsidR="00581F26">
        <w:rPr>
          <w:rFonts w:ascii="SimSun" w:hAnsi="SimSun" w:hint="eastAsia"/>
          <w:sz w:val="21"/>
          <w:szCs w:val="21"/>
        </w:rPr>
        <w:t>作</w:t>
      </w:r>
      <w:r w:rsidRPr="00F32937">
        <w:rPr>
          <w:rFonts w:ascii="SimSun" w:hAnsi="SimSun" w:hint="eastAsia"/>
          <w:sz w:val="21"/>
          <w:szCs w:val="21"/>
        </w:rPr>
        <w:t>为补充数据</w:t>
      </w:r>
      <w:r w:rsidR="00581F26">
        <w:rPr>
          <w:rFonts w:ascii="SimSun" w:hAnsi="SimSun" w:hint="eastAsia"/>
          <w:sz w:val="21"/>
          <w:szCs w:val="21"/>
        </w:rPr>
        <w:t>记录</w:t>
      </w:r>
      <w:r w:rsidRPr="00F32937">
        <w:rPr>
          <w:rFonts w:ascii="SimSun" w:hAnsi="SimSun" w:hint="eastAsia"/>
          <w:sz w:val="21"/>
          <w:szCs w:val="21"/>
        </w:rPr>
        <w:t>。</w:t>
      </w:r>
      <w:r w:rsidR="002954FC" w:rsidRPr="00F32937">
        <w:rPr>
          <w:rFonts w:ascii="SimSun" w:hAnsi="SimSun" w:hint="eastAsia"/>
          <w:sz w:val="21"/>
          <w:szCs w:val="21"/>
        </w:rPr>
        <w:t>在提出提案</w:t>
      </w:r>
      <w:r w:rsidR="00581F26">
        <w:rPr>
          <w:rFonts w:ascii="SimSun" w:hAnsi="SimSun" w:hint="eastAsia"/>
          <w:sz w:val="21"/>
          <w:szCs w:val="21"/>
        </w:rPr>
        <w:t>之前</w:t>
      </w:r>
      <w:r w:rsidR="002954FC" w:rsidRPr="00F32937">
        <w:rPr>
          <w:rFonts w:ascii="SimSun" w:hAnsi="SimSun" w:hint="eastAsia"/>
          <w:sz w:val="21"/>
          <w:szCs w:val="21"/>
        </w:rPr>
        <w:t>尚需进行更多研究。</w:t>
      </w:r>
    </w:p>
    <w:p w14:paraId="643FD133" w14:textId="6CDE7D9F" w:rsidR="00DA6500" w:rsidRPr="007F04C2" w:rsidRDefault="00656A40" w:rsidP="007F04C2">
      <w:pPr>
        <w:pStyle w:val="Heading2"/>
        <w:spacing w:beforeLines="100" w:afterLines="50" w:after="120" w:line="340" w:lineRule="atLeast"/>
        <w:rPr>
          <w:rFonts w:ascii="SimHei" w:eastAsia="SimHei" w:hAnsi="SimHei"/>
          <w:caps w:val="0"/>
          <w:sz w:val="21"/>
        </w:rPr>
      </w:pPr>
      <w:r w:rsidRPr="007F04C2">
        <w:rPr>
          <w:rFonts w:ascii="SimHei" w:eastAsia="SimHei" w:hAnsi="SimHei" w:hint="eastAsia"/>
          <w:caps w:val="0"/>
          <w:sz w:val="21"/>
        </w:rPr>
        <w:t>产权组织标准ST.27的新附件五</w:t>
      </w:r>
    </w:p>
    <w:p w14:paraId="7F498058" w14:textId="7D7824E8" w:rsidR="00DA6500" w:rsidRPr="00F32937" w:rsidRDefault="00A441C3"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根据标准委员会第六届会议上</w:t>
      </w:r>
      <w:r w:rsidR="008E34EB" w:rsidRPr="00F32937">
        <w:rPr>
          <w:rFonts w:ascii="SimSun" w:hAnsi="SimSun" w:hint="eastAsia"/>
          <w:sz w:val="21"/>
          <w:szCs w:val="21"/>
        </w:rPr>
        <w:t>做出的决定，工作队努力拟定“</w:t>
      </w:r>
      <w:r w:rsidRPr="00F32937">
        <w:rPr>
          <w:rFonts w:ascii="SimSun" w:hAnsi="SimSun" w:hint="eastAsia"/>
          <w:sz w:val="21"/>
          <w:szCs w:val="21"/>
        </w:rPr>
        <w:t>指导</w:t>
      </w:r>
      <w:r w:rsidR="008E34EB" w:rsidRPr="00F32937">
        <w:rPr>
          <w:rFonts w:ascii="SimSun" w:hAnsi="SimSun" w:hint="eastAsia"/>
          <w:sz w:val="21"/>
          <w:szCs w:val="21"/>
        </w:rPr>
        <w:t>文件”</w:t>
      </w:r>
      <w:r w:rsidRPr="00F32937">
        <w:rPr>
          <w:rFonts w:ascii="SimSun" w:hAnsi="SimSun" w:hint="eastAsia"/>
          <w:sz w:val="21"/>
          <w:szCs w:val="21"/>
        </w:rPr>
        <w:t>的最终提案。工作队编写了一套新案例以协助知识产权局和其他相关方理解如何应用ST.27。新案例围绕工作队发现的一系列常见情况编写，包括若干主管局提供的每一种情况的相关案例。案例旨在更好地显示如何将国家事件映射到ST.27事件，以及如何将这些映射信息转换成ST.27数据文档以供与其他相关方交换。</w:t>
      </w:r>
    </w:p>
    <w:p w14:paraId="08E41138" w14:textId="577365FB" w:rsidR="00DA6500" w:rsidRPr="00F32937" w:rsidRDefault="00300C81"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考虑到</w:t>
      </w:r>
      <w:r w:rsidR="002816E1" w:rsidRPr="00F32937">
        <w:rPr>
          <w:rFonts w:ascii="SimSun" w:hAnsi="SimSun" w:hint="eastAsia"/>
          <w:sz w:val="21"/>
          <w:szCs w:val="21"/>
        </w:rPr>
        <w:t>新案例的长度和</w:t>
      </w:r>
      <w:r w:rsidR="00BD22BD" w:rsidRPr="00F32937">
        <w:rPr>
          <w:rFonts w:ascii="SimSun" w:hAnsi="SimSun" w:hint="eastAsia"/>
          <w:sz w:val="21"/>
          <w:szCs w:val="21"/>
        </w:rPr>
        <w:t>有所不</w:t>
      </w:r>
      <w:r w:rsidR="002816E1" w:rsidRPr="00F32937">
        <w:rPr>
          <w:rFonts w:ascii="SimSun" w:hAnsi="SimSun" w:hint="eastAsia"/>
          <w:sz w:val="21"/>
          <w:szCs w:val="21"/>
        </w:rPr>
        <w:t>同的目的，建议将其放在ST.27的新附件中，而不将其纳入现有的ST.27附件五的指导文件。根据这一建议，新案例将被放在标题为“常见情况指导文件”的新附件五中。现有的附件五“指导文件”将被重新编号为</w:t>
      </w:r>
      <w:r w:rsidR="00EA25D8" w:rsidRPr="00F32937">
        <w:rPr>
          <w:rFonts w:ascii="SimSun" w:hAnsi="SimSun" w:hint="eastAsia"/>
          <w:sz w:val="21"/>
          <w:szCs w:val="21"/>
        </w:rPr>
        <w:t>附件六，</w:t>
      </w:r>
      <w:r w:rsidR="00980EDF" w:rsidRPr="00F32937">
        <w:rPr>
          <w:rFonts w:ascii="SimSun" w:hAnsi="SimSun" w:hint="eastAsia"/>
          <w:sz w:val="21"/>
          <w:szCs w:val="21"/>
        </w:rPr>
        <w:t>标题为“基于类别的指导</w:t>
      </w:r>
      <w:r w:rsidR="002816E1" w:rsidRPr="00F32937">
        <w:rPr>
          <w:rFonts w:ascii="SimSun" w:hAnsi="SimSun" w:hint="eastAsia"/>
          <w:sz w:val="21"/>
          <w:szCs w:val="21"/>
        </w:rPr>
        <w:t>文件”。</w:t>
      </w:r>
    </w:p>
    <w:p w14:paraId="1CB02B8B" w14:textId="0FBA2E22" w:rsidR="00DA6500" w:rsidRPr="00F32937" w:rsidRDefault="00255DD8"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拟议的ST.27的新附件五</w:t>
      </w:r>
      <w:r w:rsidR="009D4221" w:rsidRPr="00F32937">
        <w:rPr>
          <w:rFonts w:ascii="SimSun" w:hAnsi="SimSun" w:hint="eastAsia"/>
          <w:sz w:val="21"/>
          <w:szCs w:val="21"/>
        </w:rPr>
        <w:t>作为</w:t>
      </w:r>
      <w:r w:rsidRPr="00F32937">
        <w:rPr>
          <w:rFonts w:ascii="SimSun" w:hAnsi="SimSun" w:hint="eastAsia"/>
          <w:sz w:val="21"/>
          <w:szCs w:val="21"/>
        </w:rPr>
        <w:t>本文件附件一</w:t>
      </w:r>
      <w:r w:rsidR="009D4221" w:rsidRPr="00F32937">
        <w:rPr>
          <w:rFonts w:ascii="SimSun" w:hAnsi="SimSun" w:hint="eastAsia"/>
          <w:sz w:val="21"/>
          <w:szCs w:val="21"/>
        </w:rPr>
        <w:t>提交</w:t>
      </w:r>
      <w:r w:rsidRPr="00F32937">
        <w:rPr>
          <w:rFonts w:ascii="SimSun" w:hAnsi="SimSun" w:hint="eastAsia"/>
          <w:sz w:val="21"/>
          <w:szCs w:val="21"/>
        </w:rPr>
        <w:t>。目前的ST.27附件五</w:t>
      </w:r>
      <w:r w:rsidR="00F34537" w:rsidRPr="00F32937">
        <w:rPr>
          <w:rFonts w:ascii="SimSun" w:hAnsi="SimSun" w:hint="eastAsia"/>
          <w:sz w:val="21"/>
          <w:szCs w:val="21"/>
        </w:rPr>
        <w:t>除编号和新标题之外不会有任何</w:t>
      </w:r>
      <w:r w:rsidR="009D4221" w:rsidRPr="00F32937">
        <w:rPr>
          <w:rFonts w:ascii="SimSun" w:hAnsi="SimSun" w:hint="eastAsia"/>
          <w:sz w:val="21"/>
          <w:szCs w:val="21"/>
        </w:rPr>
        <w:t>更改</w:t>
      </w:r>
      <w:r w:rsidR="00F34537" w:rsidRPr="00F32937">
        <w:rPr>
          <w:rFonts w:ascii="SimSun" w:hAnsi="SimSun" w:hint="eastAsia"/>
          <w:sz w:val="21"/>
          <w:szCs w:val="21"/>
        </w:rPr>
        <w:t>。因此，</w:t>
      </w:r>
      <w:r w:rsidR="001E4CA9" w:rsidRPr="00F32937">
        <w:rPr>
          <w:rFonts w:ascii="SimSun" w:hAnsi="SimSun" w:hint="eastAsia"/>
          <w:sz w:val="21"/>
          <w:szCs w:val="21"/>
        </w:rPr>
        <w:t>不</w:t>
      </w:r>
      <w:r w:rsidR="00F34537" w:rsidRPr="00F32937">
        <w:rPr>
          <w:rFonts w:ascii="SimSun" w:hAnsi="SimSun" w:hint="eastAsia"/>
          <w:sz w:val="21"/>
          <w:szCs w:val="21"/>
        </w:rPr>
        <w:t>将其提交标准委员会审议。</w:t>
      </w:r>
    </w:p>
    <w:p w14:paraId="5F585C3F" w14:textId="3FEEE78C" w:rsidR="00B46864" w:rsidRPr="007F04C2" w:rsidRDefault="008A3558" w:rsidP="007F04C2">
      <w:pPr>
        <w:pStyle w:val="Heading2"/>
        <w:spacing w:beforeLines="100" w:afterLines="50" w:after="120" w:line="340" w:lineRule="atLeast"/>
        <w:rPr>
          <w:rFonts w:ascii="SimHei" w:eastAsia="SimHei" w:hAnsi="SimHei"/>
          <w:caps w:val="0"/>
          <w:sz w:val="21"/>
        </w:rPr>
      </w:pPr>
      <w:r w:rsidRPr="007F04C2">
        <w:rPr>
          <w:rFonts w:ascii="SimHei" w:eastAsia="SimHei" w:hAnsi="SimHei" w:hint="eastAsia"/>
          <w:caps w:val="0"/>
          <w:sz w:val="21"/>
        </w:rPr>
        <w:t>关于事件组织</w:t>
      </w:r>
      <w:r w:rsidR="00235EBF" w:rsidRPr="007F04C2">
        <w:rPr>
          <w:rFonts w:ascii="SimHei" w:eastAsia="SimHei" w:hAnsi="SimHei" w:hint="eastAsia"/>
          <w:caps w:val="0"/>
          <w:sz w:val="21"/>
        </w:rPr>
        <w:t>结构</w:t>
      </w:r>
      <w:r w:rsidRPr="007F04C2">
        <w:rPr>
          <w:rFonts w:ascii="SimHei" w:eastAsia="SimHei" w:hAnsi="SimHei" w:hint="eastAsia"/>
          <w:caps w:val="0"/>
          <w:sz w:val="21"/>
        </w:rPr>
        <w:t>的讨论</w:t>
      </w:r>
    </w:p>
    <w:p w14:paraId="6AED09F4" w14:textId="6B8F317B" w:rsidR="00392055" w:rsidRPr="00F32937" w:rsidRDefault="008A3558"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国际局利用各知识产权局提供的映射表，对ST.27中的事件进行了一致性和实用性审查。</w:t>
      </w:r>
      <w:r w:rsidR="00235EBF" w:rsidRPr="00F32937">
        <w:rPr>
          <w:rFonts w:ascii="SimSun" w:hAnsi="SimSun" w:hint="eastAsia"/>
          <w:sz w:val="21"/>
          <w:szCs w:val="21"/>
        </w:rPr>
        <w:t>这一分析发现了</w:t>
      </w:r>
      <w:r w:rsidRPr="00F32937">
        <w:rPr>
          <w:rFonts w:ascii="SimSun" w:hAnsi="SimSun" w:hint="eastAsia"/>
          <w:sz w:val="21"/>
          <w:szCs w:val="21"/>
        </w:rPr>
        <w:t>事件组织</w:t>
      </w:r>
      <w:r w:rsidR="00235EBF" w:rsidRPr="00F32937">
        <w:rPr>
          <w:rFonts w:ascii="SimSun" w:hAnsi="SimSun" w:hint="eastAsia"/>
          <w:sz w:val="21"/>
          <w:szCs w:val="21"/>
        </w:rPr>
        <w:t>结构</w:t>
      </w:r>
      <w:r w:rsidRPr="00F32937">
        <w:rPr>
          <w:rFonts w:ascii="SimSun" w:hAnsi="SimSun" w:hint="eastAsia"/>
          <w:sz w:val="21"/>
          <w:szCs w:val="21"/>
        </w:rPr>
        <w:t>中可以改进的一些领域。产权组织标准ST.27（1.1版）中的168项事件中，有46项事件（25%）与同一类别中的另一项事件</w:t>
      </w:r>
      <w:r w:rsidR="00235EBF" w:rsidRPr="00F32937">
        <w:rPr>
          <w:rFonts w:ascii="SimSun" w:hAnsi="SimSun" w:hint="eastAsia"/>
          <w:sz w:val="21"/>
          <w:szCs w:val="21"/>
        </w:rPr>
        <w:t>有直接关联</w:t>
      </w:r>
      <w:r w:rsidRPr="00F32937">
        <w:rPr>
          <w:rFonts w:ascii="SimSun" w:hAnsi="SimSun" w:hint="eastAsia"/>
          <w:sz w:val="21"/>
          <w:szCs w:val="21"/>
        </w:rPr>
        <w:t>。例如，A</w:t>
      </w:r>
      <w:r w:rsidRPr="00F32937">
        <w:rPr>
          <w:rFonts w:ascii="SimSun" w:hAnsi="SimSun"/>
          <w:sz w:val="21"/>
          <w:szCs w:val="21"/>
        </w:rPr>
        <w:t>1</w:t>
      </w:r>
      <w:r w:rsidRPr="00F32937">
        <w:rPr>
          <w:rFonts w:ascii="SimSun" w:hAnsi="SimSun" w:hint="eastAsia"/>
          <w:sz w:val="21"/>
          <w:szCs w:val="21"/>
        </w:rPr>
        <w:t>6</w:t>
      </w:r>
      <w:r w:rsidR="0076400A" w:rsidRPr="00F32937">
        <w:rPr>
          <w:rFonts w:ascii="SimSun" w:hAnsi="SimSun" w:hint="eastAsia"/>
          <w:sz w:val="21"/>
          <w:szCs w:val="21"/>
        </w:rPr>
        <w:t>针对的是提交分案申请，</w:t>
      </w:r>
      <w:r w:rsidRPr="00F32937">
        <w:rPr>
          <w:rFonts w:ascii="SimSun" w:hAnsi="SimSun" w:hint="eastAsia"/>
          <w:sz w:val="21"/>
          <w:szCs w:val="21"/>
        </w:rPr>
        <w:t>A17针对的是</w:t>
      </w:r>
      <w:r w:rsidR="00EE1F04" w:rsidRPr="00F32937">
        <w:rPr>
          <w:rFonts w:ascii="SimSun" w:hAnsi="SimSun" w:hint="eastAsia"/>
          <w:sz w:val="21"/>
          <w:szCs w:val="21"/>
        </w:rPr>
        <w:t>驳回</w:t>
      </w:r>
      <w:r w:rsidRPr="00F32937">
        <w:rPr>
          <w:rFonts w:ascii="SimSun" w:hAnsi="SimSun" w:hint="eastAsia"/>
          <w:sz w:val="21"/>
          <w:szCs w:val="21"/>
        </w:rPr>
        <w:t>分案申请，而A18针对的是</w:t>
      </w:r>
      <w:r w:rsidR="00800F5B" w:rsidRPr="00F32937">
        <w:rPr>
          <w:rFonts w:ascii="SimSun" w:hAnsi="SimSun" w:hint="eastAsia"/>
          <w:sz w:val="21"/>
          <w:szCs w:val="21"/>
        </w:rPr>
        <w:t>受理</w:t>
      </w:r>
      <w:r w:rsidRPr="00F32937">
        <w:rPr>
          <w:rFonts w:ascii="SimSun" w:hAnsi="SimSun" w:hint="eastAsia"/>
          <w:sz w:val="21"/>
          <w:szCs w:val="21"/>
        </w:rPr>
        <w:t>分案申请。A17或A18发生的前提是事件历史中应包含以往的A16事件。</w:t>
      </w:r>
    </w:p>
    <w:p w14:paraId="3A94FC94" w14:textId="20E48A90" w:rsidR="004530DF" w:rsidRPr="00F32937" w:rsidRDefault="00B646BA"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但是，这些关联没有反映在主管局交换的ST.27事件数据中。事件代码A16、A17和A18没有说明这些事件相互依存。</w:t>
      </w:r>
      <w:r w:rsidR="00D272D5" w:rsidRPr="00F32937">
        <w:rPr>
          <w:rFonts w:ascii="SimSun" w:hAnsi="SimSun" w:hint="eastAsia"/>
          <w:sz w:val="21"/>
          <w:szCs w:val="21"/>
        </w:rPr>
        <w:t>更加明确</w:t>
      </w:r>
      <w:r w:rsidRPr="00F32937">
        <w:rPr>
          <w:rFonts w:ascii="SimSun" w:hAnsi="SimSun" w:hint="eastAsia"/>
          <w:sz w:val="21"/>
          <w:szCs w:val="21"/>
        </w:rPr>
        <w:t>主管局</w:t>
      </w:r>
      <w:r w:rsidR="00F332D2" w:rsidRPr="00F32937">
        <w:rPr>
          <w:rFonts w:ascii="SimSun" w:hAnsi="SimSun" w:hint="eastAsia"/>
          <w:sz w:val="21"/>
          <w:szCs w:val="21"/>
        </w:rPr>
        <w:t>之间</w:t>
      </w:r>
      <w:r w:rsidRPr="00F32937">
        <w:rPr>
          <w:rFonts w:ascii="SimSun" w:hAnsi="SimSun" w:hint="eastAsia"/>
          <w:sz w:val="21"/>
          <w:szCs w:val="21"/>
        </w:rPr>
        <w:t>交换的数据中事件之间的关联可以使ST.27更易于理解、实施和</w:t>
      </w:r>
      <w:r w:rsidR="009C0934">
        <w:rPr>
          <w:rFonts w:ascii="SimSun" w:hAnsi="SimSun" w:hint="eastAsia"/>
          <w:sz w:val="21"/>
          <w:szCs w:val="21"/>
        </w:rPr>
        <w:t>使用</w:t>
      </w:r>
      <w:r w:rsidRPr="00F32937">
        <w:rPr>
          <w:rFonts w:ascii="SimSun" w:hAnsi="SimSun" w:hint="eastAsia"/>
          <w:sz w:val="21"/>
          <w:szCs w:val="21"/>
        </w:rPr>
        <w:t>。</w:t>
      </w:r>
    </w:p>
    <w:p w14:paraId="0B524AC1" w14:textId="3FD88FFD" w:rsidR="003A7994" w:rsidRPr="00F32937" w:rsidRDefault="00651070"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国际局经与工作队成员磋商后向工作队提出</w:t>
      </w:r>
      <w:r w:rsidR="009F7BD6" w:rsidRPr="00F32937">
        <w:rPr>
          <w:rFonts w:ascii="SimSun" w:hAnsi="SimSun" w:hint="eastAsia"/>
          <w:sz w:val="21"/>
          <w:szCs w:val="21"/>
        </w:rPr>
        <w:t>了</w:t>
      </w:r>
      <w:r w:rsidRPr="00F32937">
        <w:rPr>
          <w:rFonts w:ascii="SimSun" w:hAnsi="SimSun" w:hint="eastAsia"/>
          <w:sz w:val="21"/>
          <w:szCs w:val="21"/>
        </w:rPr>
        <w:t>一项提案，用三</w:t>
      </w:r>
      <w:r w:rsidR="00786316" w:rsidRPr="00F32937">
        <w:rPr>
          <w:rFonts w:ascii="SimSun" w:hAnsi="SimSun" w:hint="eastAsia"/>
          <w:sz w:val="21"/>
          <w:szCs w:val="21"/>
        </w:rPr>
        <w:t>个额外</w:t>
      </w:r>
      <w:r w:rsidRPr="00F32937">
        <w:rPr>
          <w:rFonts w:ascii="SimSun" w:hAnsi="SimSun" w:hint="eastAsia"/>
          <w:sz w:val="21"/>
          <w:szCs w:val="21"/>
        </w:rPr>
        <w:t>字符来扩</w:t>
      </w:r>
      <w:r w:rsidR="009F7BD6" w:rsidRPr="00F32937">
        <w:rPr>
          <w:rFonts w:ascii="SimSun" w:hAnsi="SimSun" w:hint="eastAsia"/>
          <w:sz w:val="21"/>
          <w:szCs w:val="21"/>
        </w:rPr>
        <w:t>展</w:t>
      </w:r>
      <w:r w:rsidRPr="00F32937">
        <w:rPr>
          <w:rFonts w:ascii="SimSun" w:hAnsi="SimSun" w:hint="eastAsia"/>
          <w:sz w:val="21"/>
          <w:szCs w:val="21"/>
        </w:rPr>
        <w:t>ST.27的编码，以反映事件所包含的程序类型。这一</w:t>
      </w:r>
      <w:r w:rsidR="00EB5CD1" w:rsidRPr="00F32937">
        <w:rPr>
          <w:rFonts w:ascii="SimSun" w:hAnsi="SimSun" w:hint="eastAsia"/>
          <w:sz w:val="21"/>
          <w:szCs w:val="21"/>
        </w:rPr>
        <w:t>提案</w:t>
      </w:r>
      <w:r w:rsidRPr="00F32937">
        <w:rPr>
          <w:rFonts w:ascii="SimSun" w:hAnsi="SimSun" w:hint="eastAsia"/>
          <w:sz w:val="21"/>
          <w:szCs w:val="21"/>
        </w:rPr>
        <w:t>旨在通过进一步明确事件之间的某种关联以改进ST.27，并提供下述若干其他</w:t>
      </w:r>
      <w:r w:rsidR="00CD130A" w:rsidRPr="00F32937">
        <w:rPr>
          <w:rFonts w:ascii="SimSun" w:hAnsi="SimSun" w:hint="eastAsia"/>
          <w:sz w:val="21"/>
          <w:szCs w:val="21"/>
        </w:rPr>
        <w:t>好</w:t>
      </w:r>
      <w:r w:rsidRPr="00F32937">
        <w:rPr>
          <w:rFonts w:ascii="SimSun" w:hAnsi="SimSun" w:hint="eastAsia"/>
          <w:sz w:val="21"/>
          <w:szCs w:val="21"/>
        </w:rPr>
        <w:t>处。</w:t>
      </w:r>
    </w:p>
    <w:p w14:paraId="30C9F27D" w14:textId="5C4A92C5" w:rsidR="003D16B8" w:rsidRPr="00F32937" w:rsidRDefault="00EB5CD1"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该提案中载有</w:t>
      </w:r>
      <w:r w:rsidR="00CD730B">
        <w:rPr>
          <w:rFonts w:ascii="SimSun" w:hAnsi="SimSun" w:hint="eastAsia"/>
          <w:sz w:val="21"/>
          <w:szCs w:val="21"/>
        </w:rPr>
        <w:t>一份</w:t>
      </w:r>
      <w:r w:rsidRPr="00F32937">
        <w:rPr>
          <w:rFonts w:ascii="SimSun" w:hAnsi="SimSun" w:hint="eastAsia"/>
          <w:sz w:val="21"/>
          <w:szCs w:val="21"/>
        </w:rPr>
        <w:t>15个</w:t>
      </w:r>
      <w:r w:rsidR="00DF6DA7" w:rsidRPr="00F32937">
        <w:rPr>
          <w:rFonts w:ascii="SimSun" w:hAnsi="SimSun" w:hint="eastAsia"/>
          <w:sz w:val="21"/>
          <w:szCs w:val="21"/>
        </w:rPr>
        <w:t>标签</w:t>
      </w:r>
      <w:r w:rsidRPr="00F32937">
        <w:rPr>
          <w:rFonts w:ascii="SimSun" w:hAnsi="SimSun" w:hint="eastAsia"/>
          <w:sz w:val="21"/>
          <w:szCs w:val="21"/>
        </w:rPr>
        <w:t>的列表，能</w:t>
      </w:r>
      <w:r w:rsidR="00FB4D7B" w:rsidRPr="00F32937">
        <w:rPr>
          <w:rFonts w:ascii="SimSun" w:hAnsi="SimSun" w:hint="eastAsia"/>
          <w:sz w:val="21"/>
          <w:szCs w:val="21"/>
        </w:rPr>
        <w:t>够</w:t>
      </w:r>
      <w:r w:rsidRPr="00F32937">
        <w:rPr>
          <w:rFonts w:ascii="SimSun" w:hAnsi="SimSun" w:hint="eastAsia"/>
          <w:sz w:val="21"/>
          <w:szCs w:val="21"/>
        </w:rPr>
        <w:t>涵盖ST.27中的全部168个事件。</w:t>
      </w:r>
      <w:r w:rsidR="00333168" w:rsidRPr="00F32937">
        <w:rPr>
          <w:rFonts w:ascii="SimSun" w:hAnsi="SimSun" w:hint="eastAsia"/>
          <w:sz w:val="21"/>
          <w:szCs w:val="21"/>
        </w:rPr>
        <w:t>这些</w:t>
      </w:r>
      <w:r w:rsidR="00DF6DA7" w:rsidRPr="00F32937">
        <w:rPr>
          <w:rFonts w:ascii="SimSun" w:hAnsi="SimSun" w:hint="eastAsia"/>
          <w:sz w:val="21"/>
          <w:szCs w:val="21"/>
        </w:rPr>
        <w:t>标签</w:t>
      </w:r>
      <w:r w:rsidR="00333168" w:rsidRPr="00F32937">
        <w:rPr>
          <w:rFonts w:ascii="SimSun" w:hAnsi="SimSun" w:hint="eastAsia"/>
          <w:sz w:val="21"/>
          <w:szCs w:val="21"/>
        </w:rPr>
        <w:t>及其含义列于本文件附件二</w:t>
      </w:r>
      <w:r w:rsidR="00F145C0">
        <w:rPr>
          <w:rFonts w:ascii="SimSun" w:hAnsi="SimSun" w:hint="eastAsia"/>
          <w:sz w:val="21"/>
          <w:szCs w:val="21"/>
        </w:rPr>
        <w:t>，</w:t>
      </w:r>
      <w:r w:rsidR="00333168" w:rsidRPr="00F32937">
        <w:rPr>
          <w:rFonts w:ascii="SimSun" w:hAnsi="SimSun" w:hint="eastAsia"/>
          <w:sz w:val="21"/>
          <w:szCs w:val="21"/>
        </w:rPr>
        <w:t>供标准委员会提出评论意见。</w:t>
      </w:r>
    </w:p>
    <w:p w14:paraId="25D3A547" w14:textId="4A6F783F" w:rsidR="0064043D" w:rsidRPr="00F32937" w:rsidRDefault="00333168"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例如，使用这些</w:t>
      </w:r>
      <w:r w:rsidR="00DF6DA7" w:rsidRPr="00F32937">
        <w:rPr>
          <w:rFonts w:ascii="SimSun" w:hAnsi="SimSun" w:hint="eastAsia"/>
          <w:sz w:val="21"/>
          <w:szCs w:val="21"/>
        </w:rPr>
        <w:t>标签</w:t>
      </w:r>
      <w:r w:rsidRPr="00F32937">
        <w:rPr>
          <w:rFonts w:ascii="SimSun" w:hAnsi="SimSun" w:hint="eastAsia"/>
          <w:sz w:val="21"/>
          <w:szCs w:val="21"/>
        </w:rPr>
        <w:t>：</w:t>
      </w:r>
    </w:p>
    <w:p w14:paraId="58FE6B08" w14:textId="1AB66EE8" w:rsidR="00FE76CC" w:rsidRPr="00F32937" w:rsidRDefault="00BA5CF5" w:rsidP="00DB6ACE">
      <w:pPr>
        <w:pStyle w:val="ListParagraph"/>
        <w:numPr>
          <w:ilvl w:val="0"/>
          <w:numId w:val="11"/>
        </w:numPr>
        <w:spacing w:afterLines="50" w:after="120" w:line="340" w:lineRule="atLeast"/>
        <w:ind w:left="924" w:hanging="357"/>
        <w:rPr>
          <w:rFonts w:ascii="SimSun" w:hAnsi="SimSun"/>
          <w:sz w:val="21"/>
          <w:szCs w:val="21"/>
        </w:rPr>
      </w:pPr>
      <w:r w:rsidRPr="00F32937">
        <w:rPr>
          <w:rFonts w:ascii="SimSun" w:hAnsi="SimSun"/>
          <w:sz w:val="21"/>
          <w:szCs w:val="21"/>
        </w:rPr>
        <w:t>A16</w:t>
      </w:r>
      <w:r w:rsidRPr="00F32937">
        <w:rPr>
          <w:rFonts w:ascii="SimSun" w:hAnsi="SimSun" w:hint="eastAsia"/>
          <w:sz w:val="21"/>
          <w:szCs w:val="21"/>
        </w:rPr>
        <w:t>可以被改为A16.fil，因为它涉及</w:t>
      </w:r>
      <w:r w:rsidR="000370ED" w:rsidRPr="00F32937">
        <w:rPr>
          <w:rFonts w:ascii="SimSun" w:hAnsi="SimSun" w:hint="eastAsia"/>
          <w:sz w:val="21"/>
          <w:szCs w:val="21"/>
        </w:rPr>
        <w:t>的是</w:t>
      </w:r>
      <w:r w:rsidRPr="00F32937">
        <w:rPr>
          <w:rFonts w:ascii="SimSun" w:hAnsi="SimSun" w:hint="eastAsia"/>
          <w:sz w:val="21"/>
          <w:szCs w:val="21"/>
        </w:rPr>
        <w:t>提交申请</w:t>
      </w:r>
    </w:p>
    <w:p w14:paraId="425D7753" w14:textId="1290DB00" w:rsidR="00BA5CF5" w:rsidRPr="00F32937" w:rsidRDefault="00BA5CF5" w:rsidP="00DB6ACE">
      <w:pPr>
        <w:pStyle w:val="ListParagraph"/>
        <w:numPr>
          <w:ilvl w:val="0"/>
          <w:numId w:val="11"/>
        </w:numPr>
        <w:spacing w:afterLines="50" w:after="120" w:line="340" w:lineRule="atLeast"/>
        <w:ind w:left="924" w:hanging="357"/>
        <w:rPr>
          <w:rFonts w:ascii="SimSun" w:hAnsi="SimSun"/>
          <w:sz w:val="21"/>
          <w:szCs w:val="21"/>
        </w:rPr>
      </w:pPr>
      <w:r w:rsidRPr="00F32937">
        <w:rPr>
          <w:rFonts w:ascii="SimSun" w:hAnsi="SimSun"/>
          <w:sz w:val="21"/>
          <w:szCs w:val="21"/>
        </w:rPr>
        <w:t>A</w:t>
      </w:r>
      <w:r w:rsidRPr="00F32937">
        <w:rPr>
          <w:rFonts w:ascii="SimSun" w:hAnsi="SimSun" w:hint="eastAsia"/>
          <w:sz w:val="21"/>
          <w:szCs w:val="21"/>
        </w:rPr>
        <w:t>17可以被改为</w:t>
      </w:r>
      <w:r w:rsidRPr="00F32937">
        <w:rPr>
          <w:rFonts w:ascii="SimSun" w:hAnsi="SimSun"/>
          <w:sz w:val="21"/>
          <w:szCs w:val="21"/>
        </w:rPr>
        <w:t>A17.rej</w:t>
      </w:r>
      <w:r w:rsidRPr="00F32937">
        <w:rPr>
          <w:rFonts w:ascii="SimSun" w:hAnsi="SimSun" w:hint="eastAsia"/>
          <w:sz w:val="21"/>
          <w:szCs w:val="21"/>
        </w:rPr>
        <w:t>，因为它涉及</w:t>
      </w:r>
      <w:r w:rsidR="000370ED" w:rsidRPr="00F32937">
        <w:rPr>
          <w:rFonts w:ascii="SimSun" w:hAnsi="SimSun" w:hint="eastAsia"/>
          <w:sz w:val="21"/>
          <w:szCs w:val="21"/>
        </w:rPr>
        <w:t>的是</w:t>
      </w:r>
      <w:r w:rsidRPr="00F32937">
        <w:rPr>
          <w:rFonts w:ascii="SimSun" w:hAnsi="SimSun" w:hint="eastAsia"/>
          <w:sz w:val="21"/>
          <w:szCs w:val="21"/>
        </w:rPr>
        <w:t>驳回</w:t>
      </w:r>
    </w:p>
    <w:p w14:paraId="56E8869C" w14:textId="2E89428F" w:rsidR="00BA5CF5" w:rsidRPr="00F32937" w:rsidRDefault="00BA5CF5" w:rsidP="00DB6ACE">
      <w:pPr>
        <w:pStyle w:val="ListParagraph"/>
        <w:numPr>
          <w:ilvl w:val="0"/>
          <w:numId w:val="11"/>
        </w:numPr>
        <w:spacing w:afterLines="50" w:after="120" w:line="340" w:lineRule="atLeast"/>
        <w:ind w:left="924" w:hanging="357"/>
        <w:contextualSpacing w:val="0"/>
        <w:rPr>
          <w:rFonts w:ascii="SimSun" w:hAnsi="SimSun"/>
          <w:sz w:val="21"/>
          <w:szCs w:val="21"/>
        </w:rPr>
      </w:pPr>
      <w:r w:rsidRPr="00F32937">
        <w:rPr>
          <w:rFonts w:ascii="SimSun" w:hAnsi="SimSun"/>
          <w:sz w:val="21"/>
          <w:szCs w:val="21"/>
        </w:rPr>
        <w:t>A</w:t>
      </w:r>
      <w:r w:rsidRPr="00F32937">
        <w:rPr>
          <w:rFonts w:ascii="SimSun" w:hAnsi="SimSun" w:hint="eastAsia"/>
          <w:sz w:val="21"/>
          <w:szCs w:val="21"/>
        </w:rPr>
        <w:t>18可以被改为</w:t>
      </w:r>
      <w:r w:rsidRPr="00F32937">
        <w:rPr>
          <w:rFonts w:ascii="SimSun" w:hAnsi="SimSun"/>
          <w:sz w:val="21"/>
          <w:szCs w:val="21"/>
        </w:rPr>
        <w:t>A18.acc</w:t>
      </w:r>
      <w:r w:rsidRPr="00F32937">
        <w:rPr>
          <w:rFonts w:ascii="SimSun" w:hAnsi="SimSun" w:hint="eastAsia"/>
          <w:sz w:val="21"/>
          <w:szCs w:val="21"/>
        </w:rPr>
        <w:t>，因为它涉及</w:t>
      </w:r>
      <w:r w:rsidR="000370ED" w:rsidRPr="00F32937">
        <w:rPr>
          <w:rFonts w:ascii="SimSun" w:hAnsi="SimSun" w:hint="eastAsia"/>
          <w:sz w:val="21"/>
          <w:szCs w:val="21"/>
        </w:rPr>
        <w:t>的是</w:t>
      </w:r>
      <w:r w:rsidR="00800F5B" w:rsidRPr="00F32937">
        <w:rPr>
          <w:rFonts w:ascii="SimSun" w:hAnsi="SimSun" w:hint="eastAsia"/>
          <w:sz w:val="21"/>
          <w:szCs w:val="21"/>
        </w:rPr>
        <w:t>受理</w:t>
      </w:r>
    </w:p>
    <w:p w14:paraId="4EA0B112" w14:textId="423E2F4D" w:rsidR="0064043D" w:rsidRPr="00F32937" w:rsidRDefault="007133B2"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这一体系可被进一步应用于通过使用相同</w:t>
      </w:r>
      <w:r w:rsidR="00FF1033" w:rsidRPr="00F32937">
        <w:rPr>
          <w:rFonts w:ascii="SimSun" w:hAnsi="SimSun" w:hint="eastAsia"/>
          <w:sz w:val="21"/>
          <w:szCs w:val="21"/>
        </w:rPr>
        <w:t>数字并用标</w:t>
      </w:r>
      <w:r w:rsidRPr="00F32937">
        <w:rPr>
          <w:rFonts w:ascii="SimSun" w:hAnsi="SimSun" w:hint="eastAsia"/>
          <w:sz w:val="21"/>
          <w:szCs w:val="21"/>
        </w:rPr>
        <w:t>签</w:t>
      </w:r>
      <w:r w:rsidR="00FF1033" w:rsidRPr="00F32937">
        <w:rPr>
          <w:rFonts w:ascii="SimSun" w:hAnsi="SimSun" w:hint="eastAsia"/>
          <w:sz w:val="21"/>
          <w:szCs w:val="21"/>
        </w:rPr>
        <w:t>加以区分来组合相关事件的编码。使用上述范例：</w:t>
      </w:r>
    </w:p>
    <w:p w14:paraId="1573B0BB" w14:textId="1F4BE048" w:rsidR="00FF1033" w:rsidRPr="00F32937" w:rsidRDefault="00FF1033" w:rsidP="00DB6ACE">
      <w:pPr>
        <w:pStyle w:val="ListParagraph"/>
        <w:numPr>
          <w:ilvl w:val="0"/>
          <w:numId w:val="11"/>
        </w:numPr>
        <w:spacing w:afterLines="50" w:after="120" w:line="340" w:lineRule="atLeast"/>
        <w:ind w:left="924" w:hanging="357"/>
        <w:rPr>
          <w:rFonts w:ascii="SimSun" w:hAnsi="SimSun"/>
          <w:sz w:val="21"/>
          <w:szCs w:val="21"/>
        </w:rPr>
      </w:pPr>
      <w:r w:rsidRPr="00F32937">
        <w:rPr>
          <w:rFonts w:ascii="SimSun" w:hAnsi="SimSun"/>
          <w:sz w:val="21"/>
          <w:szCs w:val="21"/>
        </w:rPr>
        <w:t>A16</w:t>
      </w:r>
      <w:r w:rsidRPr="00F32937">
        <w:rPr>
          <w:rFonts w:ascii="SimSun" w:hAnsi="SimSun" w:hint="eastAsia"/>
          <w:sz w:val="21"/>
          <w:szCs w:val="21"/>
        </w:rPr>
        <w:t>将成为</w:t>
      </w:r>
      <w:r w:rsidRPr="00F32937">
        <w:rPr>
          <w:rFonts w:ascii="SimSun" w:hAnsi="SimSun"/>
          <w:sz w:val="21"/>
          <w:szCs w:val="21"/>
        </w:rPr>
        <w:t>A16.fil</w:t>
      </w:r>
      <w:r w:rsidRPr="00F32937">
        <w:rPr>
          <w:rFonts w:ascii="SimSun" w:hAnsi="SimSun" w:hint="eastAsia"/>
          <w:sz w:val="21"/>
          <w:szCs w:val="21"/>
        </w:rPr>
        <w:t>，因为它涉及</w:t>
      </w:r>
      <w:r w:rsidR="0082586B" w:rsidRPr="00F32937">
        <w:rPr>
          <w:rFonts w:ascii="SimSun" w:hAnsi="SimSun" w:hint="eastAsia"/>
          <w:sz w:val="21"/>
          <w:szCs w:val="21"/>
        </w:rPr>
        <w:t>的是</w:t>
      </w:r>
      <w:r w:rsidRPr="00F32937">
        <w:rPr>
          <w:rFonts w:ascii="SimSun" w:hAnsi="SimSun" w:hint="eastAsia"/>
          <w:sz w:val="21"/>
          <w:szCs w:val="21"/>
        </w:rPr>
        <w:t>提交申请</w:t>
      </w:r>
    </w:p>
    <w:p w14:paraId="4772E387" w14:textId="3C613CCD" w:rsidR="00FF1033" w:rsidRPr="00F32937" w:rsidRDefault="00FF1033" w:rsidP="00DB6ACE">
      <w:pPr>
        <w:pStyle w:val="ListParagraph"/>
        <w:numPr>
          <w:ilvl w:val="0"/>
          <w:numId w:val="11"/>
        </w:numPr>
        <w:spacing w:afterLines="50" w:after="120" w:line="340" w:lineRule="atLeast"/>
        <w:ind w:left="924" w:hanging="357"/>
        <w:rPr>
          <w:rFonts w:ascii="SimSun" w:hAnsi="SimSun"/>
          <w:sz w:val="21"/>
          <w:szCs w:val="21"/>
        </w:rPr>
      </w:pPr>
      <w:r w:rsidRPr="00F32937">
        <w:rPr>
          <w:rFonts w:ascii="SimSun" w:hAnsi="SimSun"/>
          <w:sz w:val="21"/>
          <w:szCs w:val="21"/>
        </w:rPr>
        <w:t>A</w:t>
      </w:r>
      <w:r w:rsidRPr="00F32937">
        <w:rPr>
          <w:rFonts w:ascii="SimSun" w:hAnsi="SimSun" w:hint="eastAsia"/>
          <w:sz w:val="21"/>
          <w:szCs w:val="21"/>
        </w:rPr>
        <w:t>17将成为</w:t>
      </w:r>
      <w:r w:rsidRPr="00F32937">
        <w:rPr>
          <w:rFonts w:ascii="SimSun" w:hAnsi="SimSun"/>
          <w:sz w:val="21"/>
          <w:szCs w:val="21"/>
        </w:rPr>
        <w:t>A16.rej</w:t>
      </w:r>
      <w:r w:rsidRPr="00F32937">
        <w:rPr>
          <w:rFonts w:ascii="SimSun" w:hAnsi="SimSun" w:hint="eastAsia"/>
          <w:sz w:val="21"/>
          <w:szCs w:val="21"/>
        </w:rPr>
        <w:t>，因为它涉及</w:t>
      </w:r>
      <w:r w:rsidR="0082586B" w:rsidRPr="00F32937">
        <w:rPr>
          <w:rFonts w:ascii="SimSun" w:hAnsi="SimSun" w:hint="eastAsia"/>
          <w:sz w:val="21"/>
          <w:szCs w:val="21"/>
        </w:rPr>
        <w:t>的是</w:t>
      </w:r>
      <w:r w:rsidRPr="00F32937">
        <w:rPr>
          <w:rFonts w:ascii="SimSun" w:hAnsi="SimSun" w:hint="eastAsia"/>
          <w:sz w:val="21"/>
          <w:szCs w:val="21"/>
        </w:rPr>
        <w:t>驳回A16项下提交的申请</w:t>
      </w:r>
    </w:p>
    <w:p w14:paraId="737B779B" w14:textId="43E3FBB6" w:rsidR="00FF1033" w:rsidRPr="00F32937" w:rsidRDefault="00FF1033" w:rsidP="00DB6ACE">
      <w:pPr>
        <w:pStyle w:val="ListParagraph"/>
        <w:numPr>
          <w:ilvl w:val="0"/>
          <w:numId w:val="11"/>
        </w:numPr>
        <w:spacing w:afterLines="50" w:after="120" w:line="340" w:lineRule="atLeast"/>
        <w:ind w:left="924" w:hanging="357"/>
        <w:rPr>
          <w:rFonts w:ascii="SimSun" w:hAnsi="SimSun"/>
          <w:sz w:val="21"/>
          <w:szCs w:val="21"/>
        </w:rPr>
      </w:pPr>
      <w:r w:rsidRPr="00F32937">
        <w:rPr>
          <w:rFonts w:ascii="SimSun" w:hAnsi="SimSun"/>
          <w:sz w:val="21"/>
          <w:szCs w:val="21"/>
        </w:rPr>
        <w:t>A18</w:t>
      </w:r>
      <w:r w:rsidRPr="00F32937">
        <w:rPr>
          <w:rFonts w:ascii="SimSun" w:hAnsi="SimSun" w:hint="eastAsia"/>
          <w:sz w:val="21"/>
          <w:szCs w:val="21"/>
        </w:rPr>
        <w:t>将成为</w:t>
      </w:r>
      <w:r w:rsidRPr="00F32937">
        <w:rPr>
          <w:rFonts w:ascii="SimSun" w:hAnsi="SimSun"/>
          <w:sz w:val="21"/>
          <w:szCs w:val="21"/>
        </w:rPr>
        <w:t>A16.acc</w:t>
      </w:r>
      <w:r w:rsidRPr="00F32937">
        <w:rPr>
          <w:rFonts w:ascii="SimSun" w:hAnsi="SimSun" w:hint="eastAsia"/>
          <w:sz w:val="21"/>
          <w:szCs w:val="21"/>
        </w:rPr>
        <w:t>，因为它涉及</w:t>
      </w:r>
      <w:r w:rsidR="0082586B" w:rsidRPr="00F32937">
        <w:rPr>
          <w:rFonts w:ascii="SimSun" w:hAnsi="SimSun" w:hint="eastAsia"/>
          <w:sz w:val="21"/>
          <w:szCs w:val="21"/>
        </w:rPr>
        <w:t>的是</w:t>
      </w:r>
      <w:r w:rsidR="00DB7E94" w:rsidRPr="00F32937">
        <w:rPr>
          <w:rFonts w:ascii="SimSun" w:hAnsi="SimSun" w:hint="eastAsia"/>
          <w:sz w:val="21"/>
          <w:szCs w:val="21"/>
        </w:rPr>
        <w:t>受理</w:t>
      </w:r>
      <w:r w:rsidRPr="00F32937">
        <w:rPr>
          <w:rFonts w:ascii="SimSun" w:hAnsi="SimSun" w:hint="eastAsia"/>
          <w:sz w:val="21"/>
          <w:szCs w:val="21"/>
        </w:rPr>
        <w:t>A16项下提交的申请</w:t>
      </w:r>
    </w:p>
    <w:p w14:paraId="7A425576" w14:textId="756402C8" w:rsidR="006043E9" w:rsidRPr="00F32937" w:rsidRDefault="00CD130A"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这一可能进行的更改可</w:t>
      </w:r>
      <w:r w:rsidR="000E70A3" w:rsidRPr="00F32937">
        <w:rPr>
          <w:rFonts w:ascii="SimSun" w:hAnsi="SimSun" w:hint="eastAsia"/>
          <w:sz w:val="21"/>
          <w:szCs w:val="21"/>
        </w:rPr>
        <w:t>以</w:t>
      </w:r>
      <w:r w:rsidRPr="00F32937">
        <w:rPr>
          <w:rFonts w:ascii="SimSun" w:hAnsi="SimSun" w:hint="eastAsia"/>
          <w:sz w:val="21"/>
          <w:szCs w:val="21"/>
        </w:rPr>
        <w:t>提供很多好处。</w:t>
      </w:r>
      <w:r w:rsidR="00613A0F" w:rsidRPr="00F32937">
        <w:rPr>
          <w:rFonts w:ascii="SimSun" w:hAnsi="SimSun" w:hint="eastAsia"/>
          <w:sz w:val="21"/>
          <w:szCs w:val="21"/>
        </w:rPr>
        <w:t>它使事件之间的关联更加明确。它使编码体系系统化，使ST.27更易于</w:t>
      </w:r>
      <w:r w:rsidR="000E70A3" w:rsidRPr="00F32937">
        <w:rPr>
          <w:rFonts w:ascii="SimSun" w:hAnsi="SimSun" w:hint="eastAsia"/>
          <w:sz w:val="21"/>
          <w:szCs w:val="21"/>
        </w:rPr>
        <w:t>了解</w:t>
      </w:r>
      <w:r w:rsidR="00613A0F" w:rsidRPr="00F32937">
        <w:rPr>
          <w:rFonts w:ascii="SimSun" w:hAnsi="SimSun" w:hint="eastAsia"/>
          <w:sz w:val="21"/>
          <w:szCs w:val="21"/>
        </w:rPr>
        <w:t>和实施。它为将来有需要时添加缺失的事件提供了灵活性：如果新事件与现有的ST.27事件相关，则现有事件的数字代码可以</w:t>
      </w:r>
      <w:r w:rsidR="00D51AB9" w:rsidRPr="00F32937">
        <w:rPr>
          <w:rFonts w:ascii="SimSun" w:hAnsi="SimSun" w:hint="eastAsia"/>
          <w:sz w:val="21"/>
          <w:szCs w:val="21"/>
        </w:rPr>
        <w:t>添加</w:t>
      </w:r>
      <w:r w:rsidR="00613A0F" w:rsidRPr="00F32937">
        <w:rPr>
          <w:rFonts w:ascii="SimSun" w:hAnsi="SimSun" w:hint="eastAsia"/>
          <w:sz w:val="21"/>
          <w:szCs w:val="21"/>
        </w:rPr>
        <w:t>不同的程序标</w:t>
      </w:r>
      <w:r w:rsidR="00361FFA" w:rsidRPr="00F32937">
        <w:rPr>
          <w:rFonts w:ascii="SimSun" w:hAnsi="SimSun" w:hint="eastAsia"/>
          <w:sz w:val="21"/>
          <w:szCs w:val="21"/>
        </w:rPr>
        <w:t>签</w:t>
      </w:r>
      <w:r w:rsidR="00613A0F" w:rsidRPr="00F32937">
        <w:rPr>
          <w:rFonts w:ascii="SimSun" w:hAnsi="SimSun" w:hint="eastAsia"/>
          <w:sz w:val="21"/>
          <w:szCs w:val="21"/>
        </w:rPr>
        <w:t>来重复使用。</w:t>
      </w:r>
    </w:p>
    <w:p w14:paraId="2A214E30" w14:textId="30C0E4F4" w:rsidR="00323DBC" w:rsidRPr="00F32937" w:rsidRDefault="00171C62"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该体系还允许知识产权局更好地反映目前</w:t>
      </w:r>
      <w:r w:rsidR="0056422C" w:rsidRPr="00F32937">
        <w:rPr>
          <w:rFonts w:ascii="SimSun" w:hAnsi="SimSun" w:hint="eastAsia"/>
          <w:sz w:val="21"/>
          <w:szCs w:val="21"/>
        </w:rPr>
        <w:t>尚未</w:t>
      </w:r>
      <w:r w:rsidR="0056422C">
        <w:rPr>
          <w:rFonts w:ascii="SimSun" w:hAnsi="SimSun" w:hint="eastAsia"/>
          <w:sz w:val="21"/>
          <w:szCs w:val="21"/>
        </w:rPr>
        <w:t>在</w:t>
      </w:r>
      <w:r w:rsidRPr="00F32937">
        <w:rPr>
          <w:rFonts w:ascii="SimSun" w:hAnsi="SimSun" w:hint="eastAsia"/>
          <w:sz w:val="21"/>
          <w:szCs w:val="21"/>
        </w:rPr>
        <w:t>ST.27中实施的国家事件。例如D00这类未</w:t>
      </w:r>
      <w:r w:rsidR="003D3719" w:rsidRPr="00F32937">
        <w:rPr>
          <w:rFonts w:ascii="SimSun" w:hAnsi="SimSun" w:hint="eastAsia"/>
          <w:sz w:val="21"/>
          <w:szCs w:val="21"/>
        </w:rPr>
        <w:t>指明</w:t>
      </w:r>
      <w:r w:rsidRPr="00F32937">
        <w:rPr>
          <w:rFonts w:ascii="SimSun" w:hAnsi="SimSun" w:hint="eastAsia"/>
          <w:sz w:val="21"/>
          <w:szCs w:val="21"/>
        </w:rPr>
        <w:t>的ST.27事件可以与适当的</w:t>
      </w:r>
      <w:r w:rsidR="00907A8E" w:rsidRPr="00F32937">
        <w:rPr>
          <w:rFonts w:ascii="SimSun" w:hAnsi="SimSun" w:hint="eastAsia"/>
          <w:sz w:val="21"/>
          <w:szCs w:val="21"/>
        </w:rPr>
        <w:t>标签</w:t>
      </w:r>
      <w:r w:rsidRPr="00F32937">
        <w:rPr>
          <w:rFonts w:ascii="SimSun" w:hAnsi="SimSun" w:hint="eastAsia"/>
          <w:sz w:val="21"/>
          <w:szCs w:val="21"/>
        </w:rPr>
        <w:t>组合以更好地说明国家事件的性质。主管局可以根据其需要对这些未</w:t>
      </w:r>
      <w:r w:rsidR="003D3719" w:rsidRPr="00F32937">
        <w:rPr>
          <w:rFonts w:ascii="SimSun" w:hAnsi="SimSun" w:hint="eastAsia"/>
          <w:sz w:val="21"/>
          <w:szCs w:val="21"/>
        </w:rPr>
        <w:t>指明</w:t>
      </w:r>
      <w:r w:rsidRPr="00F32937">
        <w:rPr>
          <w:rFonts w:ascii="SimSun" w:hAnsi="SimSun" w:hint="eastAsia"/>
          <w:sz w:val="21"/>
          <w:szCs w:val="21"/>
        </w:rPr>
        <w:t>的事件进行试验，并且可以收集有关未</w:t>
      </w:r>
      <w:r w:rsidR="003D3719" w:rsidRPr="00F32937">
        <w:rPr>
          <w:rFonts w:ascii="SimSun" w:hAnsi="SimSun" w:hint="eastAsia"/>
          <w:sz w:val="21"/>
          <w:szCs w:val="21"/>
        </w:rPr>
        <w:t>指明</w:t>
      </w:r>
      <w:r w:rsidRPr="00F32937">
        <w:rPr>
          <w:rFonts w:ascii="SimSun" w:hAnsi="SimSun" w:hint="eastAsia"/>
          <w:sz w:val="21"/>
          <w:szCs w:val="21"/>
        </w:rPr>
        <w:t>事件的</w:t>
      </w:r>
      <w:r w:rsidR="003704E1" w:rsidRPr="00F32937">
        <w:rPr>
          <w:rFonts w:ascii="SimSun" w:hAnsi="SimSun" w:hint="eastAsia"/>
          <w:sz w:val="21"/>
          <w:szCs w:val="21"/>
        </w:rPr>
        <w:t>应</w:t>
      </w:r>
      <w:r w:rsidRPr="00F32937">
        <w:rPr>
          <w:rFonts w:ascii="SimSun" w:hAnsi="SimSun" w:hint="eastAsia"/>
          <w:sz w:val="21"/>
          <w:szCs w:val="21"/>
        </w:rPr>
        <w:t>用情况数据</w:t>
      </w:r>
      <w:r w:rsidR="00E562FA" w:rsidRPr="00F32937">
        <w:rPr>
          <w:rFonts w:ascii="SimSun" w:hAnsi="SimSun" w:hint="eastAsia"/>
          <w:sz w:val="21"/>
          <w:szCs w:val="21"/>
        </w:rPr>
        <w:t>，</w:t>
      </w:r>
      <w:r w:rsidRPr="00F32937">
        <w:rPr>
          <w:rFonts w:ascii="SimSun" w:hAnsi="SimSun" w:hint="eastAsia"/>
          <w:sz w:val="21"/>
          <w:szCs w:val="21"/>
        </w:rPr>
        <w:t>并</w:t>
      </w:r>
      <w:r w:rsidR="00E562FA" w:rsidRPr="00F32937">
        <w:rPr>
          <w:rFonts w:ascii="SimSun" w:hAnsi="SimSun" w:hint="eastAsia"/>
          <w:sz w:val="21"/>
          <w:szCs w:val="21"/>
        </w:rPr>
        <w:t>考虑</w:t>
      </w:r>
      <w:r w:rsidR="00CD0EFA" w:rsidRPr="00F32937">
        <w:rPr>
          <w:rFonts w:ascii="SimSun" w:hAnsi="SimSun" w:hint="eastAsia"/>
          <w:sz w:val="21"/>
          <w:szCs w:val="21"/>
        </w:rPr>
        <w:t>将其作为常规事件纳入</w:t>
      </w:r>
      <w:r w:rsidRPr="00F32937">
        <w:rPr>
          <w:rFonts w:ascii="SimSun" w:hAnsi="SimSun" w:hint="eastAsia"/>
          <w:sz w:val="21"/>
          <w:szCs w:val="21"/>
        </w:rPr>
        <w:t>未来ST.27的发布版本。</w:t>
      </w:r>
    </w:p>
    <w:p w14:paraId="1959F853" w14:textId="68F18754" w:rsidR="008C4543" w:rsidRPr="00F32937" w:rsidRDefault="00473691"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该提案也有一些潜在的缺点。一些主管局更倾向于目前的事件编码，因为其更短或更简单。一些主管局希望维持目前的体系以保留其实施方面的投资或计划不变。一些主管局不</w:t>
      </w:r>
      <w:r w:rsidR="00453CE3" w:rsidRPr="00F32937">
        <w:rPr>
          <w:rFonts w:ascii="SimSun" w:hAnsi="SimSun" w:hint="eastAsia"/>
          <w:sz w:val="21"/>
          <w:szCs w:val="21"/>
        </w:rPr>
        <w:t>信同潜在的好处值得额外信息所增加的复杂性。与</w:t>
      </w:r>
      <w:r w:rsidR="000E3196">
        <w:rPr>
          <w:rFonts w:ascii="SimSun" w:hAnsi="SimSun" w:hint="eastAsia"/>
          <w:sz w:val="21"/>
          <w:szCs w:val="21"/>
        </w:rPr>
        <w:t>此</w:t>
      </w:r>
      <w:r w:rsidR="00453CE3" w:rsidRPr="00F32937">
        <w:rPr>
          <w:rFonts w:ascii="SimSun" w:hAnsi="SimSun" w:hint="eastAsia"/>
          <w:sz w:val="21"/>
          <w:szCs w:val="21"/>
        </w:rPr>
        <w:t>相反，其他一些主管局认为拟议更改走得不够远，可能需要对事件列表和编码进行更</w:t>
      </w:r>
      <w:r w:rsidR="005B70F8" w:rsidRPr="00F32937">
        <w:rPr>
          <w:rFonts w:ascii="SimSun" w:hAnsi="SimSun" w:hint="eastAsia"/>
          <w:sz w:val="21"/>
          <w:szCs w:val="21"/>
        </w:rPr>
        <w:t>深入</w:t>
      </w:r>
      <w:r w:rsidR="00453CE3" w:rsidRPr="00F32937">
        <w:rPr>
          <w:rFonts w:ascii="SimSun" w:hAnsi="SimSun" w:hint="eastAsia"/>
          <w:sz w:val="21"/>
          <w:szCs w:val="21"/>
        </w:rPr>
        <w:t>的重组。</w:t>
      </w:r>
    </w:p>
    <w:p w14:paraId="07B744B6" w14:textId="0E5B80A3" w:rsidR="008C4543" w:rsidRPr="007F04C2" w:rsidRDefault="000058F9" w:rsidP="007F04C2">
      <w:pPr>
        <w:pStyle w:val="Heading2"/>
        <w:spacing w:beforeLines="100" w:afterLines="50" w:after="120" w:line="340" w:lineRule="atLeast"/>
        <w:rPr>
          <w:rFonts w:ascii="SimHei" w:eastAsia="SimHei" w:hAnsi="SimHei"/>
          <w:caps w:val="0"/>
          <w:sz w:val="21"/>
        </w:rPr>
      </w:pPr>
      <w:r w:rsidRPr="007F04C2">
        <w:rPr>
          <w:rFonts w:ascii="SimHei" w:eastAsia="SimHei" w:hAnsi="SimHei" w:hint="eastAsia"/>
          <w:caps w:val="0"/>
          <w:sz w:val="21"/>
        </w:rPr>
        <w:t>对ST.27主体的更改</w:t>
      </w:r>
    </w:p>
    <w:p w14:paraId="02075D74" w14:textId="7A6ED433" w:rsidR="004B3029" w:rsidRPr="00F32937" w:rsidRDefault="000058F9"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鉴于事件组织</w:t>
      </w:r>
      <w:r w:rsidR="005B70F8" w:rsidRPr="00F32937">
        <w:rPr>
          <w:rFonts w:ascii="SimSun" w:hAnsi="SimSun" w:hint="eastAsia"/>
          <w:sz w:val="21"/>
          <w:szCs w:val="21"/>
        </w:rPr>
        <w:t>结构</w:t>
      </w:r>
      <w:r w:rsidRPr="00F32937">
        <w:rPr>
          <w:rFonts w:ascii="SimSun" w:hAnsi="SimSun" w:hint="eastAsia"/>
          <w:sz w:val="21"/>
          <w:szCs w:val="21"/>
        </w:rPr>
        <w:t>方面的这些问题，工作队需要更多</w:t>
      </w:r>
      <w:r w:rsidR="00F2760C" w:rsidRPr="00F32937">
        <w:rPr>
          <w:rFonts w:ascii="SimSun" w:hAnsi="SimSun" w:hint="eastAsia"/>
          <w:sz w:val="21"/>
          <w:szCs w:val="21"/>
        </w:rPr>
        <w:t>时间</w:t>
      </w:r>
      <w:r w:rsidRPr="00F32937">
        <w:rPr>
          <w:rFonts w:ascii="SimSun" w:hAnsi="SimSun" w:hint="eastAsia"/>
          <w:sz w:val="21"/>
          <w:szCs w:val="21"/>
        </w:rPr>
        <w:t>审议该提案。一些工作队成员支持该提案，一些成员不愿意作更改，其他成员则想要探</w:t>
      </w:r>
      <w:r w:rsidR="00B13947">
        <w:rPr>
          <w:rFonts w:ascii="SimSun" w:hAnsi="SimSun" w:hint="eastAsia"/>
          <w:sz w:val="21"/>
          <w:szCs w:val="21"/>
        </w:rPr>
        <w:t>讨</w:t>
      </w:r>
      <w:r w:rsidRPr="00F32937">
        <w:rPr>
          <w:rFonts w:ascii="SimSun" w:hAnsi="SimSun" w:hint="eastAsia"/>
          <w:sz w:val="21"/>
          <w:szCs w:val="21"/>
        </w:rPr>
        <w:t>对ST.27进行分类的其他方式。因为工作队仍在修订该提案，有关该提案的进一步信息将在标准委员会第七届会议上以口头报告提交。</w:t>
      </w:r>
    </w:p>
    <w:p w14:paraId="3E06EE14" w14:textId="33F2F20E" w:rsidR="004B3029" w:rsidRPr="00F32937" w:rsidRDefault="002575F9"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有必要</w:t>
      </w:r>
      <w:r w:rsidR="002431C7" w:rsidRPr="00F32937">
        <w:rPr>
          <w:rFonts w:ascii="SimSun" w:hAnsi="SimSun" w:hint="eastAsia"/>
          <w:sz w:val="21"/>
          <w:szCs w:val="21"/>
        </w:rPr>
        <w:t>最终确定ST.27的状态事件代码格式，以便各知识产权局可以有</w:t>
      </w:r>
      <w:r w:rsidR="00B13947">
        <w:rPr>
          <w:rFonts w:ascii="SimSun" w:hAnsi="SimSun" w:hint="eastAsia"/>
          <w:sz w:val="21"/>
          <w:szCs w:val="21"/>
        </w:rPr>
        <w:t>确定性</w:t>
      </w:r>
      <w:r w:rsidR="002431C7" w:rsidRPr="00F32937">
        <w:rPr>
          <w:rFonts w:ascii="SimSun" w:hAnsi="SimSun" w:hint="eastAsia"/>
          <w:sz w:val="21"/>
          <w:szCs w:val="21"/>
        </w:rPr>
        <w:t>地</w:t>
      </w:r>
      <w:r w:rsidR="001A25E9" w:rsidRPr="00F32937">
        <w:rPr>
          <w:rFonts w:ascii="SimSun" w:hAnsi="SimSun" w:hint="eastAsia"/>
          <w:sz w:val="21"/>
          <w:szCs w:val="21"/>
        </w:rPr>
        <w:t>推进</w:t>
      </w:r>
      <w:r w:rsidR="002431C7" w:rsidRPr="00F32937">
        <w:rPr>
          <w:rFonts w:ascii="SimSun" w:hAnsi="SimSun" w:hint="eastAsia"/>
          <w:sz w:val="21"/>
          <w:szCs w:val="21"/>
        </w:rPr>
        <w:t>实施ST.27。因此，国际局建议在ST.27事件</w:t>
      </w:r>
      <w:r w:rsidR="00786316" w:rsidRPr="00F32937">
        <w:rPr>
          <w:rFonts w:ascii="SimSun" w:hAnsi="SimSun" w:hint="eastAsia"/>
          <w:sz w:val="21"/>
          <w:szCs w:val="21"/>
        </w:rPr>
        <w:t>编码末尾</w:t>
      </w:r>
      <w:r w:rsidR="002431C7" w:rsidRPr="00F32937">
        <w:rPr>
          <w:rFonts w:ascii="SimSun" w:hAnsi="SimSun" w:hint="eastAsia"/>
          <w:sz w:val="21"/>
          <w:szCs w:val="21"/>
        </w:rPr>
        <w:t>增加三个</w:t>
      </w:r>
      <w:r w:rsidR="00786316" w:rsidRPr="00F32937">
        <w:rPr>
          <w:rFonts w:ascii="SimSun" w:hAnsi="SimSun" w:hint="eastAsia"/>
          <w:sz w:val="21"/>
          <w:szCs w:val="21"/>
        </w:rPr>
        <w:t>额外</w:t>
      </w:r>
      <w:r w:rsidR="002431C7" w:rsidRPr="00F32937">
        <w:rPr>
          <w:rFonts w:ascii="SimSun" w:hAnsi="SimSun" w:hint="eastAsia"/>
          <w:sz w:val="21"/>
          <w:szCs w:val="21"/>
        </w:rPr>
        <w:t>字符。保留字符将在</w:t>
      </w:r>
      <w:r w:rsidR="00786316" w:rsidRPr="00F32937">
        <w:rPr>
          <w:rFonts w:ascii="SimSun" w:hAnsi="SimSun" w:hint="eastAsia"/>
          <w:sz w:val="21"/>
          <w:szCs w:val="21"/>
        </w:rPr>
        <w:t>标准委员会</w:t>
      </w:r>
      <w:r w:rsidR="002431C7" w:rsidRPr="00F32937">
        <w:rPr>
          <w:rFonts w:ascii="SimSun" w:hAnsi="SimSun" w:hint="eastAsia"/>
          <w:sz w:val="21"/>
          <w:szCs w:val="21"/>
        </w:rPr>
        <w:t>本届会议</w:t>
      </w:r>
      <w:r w:rsidR="00786316" w:rsidRPr="00F32937">
        <w:rPr>
          <w:rFonts w:ascii="SimSun" w:hAnsi="SimSun" w:hint="eastAsia"/>
          <w:sz w:val="21"/>
          <w:szCs w:val="21"/>
        </w:rPr>
        <w:t>所</w:t>
      </w:r>
      <w:r w:rsidR="00DC59E5">
        <w:rPr>
          <w:rFonts w:ascii="SimSun" w:hAnsi="SimSun" w:hint="eastAsia"/>
          <w:sz w:val="21"/>
          <w:szCs w:val="21"/>
        </w:rPr>
        <w:t>通过</w:t>
      </w:r>
      <w:r w:rsidR="002431C7" w:rsidRPr="00F32937">
        <w:rPr>
          <w:rFonts w:ascii="SimSun" w:hAnsi="SimSun" w:hint="eastAsia"/>
          <w:sz w:val="21"/>
          <w:szCs w:val="21"/>
        </w:rPr>
        <w:t>的ST.27版本中</w:t>
      </w:r>
      <w:r w:rsidR="00E07588" w:rsidRPr="00F32937">
        <w:rPr>
          <w:rFonts w:ascii="SimSun" w:hAnsi="SimSun" w:hint="eastAsia"/>
          <w:sz w:val="21"/>
          <w:szCs w:val="21"/>
        </w:rPr>
        <w:t>写</w:t>
      </w:r>
      <w:r w:rsidR="002431C7" w:rsidRPr="00F32937">
        <w:rPr>
          <w:rFonts w:ascii="SimSun" w:hAnsi="SimSun" w:hint="eastAsia"/>
          <w:sz w:val="21"/>
          <w:szCs w:val="21"/>
        </w:rPr>
        <w:t>为“xxx”。</w:t>
      </w:r>
      <w:r w:rsidR="00E07588" w:rsidRPr="00F32937">
        <w:rPr>
          <w:rFonts w:ascii="SimSun" w:hAnsi="SimSun" w:hint="eastAsia"/>
          <w:sz w:val="21"/>
          <w:szCs w:val="21"/>
        </w:rPr>
        <w:t>很多行业标准包</w:t>
      </w:r>
      <w:r w:rsidR="00B530BE" w:rsidRPr="00F32937">
        <w:rPr>
          <w:rFonts w:ascii="SimSun" w:hAnsi="SimSun" w:hint="eastAsia"/>
          <w:sz w:val="21"/>
          <w:szCs w:val="21"/>
        </w:rPr>
        <w:t>含</w:t>
      </w:r>
      <w:r w:rsidR="002431C7" w:rsidRPr="00F32937">
        <w:rPr>
          <w:rFonts w:ascii="SimSun" w:hAnsi="SimSun" w:hint="eastAsia"/>
          <w:sz w:val="21"/>
          <w:szCs w:val="21"/>
        </w:rPr>
        <w:t>此类保留字段</w:t>
      </w:r>
      <w:r w:rsidR="00B41859" w:rsidRPr="00F32937">
        <w:rPr>
          <w:rFonts w:ascii="SimSun" w:hAnsi="SimSun" w:hint="eastAsia"/>
          <w:sz w:val="21"/>
          <w:szCs w:val="21"/>
        </w:rPr>
        <w:t>以供未来使用，</w:t>
      </w:r>
      <w:r w:rsidR="00A51C0C" w:rsidRPr="00F32937">
        <w:rPr>
          <w:rFonts w:ascii="SimSun" w:hAnsi="SimSun" w:hint="eastAsia"/>
          <w:sz w:val="21"/>
          <w:szCs w:val="21"/>
        </w:rPr>
        <w:t>例</w:t>
      </w:r>
      <w:r w:rsidR="00B41859" w:rsidRPr="00F32937">
        <w:rPr>
          <w:rFonts w:ascii="SimSun" w:hAnsi="SimSun" w:hint="eastAsia"/>
          <w:sz w:val="21"/>
          <w:szCs w:val="21"/>
        </w:rPr>
        <w:t>如</w:t>
      </w:r>
      <w:r w:rsidR="002431C7" w:rsidRPr="00F32937">
        <w:rPr>
          <w:rFonts w:ascii="SimSun" w:hAnsi="SimSun" w:hint="eastAsia"/>
          <w:sz w:val="21"/>
          <w:szCs w:val="21"/>
        </w:rPr>
        <w:t>ST.8</w:t>
      </w:r>
      <w:r w:rsidR="00B41859" w:rsidRPr="00F32937">
        <w:rPr>
          <w:rFonts w:ascii="SimSun" w:hAnsi="SimSun" w:hint="eastAsia"/>
          <w:sz w:val="21"/>
          <w:szCs w:val="21"/>
        </w:rPr>
        <w:t>等多个</w:t>
      </w:r>
      <w:r w:rsidR="00E07588" w:rsidRPr="00F32937">
        <w:rPr>
          <w:rFonts w:ascii="SimSun" w:hAnsi="SimSun" w:hint="eastAsia"/>
          <w:sz w:val="21"/>
          <w:szCs w:val="21"/>
        </w:rPr>
        <w:t>产权组织</w:t>
      </w:r>
      <w:r w:rsidR="002431C7" w:rsidRPr="00F32937">
        <w:rPr>
          <w:rFonts w:ascii="SimSun" w:hAnsi="SimSun" w:hint="eastAsia"/>
          <w:sz w:val="21"/>
          <w:szCs w:val="21"/>
        </w:rPr>
        <w:t>标准</w:t>
      </w:r>
      <w:r w:rsidR="00973C32" w:rsidRPr="00F32937">
        <w:rPr>
          <w:rFonts w:ascii="SimSun" w:hAnsi="SimSun" w:hint="eastAsia"/>
          <w:sz w:val="21"/>
          <w:szCs w:val="21"/>
        </w:rPr>
        <w:t>的做法</w:t>
      </w:r>
      <w:r w:rsidR="002431C7" w:rsidRPr="00F32937">
        <w:rPr>
          <w:rFonts w:ascii="SimSun" w:hAnsi="SimSun" w:hint="eastAsia"/>
          <w:sz w:val="21"/>
          <w:szCs w:val="21"/>
        </w:rPr>
        <w:t>。</w:t>
      </w:r>
      <w:r w:rsidR="00B41859" w:rsidRPr="00F32937">
        <w:rPr>
          <w:rFonts w:ascii="SimSun" w:hAnsi="SimSun" w:hint="eastAsia"/>
          <w:sz w:val="21"/>
          <w:szCs w:val="21"/>
        </w:rPr>
        <w:t>工作队</w:t>
      </w:r>
      <w:r w:rsidR="002A1614" w:rsidRPr="00F32937">
        <w:rPr>
          <w:rFonts w:ascii="SimSun" w:hAnsi="SimSun" w:hint="eastAsia"/>
          <w:sz w:val="21"/>
          <w:szCs w:val="21"/>
        </w:rPr>
        <w:t>将在标准委员会第七届会议后继续探</w:t>
      </w:r>
      <w:r w:rsidR="00B13947">
        <w:rPr>
          <w:rFonts w:ascii="SimSun" w:hAnsi="SimSun" w:hint="eastAsia"/>
          <w:sz w:val="21"/>
          <w:szCs w:val="21"/>
        </w:rPr>
        <w:t>讨</w:t>
      </w:r>
      <w:r w:rsidR="002A1614" w:rsidRPr="00F32937">
        <w:rPr>
          <w:rFonts w:ascii="SimSun" w:hAnsi="SimSun" w:hint="eastAsia"/>
          <w:sz w:val="21"/>
          <w:szCs w:val="21"/>
        </w:rPr>
        <w:t>这些保留字符的潜在用途，并且工作队如能达成一致，将向标准委员会第八届会议提交一份关于使用保留字符的提案。</w:t>
      </w:r>
      <w:r w:rsidR="0002441A" w:rsidRPr="00F32937">
        <w:rPr>
          <w:rFonts w:ascii="SimSun" w:hAnsi="SimSun" w:hint="eastAsia"/>
          <w:sz w:val="21"/>
          <w:szCs w:val="21"/>
        </w:rPr>
        <w:t>在标准委员会将来通过</w:t>
      </w:r>
      <w:r w:rsidR="002A1614" w:rsidRPr="00F32937">
        <w:rPr>
          <w:rFonts w:ascii="SimSun" w:hAnsi="SimSun" w:hint="eastAsia"/>
          <w:sz w:val="21"/>
          <w:szCs w:val="21"/>
        </w:rPr>
        <w:t>这一提案</w:t>
      </w:r>
      <w:r w:rsidR="0002441A" w:rsidRPr="00F32937">
        <w:rPr>
          <w:rFonts w:ascii="SimSun" w:hAnsi="SimSun" w:hint="eastAsia"/>
          <w:sz w:val="21"/>
          <w:szCs w:val="21"/>
        </w:rPr>
        <w:t>之前，保留字符</w:t>
      </w:r>
      <w:r w:rsidR="00611676" w:rsidRPr="00F32937">
        <w:rPr>
          <w:rFonts w:ascii="SimSun" w:hAnsi="SimSun" w:hint="eastAsia"/>
          <w:sz w:val="21"/>
          <w:szCs w:val="21"/>
        </w:rPr>
        <w:t>将说明</w:t>
      </w:r>
      <w:r w:rsidR="0002441A" w:rsidRPr="00F32937">
        <w:rPr>
          <w:rFonts w:ascii="SimSun" w:hAnsi="SimSun" w:hint="eastAsia"/>
          <w:sz w:val="21"/>
          <w:szCs w:val="21"/>
        </w:rPr>
        <w:t>是保留供将来使用</w:t>
      </w:r>
      <w:r w:rsidR="002A1614" w:rsidRPr="00F32937">
        <w:rPr>
          <w:rFonts w:ascii="SimSun" w:hAnsi="SimSun" w:hint="eastAsia"/>
          <w:sz w:val="21"/>
          <w:szCs w:val="21"/>
        </w:rPr>
        <w:t>。</w:t>
      </w:r>
    </w:p>
    <w:p w14:paraId="738C8CE0" w14:textId="6CF4EC3E" w:rsidR="004B3029" w:rsidRPr="00F32937" w:rsidRDefault="00741FBE" w:rsidP="007F04C2">
      <w:pPr>
        <w:pStyle w:val="ONUME"/>
        <w:tabs>
          <w:tab w:val="clear" w:pos="567"/>
        </w:tabs>
        <w:overflowPunct w:val="0"/>
        <w:spacing w:afterLines="50" w:after="120" w:line="340" w:lineRule="atLeast"/>
        <w:jc w:val="both"/>
        <w:rPr>
          <w:rFonts w:ascii="SimSun" w:hAnsi="SimSun"/>
          <w:sz w:val="21"/>
          <w:szCs w:val="21"/>
        </w:rPr>
      </w:pPr>
      <w:r w:rsidRPr="00F32937">
        <w:rPr>
          <w:rFonts w:ascii="SimSun" w:hAnsi="SimSun" w:hint="eastAsia"/>
          <w:sz w:val="21"/>
          <w:szCs w:val="21"/>
        </w:rPr>
        <w:t>为反映这一提案内容，建议对ST.27的主体作如下修改（显示的修改</w:t>
      </w:r>
      <w:r w:rsidR="002231BC">
        <w:rPr>
          <w:rFonts w:ascii="SimSun" w:hAnsi="SimSun" w:hint="eastAsia"/>
          <w:sz w:val="21"/>
          <w:szCs w:val="21"/>
        </w:rPr>
        <w:t>跟踪</w:t>
      </w:r>
      <w:r w:rsidRPr="00F32937">
        <w:rPr>
          <w:rFonts w:ascii="SimSun" w:hAnsi="SimSun" w:hint="eastAsia"/>
          <w:sz w:val="21"/>
          <w:szCs w:val="21"/>
        </w:rPr>
        <w:t>是与2018年11月公布的版本相比）：</w:t>
      </w:r>
    </w:p>
    <w:p w14:paraId="3655A9CD" w14:textId="39967DD0" w:rsidR="00300EC6" w:rsidRPr="00F32937" w:rsidRDefault="00896E22" w:rsidP="00F865FF">
      <w:pPr>
        <w:pStyle w:val="ListParagraph"/>
        <w:numPr>
          <w:ilvl w:val="0"/>
          <w:numId w:val="14"/>
        </w:numPr>
        <w:spacing w:afterLines="50" w:after="120" w:line="340" w:lineRule="atLeast"/>
        <w:ind w:left="924" w:hanging="357"/>
        <w:contextualSpacing w:val="0"/>
        <w:rPr>
          <w:rFonts w:ascii="SimSun" w:hAnsi="SimSun"/>
          <w:i/>
          <w:sz w:val="21"/>
          <w:szCs w:val="21"/>
        </w:rPr>
      </w:pPr>
      <w:r w:rsidRPr="00F32937">
        <w:rPr>
          <w:rFonts w:ascii="SimSun" w:hAnsi="SimSun" w:hint="eastAsia"/>
          <w:sz w:val="21"/>
          <w:szCs w:val="21"/>
        </w:rPr>
        <w:t>第31段中的关键事件代码：</w:t>
      </w:r>
    </w:p>
    <w:p w14:paraId="6BF9F678" w14:textId="71CFB49D" w:rsidR="00FE76CC" w:rsidRPr="00F32937" w:rsidRDefault="00300EC6" w:rsidP="00F865FF">
      <w:pPr>
        <w:spacing w:afterLines="50" w:after="120" w:line="340" w:lineRule="atLeast"/>
        <w:ind w:left="1134"/>
        <w:rPr>
          <w:rFonts w:ascii="SimSun" w:hAnsi="SimSun"/>
          <w:sz w:val="21"/>
          <w:szCs w:val="21"/>
        </w:rPr>
      </w:pPr>
      <w:r w:rsidRPr="00F32937">
        <w:rPr>
          <w:rFonts w:ascii="SimSun" w:hAnsi="SimSun"/>
          <w:sz w:val="21"/>
          <w:szCs w:val="21"/>
        </w:rPr>
        <w:t>31</w:t>
      </w:r>
      <w:r w:rsidR="0031768F" w:rsidRPr="00F32937">
        <w:rPr>
          <w:rFonts w:ascii="SimSun" w:hAnsi="SimSun"/>
          <w:sz w:val="21"/>
          <w:szCs w:val="21"/>
        </w:rPr>
        <w:t>.  T</w:t>
      </w:r>
      <w:r w:rsidR="00701FBF" w:rsidRPr="00F32937">
        <w:rPr>
          <w:rFonts w:ascii="SimSun" w:hAnsi="SimSun"/>
          <w:sz w:val="21"/>
          <w:szCs w:val="21"/>
        </w:rPr>
        <w:t>he key events are formed by a combination of a single alphabetic letter followed by the number “10”</w:t>
      </w:r>
      <w:r w:rsidR="00701FBF" w:rsidRPr="00F32937">
        <w:rPr>
          <w:rFonts w:ascii="SimSun" w:hAnsi="SimSun"/>
          <w:sz w:val="21"/>
          <w:szCs w:val="21"/>
          <w:u w:val="single"/>
        </w:rPr>
        <w:t>, then a period and "xxx"</w:t>
      </w:r>
      <w:r w:rsidR="00701FBF" w:rsidRPr="00F32937">
        <w:rPr>
          <w:rFonts w:ascii="SimSun" w:hAnsi="SimSun"/>
          <w:sz w:val="21"/>
          <w:szCs w:val="21"/>
        </w:rPr>
        <w:t>.  The single alphabetic letter is assigned according to the categories.</w:t>
      </w:r>
      <w:r w:rsidR="00701FBF" w:rsidRPr="00F32937">
        <w:rPr>
          <w:rFonts w:ascii="SimSun" w:hAnsi="SimSun"/>
          <w:sz w:val="21"/>
          <w:szCs w:val="21"/>
          <w:u w:val="single"/>
        </w:rPr>
        <w:t xml:space="preserve">  The three additional characters after the period are reserved for possible future use.</w:t>
      </w:r>
    </w:p>
    <w:p w14:paraId="41ABC566" w14:textId="4177D5CA" w:rsidR="00A7790F" w:rsidRPr="00F32937" w:rsidRDefault="00896E22" w:rsidP="00F865FF">
      <w:pPr>
        <w:pStyle w:val="ListParagraph"/>
        <w:numPr>
          <w:ilvl w:val="0"/>
          <w:numId w:val="14"/>
        </w:numPr>
        <w:spacing w:afterLines="50" w:after="120" w:line="340" w:lineRule="atLeast"/>
        <w:ind w:left="924" w:hanging="357"/>
        <w:contextualSpacing w:val="0"/>
        <w:rPr>
          <w:rFonts w:ascii="SimSun" w:hAnsi="SimSun"/>
          <w:sz w:val="21"/>
          <w:szCs w:val="21"/>
        </w:rPr>
      </w:pPr>
      <w:r w:rsidRPr="00F32937">
        <w:rPr>
          <w:rFonts w:ascii="SimSun" w:hAnsi="SimSun" w:hint="eastAsia"/>
          <w:sz w:val="21"/>
          <w:szCs w:val="21"/>
        </w:rPr>
        <w:t>第34段中的详细事件代码：</w:t>
      </w:r>
    </w:p>
    <w:p w14:paraId="75C0A069" w14:textId="5594E653" w:rsidR="00A7790F" w:rsidRPr="00F32937" w:rsidRDefault="0061735B" w:rsidP="00F865FF">
      <w:pPr>
        <w:spacing w:afterLines="50" w:after="120" w:line="340" w:lineRule="atLeast"/>
        <w:ind w:left="1134"/>
        <w:rPr>
          <w:rFonts w:ascii="SimSun" w:hAnsi="SimSun"/>
          <w:sz w:val="21"/>
          <w:szCs w:val="21"/>
        </w:rPr>
      </w:pPr>
      <w:r w:rsidRPr="00F32937">
        <w:rPr>
          <w:rFonts w:ascii="SimSun" w:hAnsi="SimSun"/>
          <w:sz w:val="21"/>
          <w:szCs w:val="21"/>
        </w:rPr>
        <w:t>34</w:t>
      </w:r>
      <w:r w:rsidR="0031768F" w:rsidRPr="00F32937">
        <w:rPr>
          <w:rFonts w:ascii="SimSun" w:hAnsi="SimSun"/>
          <w:sz w:val="21"/>
          <w:szCs w:val="21"/>
        </w:rPr>
        <w:t>.  T</w:t>
      </w:r>
      <w:r w:rsidR="00701FBF" w:rsidRPr="00F32937">
        <w:rPr>
          <w:rFonts w:ascii="SimSun" w:hAnsi="SimSun"/>
          <w:sz w:val="21"/>
          <w:szCs w:val="21"/>
        </w:rPr>
        <w:t>he detailed events are formed by a combination of a single alphabetic letter followed by a two-digit number from 11 to 99</w:t>
      </w:r>
      <w:r w:rsidR="00701FBF" w:rsidRPr="00F32937">
        <w:rPr>
          <w:rFonts w:ascii="SimSun" w:hAnsi="SimSun"/>
          <w:sz w:val="21"/>
          <w:szCs w:val="21"/>
          <w:u w:val="single"/>
        </w:rPr>
        <w:t>, then a period and "xxx"</w:t>
      </w:r>
      <w:r w:rsidR="00701FBF" w:rsidRPr="00F32937">
        <w:rPr>
          <w:rFonts w:ascii="SimSun" w:hAnsi="SimSun"/>
          <w:sz w:val="21"/>
          <w:szCs w:val="21"/>
        </w:rPr>
        <w:t>.  The single alphabetic letter is assigned according to the categories.  The codes for detailed events are contained in Annex I.</w:t>
      </w:r>
      <w:r w:rsidR="00701FBF" w:rsidRPr="00F32937">
        <w:rPr>
          <w:rFonts w:ascii="SimSun" w:hAnsi="SimSun"/>
          <w:sz w:val="21"/>
          <w:szCs w:val="21"/>
          <w:u w:val="single"/>
        </w:rPr>
        <w:t xml:space="preserve">  The three additional characters after the period are reserved for possible future use.</w:t>
      </w:r>
    </w:p>
    <w:p w14:paraId="25CC9146" w14:textId="70ED7216" w:rsidR="0061735B" w:rsidRPr="00F32937" w:rsidRDefault="000C238D" w:rsidP="00F865FF">
      <w:pPr>
        <w:pStyle w:val="ListParagraph"/>
        <w:numPr>
          <w:ilvl w:val="0"/>
          <w:numId w:val="14"/>
        </w:numPr>
        <w:spacing w:afterLines="50" w:after="120" w:line="340" w:lineRule="atLeast"/>
        <w:ind w:left="924" w:hanging="357"/>
        <w:contextualSpacing w:val="0"/>
        <w:rPr>
          <w:rFonts w:ascii="SimSun" w:hAnsi="SimSun"/>
          <w:sz w:val="21"/>
          <w:szCs w:val="21"/>
        </w:rPr>
      </w:pPr>
      <w:r w:rsidRPr="00F32937">
        <w:rPr>
          <w:rFonts w:ascii="SimSun" w:hAnsi="SimSun" w:hint="eastAsia"/>
          <w:sz w:val="21"/>
          <w:szCs w:val="21"/>
        </w:rPr>
        <w:t>目前的编者按案文将以下述行文替代：</w:t>
      </w:r>
    </w:p>
    <w:p w14:paraId="72A1E187" w14:textId="661CEA8A" w:rsidR="00157BFF" w:rsidRPr="006E22D3" w:rsidRDefault="00EB4238" w:rsidP="00F865FF">
      <w:pPr>
        <w:keepNext/>
        <w:spacing w:afterLines="50" w:after="120" w:line="340" w:lineRule="atLeast"/>
        <w:ind w:left="567"/>
        <w:jc w:val="center"/>
        <w:rPr>
          <w:rFonts w:ascii="KaiTi" w:eastAsia="KaiTi" w:hAnsi="KaiTi"/>
          <w:sz w:val="21"/>
          <w:szCs w:val="21"/>
          <w:u w:val="single"/>
        </w:rPr>
      </w:pPr>
      <w:r w:rsidRPr="006E22D3">
        <w:rPr>
          <w:rFonts w:ascii="KaiTi" w:eastAsia="KaiTi" w:hAnsi="KaiTi" w:hint="eastAsia"/>
          <w:sz w:val="21"/>
          <w:szCs w:val="21"/>
        </w:rPr>
        <w:t>国际局的编者按</w:t>
      </w:r>
    </w:p>
    <w:p w14:paraId="4CC20144" w14:textId="7CBDAC57" w:rsidR="0061735B" w:rsidRPr="006E22D3" w:rsidRDefault="00861CB3" w:rsidP="00F865FF">
      <w:pPr>
        <w:spacing w:afterLines="50" w:after="120" w:line="340" w:lineRule="atLeast"/>
        <w:ind w:left="567" w:firstLineChars="200" w:firstLine="420"/>
        <w:rPr>
          <w:rFonts w:ascii="KaiTi" w:eastAsia="KaiTi" w:hAnsi="KaiTi"/>
          <w:sz w:val="21"/>
          <w:szCs w:val="21"/>
        </w:rPr>
      </w:pPr>
      <w:r w:rsidRPr="006E22D3">
        <w:rPr>
          <w:rFonts w:ascii="KaiTi" w:eastAsia="KaiTi" w:hAnsi="KaiTi" w:hint="eastAsia"/>
          <w:sz w:val="21"/>
          <w:szCs w:val="21"/>
        </w:rPr>
        <w:t>各知识产权局</w:t>
      </w:r>
      <w:r w:rsidR="00F865FF">
        <w:rPr>
          <w:rFonts w:ascii="KaiTi" w:eastAsia="KaiTi" w:hAnsi="KaiTi" w:hint="eastAsia"/>
          <w:sz w:val="21"/>
          <w:szCs w:val="21"/>
        </w:rPr>
        <w:t>可以</w:t>
      </w:r>
      <w:r w:rsidRPr="006E22D3">
        <w:rPr>
          <w:rFonts w:ascii="KaiTi" w:eastAsia="KaiTi" w:hAnsi="KaiTi" w:hint="eastAsia"/>
          <w:sz w:val="21"/>
          <w:szCs w:val="21"/>
        </w:rPr>
        <w:t>开始实施ST.27以交换法律状态数据。法律状态工作队将在各知识产权</w:t>
      </w:r>
      <w:r w:rsidR="00090652" w:rsidRPr="006E22D3">
        <w:rPr>
          <w:rFonts w:ascii="KaiTi" w:eastAsia="KaiTi" w:hAnsi="KaiTi" w:hint="eastAsia"/>
          <w:sz w:val="21"/>
          <w:szCs w:val="21"/>
        </w:rPr>
        <w:t>局</w:t>
      </w:r>
      <w:r w:rsidRPr="006E22D3">
        <w:rPr>
          <w:rFonts w:ascii="KaiTi" w:eastAsia="KaiTi" w:hAnsi="KaiTi" w:hint="eastAsia"/>
          <w:sz w:val="21"/>
          <w:szCs w:val="21"/>
        </w:rPr>
        <w:t>继续改善其映射表的同时继续根据需要修订类别和事件的标题和说明。</w:t>
      </w:r>
    </w:p>
    <w:p w14:paraId="49B75DE0" w14:textId="0DD1B4A9" w:rsidR="0061735B" w:rsidRPr="006E22D3" w:rsidRDefault="0089298E" w:rsidP="00F865FF">
      <w:pPr>
        <w:spacing w:afterLines="50" w:after="120" w:line="340" w:lineRule="atLeast"/>
        <w:ind w:left="567" w:firstLineChars="200" w:firstLine="420"/>
        <w:rPr>
          <w:rFonts w:ascii="KaiTi" w:eastAsia="KaiTi" w:hAnsi="KaiTi"/>
          <w:sz w:val="21"/>
          <w:szCs w:val="21"/>
        </w:rPr>
      </w:pPr>
      <w:r w:rsidRPr="006E22D3">
        <w:rPr>
          <w:rFonts w:ascii="KaiTi" w:eastAsia="KaiTi" w:hAnsi="KaiTi" w:hint="eastAsia"/>
          <w:sz w:val="21"/>
          <w:szCs w:val="21"/>
        </w:rPr>
        <w:t>标准委员会已批准每个事件的状态事件代码</w:t>
      </w:r>
      <w:r w:rsidR="000210B8" w:rsidRPr="006E22D3">
        <w:rPr>
          <w:rFonts w:ascii="KaiTi" w:eastAsia="KaiTi" w:hAnsi="KaiTi" w:hint="eastAsia"/>
          <w:sz w:val="21"/>
          <w:szCs w:val="21"/>
        </w:rPr>
        <w:t>中</w:t>
      </w:r>
      <w:r w:rsidRPr="006E22D3">
        <w:rPr>
          <w:rFonts w:ascii="KaiTi" w:eastAsia="KaiTi" w:hAnsi="KaiTi" w:hint="eastAsia"/>
          <w:sz w:val="21"/>
          <w:szCs w:val="21"/>
        </w:rPr>
        <w:t>保留三个额外字符。这些保留字符对于标准的未来工作</w:t>
      </w:r>
      <w:r w:rsidR="000210B8" w:rsidRPr="006E22D3">
        <w:rPr>
          <w:rFonts w:ascii="KaiTi" w:eastAsia="KaiTi" w:hAnsi="KaiTi" w:hint="eastAsia"/>
          <w:sz w:val="21"/>
          <w:szCs w:val="21"/>
        </w:rPr>
        <w:t>非常有用</w:t>
      </w:r>
      <w:r w:rsidRPr="006E22D3">
        <w:rPr>
          <w:rFonts w:ascii="KaiTi" w:eastAsia="KaiTi" w:hAnsi="KaiTi" w:hint="eastAsia"/>
          <w:sz w:val="21"/>
          <w:szCs w:val="21"/>
        </w:rPr>
        <w:t>，</w:t>
      </w:r>
      <w:r w:rsidR="000210B8" w:rsidRPr="006E22D3">
        <w:rPr>
          <w:rFonts w:ascii="KaiTi" w:eastAsia="KaiTi" w:hAnsi="KaiTi" w:hint="eastAsia"/>
          <w:sz w:val="21"/>
          <w:szCs w:val="21"/>
        </w:rPr>
        <w:t>并且</w:t>
      </w:r>
      <w:r w:rsidRPr="006E22D3">
        <w:rPr>
          <w:rFonts w:ascii="KaiTi" w:eastAsia="KaiTi" w:hAnsi="KaiTi" w:hint="eastAsia"/>
          <w:sz w:val="21"/>
          <w:szCs w:val="21"/>
        </w:rPr>
        <w:t>现在保留</w:t>
      </w:r>
      <w:r w:rsidR="00B13947">
        <w:rPr>
          <w:rFonts w:ascii="KaiTi" w:eastAsia="KaiTi" w:hAnsi="KaiTi" w:hint="eastAsia"/>
          <w:sz w:val="21"/>
          <w:szCs w:val="21"/>
        </w:rPr>
        <w:t>，</w:t>
      </w:r>
      <w:r w:rsidRPr="006E22D3">
        <w:rPr>
          <w:rFonts w:ascii="KaiTi" w:eastAsia="KaiTi" w:hAnsi="KaiTi" w:hint="eastAsia"/>
          <w:sz w:val="21"/>
          <w:szCs w:val="21"/>
        </w:rPr>
        <w:t>以便主管局可以有</w:t>
      </w:r>
      <w:r w:rsidR="00441936">
        <w:rPr>
          <w:rFonts w:ascii="KaiTi" w:eastAsia="KaiTi" w:hAnsi="KaiTi" w:hint="eastAsia"/>
          <w:sz w:val="21"/>
          <w:szCs w:val="21"/>
        </w:rPr>
        <w:t>确定性</w:t>
      </w:r>
      <w:r w:rsidRPr="006E22D3">
        <w:rPr>
          <w:rFonts w:ascii="KaiTi" w:eastAsia="KaiTi" w:hAnsi="KaiTi" w:hint="eastAsia"/>
          <w:sz w:val="21"/>
          <w:szCs w:val="21"/>
        </w:rPr>
        <w:t>地实施现有标准。法律状态工作队将在标准委员会第七届会议之后进一步探讨使用保留字符的提案，并向标准委员会第八届会议报告任何商定的提案。如果工作队未能商定任何提案，则保留字符将保持不使用状态，但是留待以后</w:t>
      </w:r>
      <w:r w:rsidR="00385A84" w:rsidRPr="006E22D3">
        <w:rPr>
          <w:rFonts w:ascii="KaiTi" w:eastAsia="KaiTi" w:hAnsi="KaiTi" w:hint="eastAsia"/>
          <w:sz w:val="21"/>
          <w:szCs w:val="21"/>
        </w:rPr>
        <w:t>可能</w:t>
      </w:r>
      <w:r w:rsidR="008769E0" w:rsidRPr="006E22D3">
        <w:rPr>
          <w:rFonts w:ascii="KaiTi" w:eastAsia="KaiTi" w:hAnsi="KaiTi" w:hint="eastAsia"/>
          <w:sz w:val="21"/>
          <w:szCs w:val="21"/>
        </w:rPr>
        <w:t>的用途</w:t>
      </w:r>
      <w:r w:rsidRPr="006E22D3">
        <w:rPr>
          <w:rFonts w:ascii="KaiTi" w:eastAsia="KaiTi" w:hAnsi="KaiTi" w:hint="eastAsia"/>
          <w:sz w:val="21"/>
          <w:szCs w:val="21"/>
        </w:rPr>
        <w:t>。</w:t>
      </w:r>
    </w:p>
    <w:p w14:paraId="3D901F54" w14:textId="33AC3435" w:rsidR="00FC7AE8" w:rsidRPr="008E4078" w:rsidRDefault="00682C3B" w:rsidP="00F865FF">
      <w:pPr>
        <w:pStyle w:val="ONUME"/>
        <w:keepNext/>
        <w:keepLines/>
        <w:tabs>
          <w:tab w:val="clear" w:pos="567"/>
        </w:tabs>
        <w:spacing w:afterLines="50" w:after="120" w:line="340" w:lineRule="atLeast"/>
        <w:ind w:left="5534"/>
        <w:rPr>
          <w:rFonts w:ascii="KaiTi" w:eastAsia="KaiTi" w:hAnsi="KaiTi"/>
          <w:sz w:val="21"/>
          <w:szCs w:val="21"/>
        </w:rPr>
      </w:pPr>
      <w:r w:rsidRPr="008E4078">
        <w:rPr>
          <w:rFonts w:ascii="KaiTi" w:eastAsia="KaiTi" w:hAnsi="KaiTi" w:hint="eastAsia"/>
          <w:sz w:val="21"/>
          <w:szCs w:val="21"/>
        </w:rPr>
        <w:t>请标准委员会：</w:t>
      </w:r>
    </w:p>
    <w:p w14:paraId="5D0E9C0D" w14:textId="1D1445C4" w:rsidR="00FC7AE8" w:rsidRPr="008E4078" w:rsidRDefault="00FC7AE8" w:rsidP="00F865FF">
      <w:pPr>
        <w:pStyle w:val="BodyText"/>
        <w:keepNext/>
        <w:keepLines/>
        <w:tabs>
          <w:tab w:val="left" w:pos="6096"/>
          <w:tab w:val="left" w:pos="6600"/>
        </w:tabs>
        <w:spacing w:afterLines="50" w:after="120" w:line="340" w:lineRule="atLeast"/>
        <w:ind w:left="5534"/>
        <w:rPr>
          <w:rFonts w:ascii="KaiTi" w:eastAsia="KaiTi" w:hAnsi="KaiTi"/>
          <w:sz w:val="21"/>
          <w:szCs w:val="21"/>
        </w:rPr>
      </w:pPr>
      <w:r w:rsidRPr="008E4078">
        <w:rPr>
          <w:rFonts w:ascii="KaiTi" w:eastAsia="KaiTi" w:hAnsi="KaiTi"/>
          <w:sz w:val="21"/>
          <w:szCs w:val="21"/>
        </w:rPr>
        <w:tab/>
        <w:t>(a)</w:t>
      </w:r>
      <w:r w:rsidRPr="008E4078">
        <w:rPr>
          <w:rFonts w:ascii="KaiTi" w:eastAsia="KaiTi" w:hAnsi="KaiTi"/>
          <w:sz w:val="21"/>
          <w:szCs w:val="21"/>
        </w:rPr>
        <w:tab/>
      </w:r>
      <w:r w:rsidR="00682C3B" w:rsidRPr="008E4078">
        <w:rPr>
          <w:rFonts w:ascii="KaiTi" w:eastAsia="KaiTi" w:hAnsi="KaiTi" w:hint="eastAsia"/>
          <w:sz w:val="21"/>
          <w:szCs w:val="21"/>
        </w:rPr>
        <w:t>注意本文件的内容；</w:t>
      </w:r>
    </w:p>
    <w:p w14:paraId="148583F4" w14:textId="6B837886" w:rsidR="00FC7AE8" w:rsidRPr="008E4078" w:rsidRDefault="00FC7AE8" w:rsidP="00F865FF">
      <w:pPr>
        <w:pStyle w:val="BodyText"/>
        <w:keepNext/>
        <w:keepLines/>
        <w:tabs>
          <w:tab w:val="left" w:pos="6096"/>
          <w:tab w:val="left" w:pos="6600"/>
        </w:tabs>
        <w:spacing w:afterLines="50" w:after="120" w:line="340" w:lineRule="atLeast"/>
        <w:ind w:left="5534"/>
        <w:rPr>
          <w:rFonts w:ascii="KaiTi" w:eastAsia="KaiTi" w:hAnsi="KaiTi"/>
          <w:sz w:val="21"/>
          <w:szCs w:val="21"/>
        </w:rPr>
      </w:pPr>
      <w:r w:rsidRPr="008E4078">
        <w:rPr>
          <w:rFonts w:ascii="KaiTi" w:eastAsia="KaiTi" w:hAnsi="KaiTi"/>
          <w:sz w:val="21"/>
          <w:szCs w:val="21"/>
        </w:rPr>
        <w:tab/>
        <w:t>(b)</w:t>
      </w:r>
      <w:r w:rsidRPr="008E4078">
        <w:rPr>
          <w:rFonts w:ascii="KaiTi" w:eastAsia="KaiTi" w:hAnsi="KaiTi"/>
          <w:sz w:val="21"/>
          <w:szCs w:val="21"/>
        </w:rPr>
        <w:tab/>
      </w:r>
      <w:r w:rsidR="008E4078">
        <w:rPr>
          <w:rFonts w:ascii="KaiTi" w:eastAsia="KaiTi" w:hAnsi="KaiTi" w:hint="eastAsia"/>
          <w:sz w:val="21"/>
          <w:szCs w:val="21"/>
        </w:rPr>
        <w:t>审议</w:t>
      </w:r>
      <w:r w:rsidR="00682C3B" w:rsidRPr="008E4078">
        <w:rPr>
          <w:rFonts w:ascii="KaiTi" w:eastAsia="KaiTi" w:hAnsi="KaiTi" w:hint="eastAsia"/>
          <w:sz w:val="21"/>
          <w:szCs w:val="21"/>
        </w:rPr>
        <w:t>批准上文第24段所述的产权组织标准ST.27主体的拟议修订；</w:t>
      </w:r>
    </w:p>
    <w:p w14:paraId="096AE706" w14:textId="6A5775F0" w:rsidR="00395431" w:rsidRPr="008E4078" w:rsidRDefault="00395431" w:rsidP="00F865FF">
      <w:pPr>
        <w:pStyle w:val="BodyText"/>
        <w:keepNext/>
        <w:keepLines/>
        <w:tabs>
          <w:tab w:val="left" w:pos="6096"/>
          <w:tab w:val="left" w:pos="6600"/>
        </w:tabs>
        <w:spacing w:afterLines="50" w:after="120" w:line="340" w:lineRule="atLeast"/>
        <w:ind w:left="5534"/>
        <w:rPr>
          <w:rFonts w:ascii="KaiTi" w:eastAsia="KaiTi" w:hAnsi="KaiTi"/>
          <w:sz w:val="21"/>
          <w:szCs w:val="21"/>
        </w:rPr>
      </w:pPr>
      <w:r w:rsidRPr="008E4078">
        <w:rPr>
          <w:rFonts w:ascii="KaiTi" w:eastAsia="KaiTi" w:hAnsi="KaiTi"/>
          <w:sz w:val="21"/>
          <w:szCs w:val="21"/>
        </w:rPr>
        <w:tab/>
        <w:t>(</w:t>
      </w:r>
      <w:r w:rsidR="00430BAB" w:rsidRPr="008E4078">
        <w:rPr>
          <w:rFonts w:ascii="KaiTi" w:eastAsia="KaiTi" w:hAnsi="KaiTi"/>
          <w:sz w:val="21"/>
          <w:szCs w:val="21"/>
        </w:rPr>
        <w:t>c</w:t>
      </w:r>
      <w:r w:rsidRPr="008E4078">
        <w:rPr>
          <w:rFonts w:ascii="KaiTi" w:eastAsia="KaiTi" w:hAnsi="KaiTi"/>
          <w:sz w:val="21"/>
          <w:szCs w:val="21"/>
        </w:rPr>
        <w:t>)</w:t>
      </w:r>
      <w:r w:rsidRPr="008E4078">
        <w:rPr>
          <w:rFonts w:ascii="KaiTi" w:eastAsia="KaiTi" w:hAnsi="KaiTi"/>
          <w:sz w:val="21"/>
          <w:szCs w:val="21"/>
        </w:rPr>
        <w:tab/>
      </w:r>
      <w:r w:rsidR="008E4078">
        <w:rPr>
          <w:rFonts w:ascii="KaiTi" w:eastAsia="KaiTi" w:hAnsi="KaiTi" w:hint="eastAsia"/>
          <w:sz w:val="21"/>
          <w:szCs w:val="21"/>
        </w:rPr>
        <w:t>审议</w:t>
      </w:r>
      <w:r w:rsidR="00682C3B" w:rsidRPr="008E4078">
        <w:rPr>
          <w:rFonts w:ascii="KaiTi" w:eastAsia="KaiTi" w:hAnsi="KaiTi" w:hint="eastAsia"/>
          <w:sz w:val="21"/>
          <w:szCs w:val="21"/>
        </w:rPr>
        <w:t>批准上文第4段至第8段所述的对产权组织标准</w:t>
      </w:r>
      <w:r w:rsidR="00682C3B" w:rsidRPr="008E4078">
        <w:rPr>
          <w:rFonts w:ascii="KaiTi" w:eastAsia="KaiTi" w:hAnsi="KaiTi"/>
          <w:sz w:val="21"/>
          <w:szCs w:val="21"/>
        </w:rPr>
        <w:t>ST.27</w:t>
      </w:r>
      <w:r w:rsidR="00682C3B" w:rsidRPr="008E4078">
        <w:rPr>
          <w:rFonts w:ascii="KaiTi" w:eastAsia="KaiTi" w:hAnsi="KaiTi" w:hint="eastAsia"/>
          <w:sz w:val="21"/>
          <w:szCs w:val="21"/>
        </w:rPr>
        <w:t>附件一的拟议修订和对附件二的相应更新；</w:t>
      </w:r>
    </w:p>
    <w:p w14:paraId="16994F14" w14:textId="4D99E72B" w:rsidR="007C3EA1" w:rsidRPr="008E4078" w:rsidRDefault="00007E96" w:rsidP="00F865FF">
      <w:pPr>
        <w:pStyle w:val="BodyText"/>
        <w:keepNext/>
        <w:keepLines/>
        <w:tabs>
          <w:tab w:val="left" w:pos="6096"/>
          <w:tab w:val="left" w:pos="6600"/>
        </w:tabs>
        <w:spacing w:afterLines="50" w:after="120" w:line="340" w:lineRule="atLeast"/>
        <w:ind w:left="5534"/>
        <w:rPr>
          <w:rFonts w:ascii="KaiTi" w:eastAsia="KaiTi" w:hAnsi="KaiTi"/>
          <w:sz w:val="21"/>
          <w:szCs w:val="21"/>
        </w:rPr>
      </w:pPr>
      <w:r w:rsidRPr="008E4078">
        <w:rPr>
          <w:rFonts w:ascii="KaiTi" w:eastAsia="KaiTi" w:hAnsi="KaiTi"/>
          <w:sz w:val="21"/>
          <w:szCs w:val="21"/>
        </w:rPr>
        <w:tab/>
        <w:t>(</w:t>
      </w:r>
      <w:r w:rsidR="00430BAB" w:rsidRPr="008E4078">
        <w:rPr>
          <w:rFonts w:ascii="KaiTi" w:eastAsia="KaiTi" w:hAnsi="KaiTi"/>
          <w:sz w:val="21"/>
          <w:szCs w:val="21"/>
        </w:rPr>
        <w:t>d</w:t>
      </w:r>
      <w:r w:rsidRPr="008E4078">
        <w:rPr>
          <w:rFonts w:ascii="KaiTi" w:eastAsia="KaiTi" w:hAnsi="KaiTi"/>
          <w:sz w:val="21"/>
          <w:szCs w:val="21"/>
        </w:rPr>
        <w:t>)</w:t>
      </w:r>
      <w:r w:rsidRPr="008E4078">
        <w:rPr>
          <w:rFonts w:ascii="KaiTi" w:eastAsia="KaiTi" w:hAnsi="KaiTi"/>
          <w:sz w:val="21"/>
          <w:szCs w:val="21"/>
        </w:rPr>
        <w:tab/>
      </w:r>
      <w:r w:rsidR="008E4078">
        <w:rPr>
          <w:rFonts w:ascii="KaiTi" w:eastAsia="KaiTi" w:hAnsi="KaiTi" w:hint="eastAsia"/>
          <w:sz w:val="21"/>
          <w:szCs w:val="21"/>
        </w:rPr>
        <w:t>审议</w:t>
      </w:r>
      <w:r w:rsidR="00682C3B" w:rsidRPr="008E4078">
        <w:rPr>
          <w:rFonts w:ascii="KaiTi" w:eastAsia="KaiTi" w:hAnsi="KaiTi" w:hint="eastAsia"/>
          <w:sz w:val="21"/>
          <w:szCs w:val="21"/>
        </w:rPr>
        <w:t>批准上文第10段至12段所述并转录于本文件附件一的产权组织标准</w:t>
      </w:r>
      <w:r w:rsidR="00682C3B" w:rsidRPr="008E4078">
        <w:rPr>
          <w:rFonts w:ascii="KaiTi" w:eastAsia="KaiTi" w:hAnsi="KaiTi"/>
          <w:sz w:val="21"/>
          <w:szCs w:val="21"/>
        </w:rPr>
        <w:t>ST.27</w:t>
      </w:r>
      <w:r w:rsidR="00682C3B" w:rsidRPr="008E4078">
        <w:rPr>
          <w:rFonts w:ascii="KaiTi" w:eastAsia="KaiTi" w:hAnsi="KaiTi" w:hint="eastAsia"/>
          <w:sz w:val="21"/>
          <w:szCs w:val="21"/>
        </w:rPr>
        <w:t>附件五“常见情况</w:t>
      </w:r>
      <w:r w:rsidR="008C571B" w:rsidRPr="008E4078">
        <w:rPr>
          <w:rFonts w:ascii="KaiTi" w:eastAsia="KaiTi" w:hAnsi="KaiTi" w:hint="eastAsia"/>
          <w:sz w:val="21"/>
          <w:szCs w:val="21"/>
        </w:rPr>
        <w:t>指导</w:t>
      </w:r>
      <w:r w:rsidR="00682C3B" w:rsidRPr="008E4078">
        <w:rPr>
          <w:rFonts w:ascii="KaiTi" w:eastAsia="KaiTi" w:hAnsi="KaiTi" w:hint="eastAsia"/>
          <w:sz w:val="21"/>
          <w:szCs w:val="21"/>
        </w:rPr>
        <w:t>文件”，并将目前的附件五改为附件六，标题为“基于类别的</w:t>
      </w:r>
      <w:r w:rsidR="008C571B" w:rsidRPr="008E4078">
        <w:rPr>
          <w:rFonts w:ascii="KaiTi" w:eastAsia="KaiTi" w:hAnsi="KaiTi" w:hint="eastAsia"/>
          <w:sz w:val="21"/>
          <w:szCs w:val="21"/>
        </w:rPr>
        <w:t>指导</w:t>
      </w:r>
      <w:r w:rsidR="00682C3B" w:rsidRPr="008E4078">
        <w:rPr>
          <w:rFonts w:ascii="KaiTi" w:eastAsia="KaiTi" w:hAnsi="KaiTi" w:hint="eastAsia"/>
          <w:sz w:val="21"/>
          <w:szCs w:val="21"/>
        </w:rPr>
        <w:t>文件”；</w:t>
      </w:r>
      <w:r w:rsidR="00C5554B">
        <w:rPr>
          <w:rFonts w:ascii="KaiTi" w:eastAsia="KaiTi" w:hAnsi="KaiTi" w:hint="eastAsia"/>
          <w:sz w:val="21"/>
          <w:szCs w:val="21"/>
        </w:rPr>
        <w:t>以及</w:t>
      </w:r>
    </w:p>
    <w:p w14:paraId="26E4C2B2" w14:textId="7D24E0A9" w:rsidR="00007E96" w:rsidRPr="008E4078" w:rsidRDefault="0043609E" w:rsidP="00F865FF">
      <w:pPr>
        <w:pStyle w:val="BodyText"/>
        <w:keepNext/>
        <w:keepLines/>
        <w:tabs>
          <w:tab w:val="left" w:pos="6096"/>
          <w:tab w:val="left" w:pos="6600"/>
        </w:tabs>
        <w:spacing w:afterLines="50" w:after="120" w:line="340" w:lineRule="atLeast"/>
        <w:ind w:left="5534"/>
        <w:rPr>
          <w:rFonts w:ascii="KaiTi" w:eastAsia="KaiTi" w:hAnsi="KaiTi"/>
          <w:sz w:val="21"/>
          <w:szCs w:val="21"/>
        </w:rPr>
      </w:pPr>
      <w:r w:rsidRPr="008E4078">
        <w:rPr>
          <w:rFonts w:ascii="KaiTi" w:eastAsia="KaiTi" w:hAnsi="KaiTi"/>
          <w:sz w:val="21"/>
          <w:szCs w:val="21"/>
        </w:rPr>
        <w:tab/>
      </w:r>
      <w:r w:rsidR="007C3EA1" w:rsidRPr="008E4078">
        <w:rPr>
          <w:rFonts w:ascii="KaiTi" w:eastAsia="KaiTi" w:hAnsi="KaiTi"/>
          <w:sz w:val="21"/>
          <w:szCs w:val="21"/>
        </w:rPr>
        <w:t>(</w:t>
      </w:r>
      <w:r w:rsidR="00430BAB" w:rsidRPr="008E4078">
        <w:rPr>
          <w:rFonts w:ascii="KaiTi" w:eastAsia="KaiTi" w:hAnsi="KaiTi"/>
          <w:sz w:val="21"/>
          <w:szCs w:val="21"/>
        </w:rPr>
        <w:t>e</w:t>
      </w:r>
      <w:r w:rsidRPr="008E4078">
        <w:rPr>
          <w:rFonts w:ascii="KaiTi" w:eastAsia="KaiTi" w:hAnsi="KaiTi"/>
          <w:sz w:val="21"/>
          <w:szCs w:val="21"/>
        </w:rPr>
        <w:t>)</w:t>
      </w:r>
      <w:r w:rsidRPr="008E4078">
        <w:rPr>
          <w:rFonts w:ascii="KaiTi" w:eastAsia="KaiTi" w:hAnsi="KaiTi"/>
          <w:sz w:val="21"/>
          <w:szCs w:val="21"/>
        </w:rPr>
        <w:tab/>
      </w:r>
      <w:r w:rsidR="00E0480C" w:rsidRPr="008E4078">
        <w:rPr>
          <w:rFonts w:ascii="KaiTi" w:eastAsia="KaiTi" w:hAnsi="KaiTi" w:hint="eastAsia"/>
          <w:sz w:val="21"/>
          <w:szCs w:val="21"/>
        </w:rPr>
        <w:t>对上文第15段至18段和第23段至24段所述的保留字段的可能用途</w:t>
      </w:r>
      <w:r w:rsidR="008C571B" w:rsidRPr="008E4078">
        <w:rPr>
          <w:rFonts w:ascii="KaiTi" w:eastAsia="KaiTi" w:hAnsi="KaiTi" w:hint="eastAsia"/>
          <w:sz w:val="21"/>
          <w:szCs w:val="21"/>
        </w:rPr>
        <w:t>或</w:t>
      </w:r>
      <w:r w:rsidR="00E0480C" w:rsidRPr="008E4078">
        <w:rPr>
          <w:rFonts w:ascii="KaiTi" w:eastAsia="KaiTi" w:hAnsi="KaiTi" w:hint="eastAsia"/>
          <w:sz w:val="21"/>
          <w:szCs w:val="21"/>
        </w:rPr>
        <w:t>国际局提议的15个程序标</w:t>
      </w:r>
      <w:r w:rsidR="008C571B" w:rsidRPr="008E4078">
        <w:rPr>
          <w:rFonts w:ascii="KaiTi" w:eastAsia="KaiTi" w:hAnsi="KaiTi" w:hint="eastAsia"/>
          <w:sz w:val="21"/>
          <w:szCs w:val="21"/>
        </w:rPr>
        <w:t>签</w:t>
      </w:r>
      <w:r w:rsidR="00E0480C" w:rsidRPr="008E4078">
        <w:rPr>
          <w:rFonts w:ascii="KaiTi" w:eastAsia="KaiTi" w:hAnsi="KaiTi" w:hint="eastAsia"/>
          <w:sz w:val="21"/>
          <w:szCs w:val="21"/>
        </w:rPr>
        <w:t>提出评论意见。</w:t>
      </w:r>
    </w:p>
    <w:p w14:paraId="59E8DA3C" w14:textId="77777777" w:rsidR="0043609E" w:rsidRPr="008E4078" w:rsidRDefault="0043609E" w:rsidP="00F865FF">
      <w:pPr>
        <w:pStyle w:val="Endofdocument-Annex"/>
        <w:spacing w:afterLines="50" w:after="120" w:line="340" w:lineRule="atLeast"/>
        <w:rPr>
          <w:rFonts w:ascii="KaiTi" w:eastAsia="KaiTi" w:hAnsi="KaiTi"/>
          <w:sz w:val="21"/>
          <w:szCs w:val="21"/>
          <w:lang w:val="en-GB"/>
        </w:rPr>
      </w:pPr>
    </w:p>
    <w:p w14:paraId="39E16551" w14:textId="14ED28DB" w:rsidR="00FC7AE8" w:rsidRPr="008E4078" w:rsidRDefault="00FC7AE8" w:rsidP="00F865FF">
      <w:pPr>
        <w:pStyle w:val="Endofdocument-Annex"/>
        <w:spacing w:afterLines="50" w:after="120" w:line="340" w:lineRule="atLeast"/>
        <w:rPr>
          <w:rFonts w:ascii="KaiTi" w:eastAsia="KaiTi" w:hAnsi="KaiTi"/>
          <w:sz w:val="21"/>
          <w:szCs w:val="21"/>
          <w:lang w:val="en-GB"/>
        </w:rPr>
      </w:pPr>
      <w:r w:rsidRPr="008E4078">
        <w:rPr>
          <w:rFonts w:ascii="KaiTi" w:eastAsia="KaiTi" w:hAnsi="KaiTi"/>
          <w:sz w:val="21"/>
          <w:szCs w:val="21"/>
          <w:lang w:val="en-GB"/>
        </w:rPr>
        <w:t>[</w:t>
      </w:r>
      <w:r w:rsidR="00E0480C" w:rsidRPr="008E4078">
        <w:rPr>
          <w:rFonts w:ascii="KaiTi" w:eastAsia="KaiTi" w:hAnsi="KaiTi" w:hint="eastAsia"/>
          <w:sz w:val="21"/>
          <w:szCs w:val="21"/>
          <w:lang w:val="en-GB"/>
        </w:rPr>
        <w:t>后接附件一（ST.27附件五）</w:t>
      </w:r>
      <w:r w:rsidRPr="008E4078">
        <w:rPr>
          <w:rFonts w:ascii="KaiTi" w:eastAsia="KaiTi" w:hAnsi="KaiTi"/>
          <w:sz w:val="21"/>
          <w:szCs w:val="21"/>
          <w:lang w:val="en-GB"/>
        </w:rPr>
        <w:t>]</w:t>
      </w:r>
    </w:p>
    <w:sectPr w:rsidR="00FC7AE8" w:rsidRPr="008E4078" w:rsidSect="005E46F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81DAD" w14:textId="77777777" w:rsidR="00786316" w:rsidRDefault="00786316">
      <w:r>
        <w:separator/>
      </w:r>
    </w:p>
  </w:endnote>
  <w:endnote w:type="continuationSeparator" w:id="0">
    <w:p w14:paraId="66D5E9C8" w14:textId="77777777" w:rsidR="00786316" w:rsidRDefault="00786316" w:rsidP="003B38C1">
      <w:r>
        <w:separator/>
      </w:r>
    </w:p>
    <w:p w14:paraId="37768270" w14:textId="77777777" w:rsidR="00786316" w:rsidRPr="003B38C1" w:rsidRDefault="00786316" w:rsidP="003B38C1">
      <w:pPr>
        <w:spacing w:after="60"/>
        <w:rPr>
          <w:sz w:val="17"/>
        </w:rPr>
      </w:pPr>
      <w:r>
        <w:rPr>
          <w:sz w:val="17"/>
        </w:rPr>
        <w:t>[Endnote continued from previous page]</w:t>
      </w:r>
    </w:p>
  </w:endnote>
  <w:endnote w:type="continuationNotice" w:id="1">
    <w:p w14:paraId="5EFA86A0" w14:textId="77777777" w:rsidR="00786316" w:rsidRPr="003B38C1" w:rsidRDefault="007863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FCB3" w14:textId="77777777" w:rsidR="00786316" w:rsidRDefault="00786316">
      <w:r>
        <w:separator/>
      </w:r>
    </w:p>
  </w:footnote>
  <w:footnote w:type="continuationSeparator" w:id="0">
    <w:p w14:paraId="402A22A0" w14:textId="77777777" w:rsidR="00786316" w:rsidRDefault="00786316" w:rsidP="008B60B2">
      <w:r>
        <w:separator/>
      </w:r>
    </w:p>
    <w:p w14:paraId="2B7F2859" w14:textId="77777777" w:rsidR="00786316" w:rsidRPr="00ED77FB" w:rsidRDefault="00786316" w:rsidP="008B60B2">
      <w:pPr>
        <w:spacing w:after="60"/>
        <w:rPr>
          <w:sz w:val="17"/>
          <w:szCs w:val="17"/>
        </w:rPr>
      </w:pPr>
      <w:r w:rsidRPr="00ED77FB">
        <w:rPr>
          <w:sz w:val="17"/>
          <w:szCs w:val="17"/>
        </w:rPr>
        <w:t>[Footnote continued from previous page]</w:t>
      </w:r>
    </w:p>
  </w:footnote>
  <w:footnote w:type="continuationNotice" w:id="1">
    <w:p w14:paraId="3146F902" w14:textId="77777777" w:rsidR="00786316" w:rsidRPr="00ED77FB" w:rsidRDefault="0078631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CA41" w14:textId="49A75978" w:rsidR="00786316" w:rsidRPr="00CD0D54" w:rsidRDefault="00786316" w:rsidP="00477D6B">
    <w:pPr>
      <w:jc w:val="right"/>
      <w:rPr>
        <w:rFonts w:ascii="SimSun" w:hAnsi="SimSun"/>
        <w:sz w:val="21"/>
        <w:szCs w:val="21"/>
      </w:rPr>
    </w:pPr>
    <w:bookmarkStart w:id="6" w:name="Code2"/>
    <w:bookmarkEnd w:id="6"/>
    <w:r w:rsidRPr="00CD0D54">
      <w:rPr>
        <w:rFonts w:ascii="SimSun" w:hAnsi="SimSun"/>
        <w:sz w:val="21"/>
        <w:szCs w:val="21"/>
      </w:rPr>
      <w:t>CWS/7/12</w:t>
    </w:r>
  </w:p>
  <w:p w14:paraId="776E01EB" w14:textId="0DEF1821" w:rsidR="00786316" w:rsidRPr="00CD0D54" w:rsidRDefault="00CD0D54" w:rsidP="00477D6B">
    <w:pPr>
      <w:jc w:val="right"/>
      <w:rPr>
        <w:rFonts w:ascii="SimSun" w:hAnsi="SimSun"/>
        <w:sz w:val="21"/>
        <w:szCs w:val="21"/>
      </w:rPr>
    </w:pPr>
    <w:r w:rsidRPr="00CD0D54">
      <w:rPr>
        <w:rFonts w:ascii="SimSun" w:hAnsi="SimSun" w:hint="eastAsia"/>
        <w:sz w:val="21"/>
        <w:szCs w:val="21"/>
      </w:rPr>
      <w:t>第</w:t>
    </w:r>
    <w:r w:rsidRPr="00CD0D54">
      <w:rPr>
        <w:rFonts w:ascii="SimSun" w:hAnsi="SimSun"/>
        <w:sz w:val="21"/>
        <w:szCs w:val="21"/>
      </w:rPr>
      <w:fldChar w:fldCharType="begin"/>
    </w:r>
    <w:r w:rsidRPr="00CD0D54">
      <w:rPr>
        <w:rFonts w:ascii="SimSun" w:hAnsi="SimSun"/>
        <w:sz w:val="21"/>
        <w:szCs w:val="21"/>
      </w:rPr>
      <w:instrText xml:space="preserve"> page </w:instrText>
    </w:r>
    <w:r w:rsidRPr="00CD0D54">
      <w:rPr>
        <w:rFonts w:ascii="SimSun" w:hAnsi="SimSun"/>
        <w:sz w:val="21"/>
        <w:szCs w:val="21"/>
      </w:rPr>
      <w:fldChar w:fldCharType="separate"/>
    </w:r>
    <w:r w:rsidR="00723180">
      <w:rPr>
        <w:rFonts w:ascii="SimSun" w:hAnsi="SimSun"/>
        <w:noProof/>
        <w:sz w:val="21"/>
        <w:szCs w:val="21"/>
      </w:rPr>
      <w:t>6</w:t>
    </w:r>
    <w:r w:rsidRPr="00CD0D54">
      <w:rPr>
        <w:rFonts w:ascii="SimSun" w:hAnsi="SimSun"/>
        <w:sz w:val="21"/>
        <w:szCs w:val="21"/>
      </w:rPr>
      <w:fldChar w:fldCharType="end"/>
    </w:r>
    <w:r w:rsidRPr="00CD0D54">
      <w:rPr>
        <w:rFonts w:ascii="SimSun" w:hAnsi="SimSun" w:hint="eastAsia"/>
        <w:sz w:val="21"/>
        <w:szCs w:val="21"/>
      </w:rPr>
      <w:t>页</w:t>
    </w:r>
  </w:p>
  <w:p w14:paraId="5AF8CAAC" w14:textId="77777777" w:rsidR="00786316" w:rsidRPr="007F04C2" w:rsidRDefault="00786316"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5D01D00"/>
    <w:multiLevelType w:val="hybridMultilevel"/>
    <w:tmpl w:val="28048020"/>
    <w:lvl w:ilvl="0" w:tplc="E1D8A5F4">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54D078B"/>
    <w:multiLevelType w:val="hybridMultilevel"/>
    <w:tmpl w:val="214E3802"/>
    <w:lvl w:ilvl="0" w:tplc="EFEE368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3446E1"/>
    <w:multiLevelType w:val="hybridMultilevel"/>
    <w:tmpl w:val="E824404E"/>
    <w:lvl w:ilvl="0" w:tplc="452AD052">
      <w:start w:val="1"/>
      <w:numFmt w:val="lowerLetter"/>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BA14D4"/>
    <w:multiLevelType w:val="hybridMultilevel"/>
    <w:tmpl w:val="5E3EED52"/>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78694A"/>
    <w:multiLevelType w:val="hybridMultilevel"/>
    <w:tmpl w:val="394EC798"/>
    <w:lvl w:ilvl="0" w:tplc="3E1C4CA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D0C43"/>
    <w:multiLevelType w:val="hybridMultilevel"/>
    <w:tmpl w:val="1424EC9C"/>
    <w:lvl w:ilvl="0" w:tplc="78E8C73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503E52"/>
    <w:multiLevelType w:val="hybridMultilevel"/>
    <w:tmpl w:val="4336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E656E"/>
    <w:multiLevelType w:val="hybridMultilevel"/>
    <w:tmpl w:val="E41A4A00"/>
    <w:lvl w:ilvl="0" w:tplc="EFEE368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13"/>
  </w:num>
  <w:num w:numId="8">
    <w:abstractNumId w:val="9"/>
  </w:num>
  <w:num w:numId="9">
    <w:abstractNumId w:val="11"/>
  </w:num>
  <w:num w:numId="10">
    <w:abstractNumId w:val="10"/>
  </w:num>
  <w:num w:numId="11">
    <w:abstractNumId w:val="1"/>
  </w:num>
  <w:num w:numId="12">
    <w:abstractNumId w:val="12"/>
  </w:num>
  <w:num w:numId="13">
    <w:abstractNumId w:val="14"/>
  </w:num>
  <w:num w:numId="14">
    <w:abstractNumId w:val="7"/>
  </w:num>
  <w:num w:numId="15">
    <w:abstractNumId w:val="5"/>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FD"/>
    <w:rsid w:val="000058F9"/>
    <w:rsid w:val="00007E96"/>
    <w:rsid w:val="000210B8"/>
    <w:rsid w:val="0002441A"/>
    <w:rsid w:val="000370ED"/>
    <w:rsid w:val="00043CAA"/>
    <w:rsid w:val="00064EBA"/>
    <w:rsid w:val="00065CCC"/>
    <w:rsid w:val="00075432"/>
    <w:rsid w:val="00075978"/>
    <w:rsid w:val="00077B8B"/>
    <w:rsid w:val="000808C4"/>
    <w:rsid w:val="00084704"/>
    <w:rsid w:val="00084C62"/>
    <w:rsid w:val="00090652"/>
    <w:rsid w:val="000968ED"/>
    <w:rsid w:val="000B2133"/>
    <w:rsid w:val="000C238D"/>
    <w:rsid w:val="000C243C"/>
    <w:rsid w:val="000C46AD"/>
    <w:rsid w:val="000D08AE"/>
    <w:rsid w:val="000E1879"/>
    <w:rsid w:val="000E3196"/>
    <w:rsid w:val="000E70A3"/>
    <w:rsid w:val="000F5E56"/>
    <w:rsid w:val="00131569"/>
    <w:rsid w:val="001362EE"/>
    <w:rsid w:val="00146866"/>
    <w:rsid w:val="00147E49"/>
    <w:rsid w:val="00153179"/>
    <w:rsid w:val="00153DF0"/>
    <w:rsid w:val="001567B8"/>
    <w:rsid w:val="00157BFF"/>
    <w:rsid w:val="001622C2"/>
    <w:rsid w:val="001633F7"/>
    <w:rsid w:val="001647D5"/>
    <w:rsid w:val="001649E3"/>
    <w:rsid w:val="00171C62"/>
    <w:rsid w:val="00175347"/>
    <w:rsid w:val="00176105"/>
    <w:rsid w:val="001801B9"/>
    <w:rsid w:val="001832A6"/>
    <w:rsid w:val="00186697"/>
    <w:rsid w:val="00190076"/>
    <w:rsid w:val="00194419"/>
    <w:rsid w:val="00196B78"/>
    <w:rsid w:val="001A2212"/>
    <w:rsid w:val="001A25E9"/>
    <w:rsid w:val="001B19B6"/>
    <w:rsid w:val="001C4A9D"/>
    <w:rsid w:val="001E4CA9"/>
    <w:rsid w:val="00205460"/>
    <w:rsid w:val="0021217E"/>
    <w:rsid w:val="00212DF1"/>
    <w:rsid w:val="002231BC"/>
    <w:rsid w:val="002305DF"/>
    <w:rsid w:val="00232049"/>
    <w:rsid w:val="00235EBF"/>
    <w:rsid w:val="00243160"/>
    <w:rsid w:val="002431C7"/>
    <w:rsid w:val="00243651"/>
    <w:rsid w:val="002531A0"/>
    <w:rsid w:val="00255DD8"/>
    <w:rsid w:val="002575F9"/>
    <w:rsid w:val="002634C4"/>
    <w:rsid w:val="0027399F"/>
    <w:rsid w:val="002816E1"/>
    <w:rsid w:val="002847CA"/>
    <w:rsid w:val="00285DA9"/>
    <w:rsid w:val="002928D3"/>
    <w:rsid w:val="002954FC"/>
    <w:rsid w:val="002A1614"/>
    <w:rsid w:val="002B27B1"/>
    <w:rsid w:val="002B3685"/>
    <w:rsid w:val="002B5DD0"/>
    <w:rsid w:val="002C0E04"/>
    <w:rsid w:val="002C2A95"/>
    <w:rsid w:val="002C5355"/>
    <w:rsid w:val="002C5E3D"/>
    <w:rsid w:val="002D14D4"/>
    <w:rsid w:val="002E01E6"/>
    <w:rsid w:val="002E049A"/>
    <w:rsid w:val="002E2414"/>
    <w:rsid w:val="002E2D7F"/>
    <w:rsid w:val="002F1FE6"/>
    <w:rsid w:val="002F4E68"/>
    <w:rsid w:val="002F5D33"/>
    <w:rsid w:val="00300C81"/>
    <w:rsid w:val="00300EC6"/>
    <w:rsid w:val="0030167D"/>
    <w:rsid w:val="00304067"/>
    <w:rsid w:val="00312F7F"/>
    <w:rsid w:val="0031768F"/>
    <w:rsid w:val="00323DBC"/>
    <w:rsid w:val="00333168"/>
    <w:rsid w:val="00341E9D"/>
    <w:rsid w:val="0035060D"/>
    <w:rsid w:val="00361450"/>
    <w:rsid w:val="00361FFA"/>
    <w:rsid w:val="003664C5"/>
    <w:rsid w:val="003673CF"/>
    <w:rsid w:val="003704E1"/>
    <w:rsid w:val="00376D9A"/>
    <w:rsid w:val="003845C1"/>
    <w:rsid w:val="00385A84"/>
    <w:rsid w:val="00392055"/>
    <w:rsid w:val="00395431"/>
    <w:rsid w:val="003A049D"/>
    <w:rsid w:val="003A0575"/>
    <w:rsid w:val="003A6F89"/>
    <w:rsid w:val="003A7994"/>
    <w:rsid w:val="003B38C1"/>
    <w:rsid w:val="003D16B8"/>
    <w:rsid w:val="003D3719"/>
    <w:rsid w:val="003D3EC1"/>
    <w:rsid w:val="003E4806"/>
    <w:rsid w:val="003E60D7"/>
    <w:rsid w:val="00400522"/>
    <w:rsid w:val="00416E00"/>
    <w:rsid w:val="004207A9"/>
    <w:rsid w:val="00423E3E"/>
    <w:rsid w:val="004245FC"/>
    <w:rsid w:val="00427AF4"/>
    <w:rsid w:val="004300DA"/>
    <w:rsid w:val="00430BAB"/>
    <w:rsid w:val="00432A30"/>
    <w:rsid w:val="0043609E"/>
    <w:rsid w:val="00441936"/>
    <w:rsid w:val="004422F9"/>
    <w:rsid w:val="004441D6"/>
    <w:rsid w:val="004530DF"/>
    <w:rsid w:val="00453CE3"/>
    <w:rsid w:val="00463BCB"/>
    <w:rsid w:val="004647DA"/>
    <w:rsid w:val="00464958"/>
    <w:rsid w:val="00470493"/>
    <w:rsid w:val="00473691"/>
    <w:rsid w:val="00474062"/>
    <w:rsid w:val="00476E41"/>
    <w:rsid w:val="00477D6B"/>
    <w:rsid w:val="00481349"/>
    <w:rsid w:val="004842A5"/>
    <w:rsid w:val="004A511F"/>
    <w:rsid w:val="004B3029"/>
    <w:rsid w:val="004C3716"/>
    <w:rsid w:val="004C3D58"/>
    <w:rsid w:val="004E41DF"/>
    <w:rsid w:val="004E4A6F"/>
    <w:rsid w:val="004E68FE"/>
    <w:rsid w:val="004F047B"/>
    <w:rsid w:val="004F0BDC"/>
    <w:rsid w:val="004F585B"/>
    <w:rsid w:val="005019FF"/>
    <w:rsid w:val="00503131"/>
    <w:rsid w:val="00527B84"/>
    <w:rsid w:val="0053057A"/>
    <w:rsid w:val="00531F28"/>
    <w:rsid w:val="00533710"/>
    <w:rsid w:val="0054095D"/>
    <w:rsid w:val="005522A3"/>
    <w:rsid w:val="00560A29"/>
    <w:rsid w:val="0056422C"/>
    <w:rsid w:val="00566704"/>
    <w:rsid w:val="00581F26"/>
    <w:rsid w:val="0059189B"/>
    <w:rsid w:val="00595D4C"/>
    <w:rsid w:val="00597290"/>
    <w:rsid w:val="005979E1"/>
    <w:rsid w:val="005A0813"/>
    <w:rsid w:val="005A0BDA"/>
    <w:rsid w:val="005A428E"/>
    <w:rsid w:val="005B70F8"/>
    <w:rsid w:val="005C6649"/>
    <w:rsid w:val="005E46FD"/>
    <w:rsid w:val="00602229"/>
    <w:rsid w:val="006037CE"/>
    <w:rsid w:val="006043E9"/>
    <w:rsid w:val="00605827"/>
    <w:rsid w:val="00611676"/>
    <w:rsid w:val="00613A0F"/>
    <w:rsid w:val="0061735B"/>
    <w:rsid w:val="0063522F"/>
    <w:rsid w:val="0064043D"/>
    <w:rsid w:val="00640C5D"/>
    <w:rsid w:val="00646050"/>
    <w:rsid w:val="00651070"/>
    <w:rsid w:val="00652E74"/>
    <w:rsid w:val="00655604"/>
    <w:rsid w:val="00656A40"/>
    <w:rsid w:val="00665811"/>
    <w:rsid w:val="006713CA"/>
    <w:rsid w:val="00671679"/>
    <w:rsid w:val="00671A7A"/>
    <w:rsid w:val="00672E1D"/>
    <w:rsid w:val="00676C5C"/>
    <w:rsid w:val="0068003D"/>
    <w:rsid w:val="00682C3B"/>
    <w:rsid w:val="006834D5"/>
    <w:rsid w:val="00697027"/>
    <w:rsid w:val="006A0BF1"/>
    <w:rsid w:val="006A5AA7"/>
    <w:rsid w:val="006C27B2"/>
    <w:rsid w:val="006C6B81"/>
    <w:rsid w:val="006E0F53"/>
    <w:rsid w:val="006E1FBD"/>
    <w:rsid w:val="006E22D3"/>
    <w:rsid w:val="006E7AD3"/>
    <w:rsid w:val="006F5FCC"/>
    <w:rsid w:val="006F6D8F"/>
    <w:rsid w:val="00701FBF"/>
    <w:rsid w:val="00711378"/>
    <w:rsid w:val="00711817"/>
    <w:rsid w:val="0071193E"/>
    <w:rsid w:val="007133B2"/>
    <w:rsid w:val="00715843"/>
    <w:rsid w:val="00721434"/>
    <w:rsid w:val="00723180"/>
    <w:rsid w:val="00741FBE"/>
    <w:rsid w:val="007457D3"/>
    <w:rsid w:val="00763754"/>
    <w:rsid w:val="0076400A"/>
    <w:rsid w:val="007653F6"/>
    <w:rsid w:val="0077256C"/>
    <w:rsid w:val="00774C04"/>
    <w:rsid w:val="00786316"/>
    <w:rsid w:val="00791531"/>
    <w:rsid w:val="007B060D"/>
    <w:rsid w:val="007B1C75"/>
    <w:rsid w:val="007B75B2"/>
    <w:rsid w:val="007C3EA1"/>
    <w:rsid w:val="007C5A36"/>
    <w:rsid w:val="007D1613"/>
    <w:rsid w:val="007D321C"/>
    <w:rsid w:val="007D3C4E"/>
    <w:rsid w:val="007D7318"/>
    <w:rsid w:val="007E0FFD"/>
    <w:rsid w:val="007E1B1A"/>
    <w:rsid w:val="007E4C0E"/>
    <w:rsid w:val="007F04C2"/>
    <w:rsid w:val="007F2F08"/>
    <w:rsid w:val="00800F5B"/>
    <w:rsid w:val="00815115"/>
    <w:rsid w:val="0081768A"/>
    <w:rsid w:val="0082586B"/>
    <w:rsid w:val="008457F6"/>
    <w:rsid w:val="00853F84"/>
    <w:rsid w:val="00861CB3"/>
    <w:rsid w:val="008632CF"/>
    <w:rsid w:val="00864E36"/>
    <w:rsid w:val="00874547"/>
    <w:rsid w:val="008769E0"/>
    <w:rsid w:val="0088228E"/>
    <w:rsid w:val="0089298E"/>
    <w:rsid w:val="00893C05"/>
    <w:rsid w:val="00895C52"/>
    <w:rsid w:val="00896E22"/>
    <w:rsid w:val="008A134B"/>
    <w:rsid w:val="008A3558"/>
    <w:rsid w:val="008B2CC1"/>
    <w:rsid w:val="008B60B2"/>
    <w:rsid w:val="008C0ABC"/>
    <w:rsid w:val="008C4543"/>
    <w:rsid w:val="008C571B"/>
    <w:rsid w:val="008C7F85"/>
    <w:rsid w:val="008D21BB"/>
    <w:rsid w:val="008E34EB"/>
    <w:rsid w:val="008E4078"/>
    <w:rsid w:val="008F0CBE"/>
    <w:rsid w:val="0090731E"/>
    <w:rsid w:val="00907A8E"/>
    <w:rsid w:val="00911497"/>
    <w:rsid w:val="00913804"/>
    <w:rsid w:val="00916EE2"/>
    <w:rsid w:val="00917866"/>
    <w:rsid w:val="00917DC8"/>
    <w:rsid w:val="00920795"/>
    <w:rsid w:val="00934FEB"/>
    <w:rsid w:val="00950D74"/>
    <w:rsid w:val="00961CAA"/>
    <w:rsid w:val="00961FEA"/>
    <w:rsid w:val="0096624E"/>
    <w:rsid w:val="00966A22"/>
    <w:rsid w:val="0096722F"/>
    <w:rsid w:val="00973C32"/>
    <w:rsid w:val="009802F8"/>
    <w:rsid w:val="00980843"/>
    <w:rsid w:val="00980EDF"/>
    <w:rsid w:val="009825E7"/>
    <w:rsid w:val="009846F6"/>
    <w:rsid w:val="009868E1"/>
    <w:rsid w:val="009978F7"/>
    <w:rsid w:val="009A0DB4"/>
    <w:rsid w:val="009B5C85"/>
    <w:rsid w:val="009B5DB2"/>
    <w:rsid w:val="009B69A5"/>
    <w:rsid w:val="009C0934"/>
    <w:rsid w:val="009C7DB0"/>
    <w:rsid w:val="009D38BC"/>
    <w:rsid w:val="009D4221"/>
    <w:rsid w:val="009D6DD2"/>
    <w:rsid w:val="009E2791"/>
    <w:rsid w:val="009E3F6F"/>
    <w:rsid w:val="009F499F"/>
    <w:rsid w:val="009F7BD6"/>
    <w:rsid w:val="00A10C1D"/>
    <w:rsid w:val="00A174A9"/>
    <w:rsid w:val="00A17724"/>
    <w:rsid w:val="00A203D1"/>
    <w:rsid w:val="00A324D0"/>
    <w:rsid w:val="00A3305E"/>
    <w:rsid w:val="00A34459"/>
    <w:rsid w:val="00A37342"/>
    <w:rsid w:val="00A42DAF"/>
    <w:rsid w:val="00A441C3"/>
    <w:rsid w:val="00A45B6C"/>
    <w:rsid w:val="00A45BD8"/>
    <w:rsid w:val="00A47E5F"/>
    <w:rsid w:val="00A51C0C"/>
    <w:rsid w:val="00A7231A"/>
    <w:rsid w:val="00A73C60"/>
    <w:rsid w:val="00A7790F"/>
    <w:rsid w:val="00A77ABD"/>
    <w:rsid w:val="00A84A61"/>
    <w:rsid w:val="00A853EC"/>
    <w:rsid w:val="00A869B7"/>
    <w:rsid w:val="00A86EED"/>
    <w:rsid w:val="00AA2D6D"/>
    <w:rsid w:val="00AA46DE"/>
    <w:rsid w:val="00AA65C5"/>
    <w:rsid w:val="00AB4632"/>
    <w:rsid w:val="00AC205C"/>
    <w:rsid w:val="00AD02A9"/>
    <w:rsid w:val="00AD1B77"/>
    <w:rsid w:val="00AF0A6B"/>
    <w:rsid w:val="00AF3D38"/>
    <w:rsid w:val="00B00D7A"/>
    <w:rsid w:val="00B01348"/>
    <w:rsid w:val="00B05A69"/>
    <w:rsid w:val="00B13947"/>
    <w:rsid w:val="00B21A9C"/>
    <w:rsid w:val="00B25B08"/>
    <w:rsid w:val="00B41859"/>
    <w:rsid w:val="00B42F5D"/>
    <w:rsid w:val="00B44023"/>
    <w:rsid w:val="00B46864"/>
    <w:rsid w:val="00B469AE"/>
    <w:rsid w:val="00B530BE"/>
    <w:rsid w:val="00B54744"/>
    <w:rsid w:val="00B61F54"/>
    <w:rsid w:val="00B646BA"/>
    <w:rsid w:val="00B659F7"/>
    <w:rsid w:val="00B706B4"/>
    <w:rsid w:val="00B7085B"/>
    <w:rsid w:val="00B70952"/>
    <w:rsid w:val="00B73408"/>
    <w:rsid w:val="00B75B24"/>
    <w:rsid w:val="00B84602"/>
    <w:rsid w:val="00B85C18"/>
    <w:rsid w:val="00B9103D"/>
    <w:rsid w:val="00B95E19"/>
    <w:rsid w:val="00B9734B"/>
    <w:rsid w:val="00BA30E2"/>
    <w:rsid w:val="00BA3727"/>
    <w:rsid w:val="00BA4804"/>
    <w:rsid w:val="00BA5CF5"/>
    <w:rsid w:val="00BB2279"/>
    <w:rsid w:val="00BC3BE3"/>
    <w:rsid w:val="00BD22BD"/>
    <w:rsid w:val="00BD2D63"/>
    <w:rsid w:val="00BE258E"/>
    <w:rsid w:val="00C0065B"/>
    <w:rsid w:val="00C03A8F"/>
    <w:rsid w:val="00C06878"/>
    <w:rsid w:val="00C11BFE"/>
    <w:rsid w:val="00C1371B"/>
    <w:rsid w:val="00C14BCD"/>
    <w:rsid w:val="00C32845"/>
    <w:rsid w:val="00C35501"/>
    <w:rsid w:val="00C379E1"/>
    <w:rsid w:val="00C5068F"/>
    <w:rsid w:val="00C5338D"/>
    <w:rsid w:val="00C54011"/>
    <w:rsid w:val="00C5554B"/>
    <w:rsid w:val="00C839A4"/>
    <w:rsid w:val="00C86D74"/>
    <w:rsid w:val="00CA0137"/>
    <w:rsid w:val="00CB684D"/>
    <w:rsid w:val="00CC02EF"/>
    <w:rsid w:val="00CC47C5"/>
    <w:rsid w:val="00CC7716"/>
    <w:rsid w:val="00CD0461"/>
    <w:rsid w:val="00CD04F1"/>
    <w:rsid w:val="00CD0D54"/>
    <w:rsid w:val="00CD0EFA"/>
    <w:rsid w:val="00CD130A"/>
    <w:rsid w:val="00CD57D0"/>
    <w:rsid w:val="00CD59F2"/>
    <w:rsid w:val="00CD730B"/>
    <w:rsid w:val="00CE55CE"/>
    <w:rsid w:val="00CE65C3"/>
    <w:rsid w:val="00CF2220"/>
    <w:rsid w:val="00CF7544"/>
    <w:rsid w:val="00D05455"/>
    <w:rsid w:val="00D12C73"/>
    <w:rsid w:val="00D14702"/>
    <w:rsid w:val="00D14DC9"/>
    <w:rsid w:val="00D17D15"/>
    <w:rsid w:val="00D272D5"/>
    <w:rsid w:val="00D3124F"/>
    <w:rsid w:val="00D45252"/>
    <w:rsid w:val="00D51AB9"/>
    <w:rsid w:val="00D54640"/>
    <w:rsid w:val="00D54755"/>
    <w:rsid w:val="00D6252A"/>
    <w:rsid w:val="00D63C1E"/>
    <w:rsid w:val="00D71B4D"/>
    <w:rsid w:val="00D75C41"/>
    <w:rsid w:val="00D76A8B"/>
    <w:rsid w:val="00D81834"/>
    <w:rsid w:val="00D93D55"/>
    <w:rsid w:val="00DA6500"/>
    <w:rsid w:val="00DB0CB0"/>
    <w:rsid w:val="00DB1EE6"/>
    <w:rsid w:val="00DB2A3D"/>
    <w:rsid w:val="00DB5FFA"/>
    <w:rsid w:val="00DB6ACE"/>
    <w:rsid w:val="00DB78FC"/>
    <w:rsid w:val="00DB7E94"/>
    <w:rsid w:val="00DC59E5"/>
    <w:rsid w:val="00DC7BA0"/>
    <w:rsid w:val="00DD6F03"/>
    <w:rsid w:val="00DE0C5B"/>
    <w:rsid w:val="00DE16CE"/>
    <w:rsid w:val="00DF6DA7"/>
    <w:rsid w:val="00E01D22"/>
    <w:rsid w:val="00E028E0"/>
    <w:rsid w:val="00E0480C"/>
    <w:rsid w:val="00E04960"/>
    <w:rsid w:val="00E07588"/>
    <w:rsid w:val="00E07CFE"/>
    <w:rsid w:val="00E15015"/>
    <w:rsid w:val="00E31F87"/>
    <w:rsid w:val="00E335FE"/>
    <w:rsid w:val="00E44C66"/>
    <w:rsid w:val="00E47E3C"/>
    <w:rsid w:val="00E5242B"/>
    <w:rsid w:val="00E55BCA"/>
    <w:rsid w:val="00E562FA"/>
    <w:rsid w:val="00E83BE3"/>
    <w:rsid w:val="00E92C0C"/>
    <w:rsid w:val="00EA25D8"/>
    <w:rsid w:val="00EA3D78"/>
    <w:rsid w:val="00EA6799"/>
    <w:rsid w:val="00EA7D6E"/>
    <w:rsid w:val="00EB0982"/>
    <w:rsid w:val="00EB4238"/>
    <w:rsid w:val="00EB5CD1"/>
    <w:rsid w:val="00EC25E1"/>
    <w:rsid w:val="00EC4E49"/>
    <w:rsid w:val="00ED1F5A"/>
    <w:rsid w:val="00ED4618"/>
    <w:rsid w:val="00ED77FB"/>
    <w:rsid w:val="00EE137C"/>
    <w:rsid w:val="00EE1F04"/>
    <w:rsid w:val="00EE45FA"/>
    <w:rsid w:val="00EF436F"/>
    <w:rsid w:val="00F01F0B"/>
    <w:rsid w:val="00F05590"/>
    <w:rsid w:val="00F13B05"/>
    <w:rsid w:val="00F145C0"/>
    <w:rsid w:val="00F2760C"/>
    <w:rsid w:val="00F32937"/>
    <w:rsid w:val="00F332D2"/>
    <w:rsid w:val="00F34537"/>
    <w:rsid w:val="00F56C80"/>
    <w:rsid w:val="00F61B87"/>
    <w:rsid w:val="00F62B85"/>
    <w:rsid w:val="00F63783"/>
    <w:rsid w:val="00F66152"/>
    <w:rsid w:val="00F7440C"/>
    <w:rsid w:val="00F865FF"/>
    <w:rsid w:val="00F9539B"/>
    <w:rsid w:val="00FB4D7B"/>
    <w:rsid w:val="00FC050D"/>
    <w:rsid w:val="00FC36BB"/>
    <w:rsid w:val="00FC7AE8"/>
    <w:rsid w:val="00FC7F5F"/>
    <w:rsid w:val="00FE259D"/>
    <w:rsid w:val="00FE2B6E"/>
    <w:rsid w:val="00FE67F3"/>
    <w:rsid w:val="00FE76CC"/>
    <w:rsid w:val="00FF1033"/>
    <w:rsid w:val="00FF1073"/>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144C4D66"/>
  <w15:docId w15:val="{3A5C24A9-FFF8-4A08-AF5A-6435E8085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084C62"/>
    <w:rPr>
      <w:rFonts w:ascii="Segoe UI" w:hAnsi="Segoe UI" w:cs="Segoe UI"/>
      <w:sz w:val="18"/>
      <w:szCs w:val="18"/>
    </w:rPr>
  </w:style>
  <w:style w:type="character" w:customStyle="1" w:styleId="BalloonTextChar">
    <w:name w:val="Balloon Text Char"/>
    <w:basedOn w:val="DefaultParagraphFont"/>
    <w:link w:val="BalloonText"/>
    <w:semiHidden/>
    <w:rsid w:val="00084C62"/>
    <w:rPr>
      <w:rFonts w:ascii="Segoe UI" w:eastAsia="SimSun" w:hAnsi="Segoe UI" w:cs="Segoe UI"/>
      <w:sz w:val="18"/>
      <w:szCs w:val="18"/>
      <w:lang w:val="en-US" w:eastAsia="zh-CN"/>
    </w:rPr>
  </w:style>
  <w:style w:type="character" w:customStyle="1" w:styleId="ONUMEChar">
    <w:name w:val="ONUM E Char"/>
    <w:link w:val="ONUME"/>
    <w:rsid w:val="00FC7AE8"/>
    <w:rPr>
      <w:rFonts w:ascii="Arial" w:eastAsia="SimSun" w:hAnsi="Arial" w:cs="Arial"/>
      <w:sz w:val="22"/>
      <w:lang w:val="en-US" w:eastAsia="zh-CN"/>
    </w:rPr>
  </w:style>
  <w:style w:type="character" w:customStyle="1" w:styleId="BodyTextChar">
    <w:name w:val="Body Text Char"/>
    <w:basedOn w:val="DefaultParagraphFont"/>
    <w:link w:val="BodyText"/>
    <w:rsid w:val="00FC7AE8"/>
    <w:rPr>
      <w:rFonts w:ascii="Arial" w:eastAsia="SimSun" w:hAnsi="Arial" w:cs="Arial"/>
      <w:sz w:val="22"/>
      <w:lang w:val="en-US" w:eastAsia="zh-CN"/>
    </w:rPr>
  </w:style>
  <w:style w:type="paragraph" w:styleId="ListParagraph">
    <w:name w:val="List Paragraph"/>
    <w:basedOn w:val="Normal"/>
    <w:uiPriority w:val="34"/>
    <w:qFormat/>
    <w:rsid w:val="000D08AE"/>
    <w:pPr>
      <w:ind w:left="720"/>
      <w:contextualSpacing/>
    </w:pPr>
  </w:style>
  <w:style w:type="character" w:styleId="CommentReference">
    <w:name w:val="annotation reference"/>
    <w:basedOn w:val="DefaultParagraphFont"/>
    <w:uiPriority w:val="99"/>
    <w:unhideWhenUsed/>
    <w:rsid w:val="00C1371B"/>
    <w:rPr>
      <w:sz w:val="16"/>
      <w:szCs w:val="16"/>
    </w:rPr>
  </w:style>
  <w:style w:type="paragraph" w:styleId="CommentSubject">
    <w:name w:val="annotation subject"/>
    <w:basedOn w:val="CommentText"/>
    <w:next w:val="CommentText"/>
    <w:link w:val="CommentSubjectChar"/>
    <w:semiHidden/>
    <w:unhideWhenUsed/>
    <w:rsid w:val="00C1371B"/>
    <w:rPr>
      <w:b/>
      <w:bCs/>
      <w:sz w:val="20"/>
    </w:rPr>
  </w:style>
  <w:style w:type="character" w:customStyle="1" w:styleId="CommentTextChar">
    <w:name w:val="Comment Text Char"/>
    <w:basedOn w:val="DefaultParagraphFont"/>
    <w:link w:val="CommentText"/>
    <w:uiPriority w:val="99"/>
    <w:rsid w:val="00C1371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1371B"/>
    <w:rPr>
      <w:rFonts w:ascii="Arial" w:eastAsia="SimSun" w:hAnsi="Arial" w:cs="Arial"/>
      <w:b/>
      <w:bCs/>
      <w:sz w:val="18"/>
      <w:lang w:val="en-US" w:eastAsia="zh-CN"/>
    </w:rPr>
  </w:style>
  <w:style w:type="character" w:customStyle="1" w:styleId="HeaderChar">
    <w:name w:val="Header Char"/>
    <w:basedOn w:val="DefaultParagraphFont"/>
    <w:link w:val="Header"/>
    <w:uiPriority w:val="99"/>
    <w:rsid w:val="00FE76CC"/>
    <w:rPr>
      <w:rFonts w:ascii="Arial" w:eastAsia="SimSun" w:hAnsi="Arial" w:cs="Arial"/>
      <w:sz w:val="22"/>
      <w:lang w:val="en-US" w:eastAsia="zh-CN"/>
    </w:rPr>
  </w:style>
  <w:style w:type="character" w:customStyle="1" w:styleId="Heading3Char">
    <w:name w:val="Heading 3 Char"/>
    <w:basedOn w:val="DefaultParagraphFont"/>
    <w:link w:val="Heading3"/>
    <w:rsid w:val="000C243C"/>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300EC6"/>
    <w:rPr>
      <w:rFonts w:ascii="Arial" w:eastAsia="SimSun" w:hAnsi="Arial" w:cs="Arial"/>
      <w:bCs/>
      <w:i/>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2403">
      <w:bodyDiv w:val="1"/>
      <w:marLeft w:val="0"/>
      <w:marRight w:val="0"/>
      <w:marTop w:val="0"/>
      <w:marBottom w:val="0"/>
      <w:divBdr>
        <w:top w:val="none" w:sz="0" w:space="0" w:color="auto"/>
        <w:left w:val="none" w:sz="0" w:space="0" w:color="auto"/>
        <w:bottom w:val="none" w:sz="0" w:space="0" w:color="auto"/>
        <w:right w:val="none" w:sz="0" w:space="0" w:color="auto"/>
      </w:divBdr>
      <w:divsChild>
        <w:div w:id="906110455">
          <w:marLeft w:val="0"/>
          <w:marRight w:val="0"/>
          <w:marTop w:val="0"/>
          <w:marBottom w:val="0"/>
          <w:divBdr>
            <w:top w:val="none" w:sz="0" w:space="0" w:color="auto"/>
            <w:left w:val="none" w:sz="0" w:space="0" w:color="auto"/>
            <w:bottom w:val="none" w:sz="0" w:space="0" w:color="auto"/>
            <w:right w:val="none" w:sz="0" w:space="0" w:color="auto"/>
          </w:divBdr>
        </w:div>
        <w:div w:id="2077583267">
          <w:marLeft w:val="0"/>
          <w:marRight w:val="0"/>
          <w:marTop w:val="0"/>
          <w:marBottom w:val="0"/>
          <w:divBdr>
            <w:top w:val="none" w:sz="0" w:space="0" w:color="auto"/>
            <w:left w:val="none" w:sz="0" w:space="0" w:color="auto"/>
            <w:bottom w:val="none" w:sz="0" w:space="0" w:color="auto"/>
            <w:right w:val="none" w:sz="0" w:space="0" w:color="auto"/>
          </w:divBdr>
        </w:div>
        <w:div w:id="196285748">
          <w:marLeft w:val="0"/>
          <w:marRight w:val="0"/>
          <w:marTop w:val="0"/>
          <w:marBottom w:val="0"/>
          <w:divBdr>
            <w:top w:val="none" w:sz="0" w:space="0" w:color="auto"/>
            <w:left w:val="none" w:sz="0" w:space="0" w:color="auto"/>
            <w:bottom w:val="none" w:sz="0" w:space="0" w:color="auto"/>
            <w:right w:val="none" w:sz="0" w:space="0" w:color="auto"/>
          </w:divBdr>
        </w:div>
        <w:div w:id="88737854">
          <w:marLeft w:val="0"/>
          <w:marRight w:val="0"/>
          <w:marTop w:val="0"/>
          <w:marBottom w:val="0"/>
          <w:divBdr>
            <w:top w:val="none" w:sz="0" w:space="0" w:color="auto"/>
            <w:left w:val="none" w:sz="0" w:space="0" w:color="auto"/>
            <w:bottom w:val="none" w:sz="0" w:space="0" w:color="auto"/>
            <w:right w:val="none" w:sz="0" w:space="0" w:color="auto"/>
          </w:divBdr>
        </w:div>
      </w:divsChild>
    </w:div>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F5C7E-7998-478C-B64D-2726CFA1C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 7 (E).dotm</Template>
  <TotalTime>0</TotalTime>
  <Pages>6</Pages>
  <Words>4014</Words>
  <Characters>3833</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CWS/7/12 (in Chinese)</vt:lpstr>
    </vt:vector>
  </TitlesOfParts>
  <Company>WIPO</Company>
  <LinksUpToDate>false</LinksUpToDate>
  <CharactersWithSpaces>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CWS/7/12 (in Chinese)</dc:title>
  <dc:subject>修订产权组织标准ST.27</dc:subject>
  <dc:creator>WIPO</dc:creator>
  <cp:keywords>CWS, WIPO</cp:keywords>
  <cp:lastModifiedBy>DRAKE Sophie</cp:lastModifiedBy>
  <cp:revision>294</cp:revision>
  <cp:lastPrinted>2019-06-21T14:03:00Z</cp:lastPrinted>
  <dcterms:created xsi:type="dcterms:W3CDTF">2019-05-27T12:31:00Z</dcterms:created>
  <dcterms:modified xsi:type="dcterms:W3CDTF">2019-06-21T15:24:00Z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