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09" w:rsidRPr="000F2343" w:rsidRDefault="00D82C09" w:rsidP="00D82C09">
      <w:pPr>
        <w:pStyle w:val="NormalParaAR"/>
        <w:spacing w:after="0"/>
        <w:rPr>
          <w:b/>
          <w:bCs/>
          <w:rtl/>
          <w:lang w:val="fr-CH"/>
        </w:rPr>
      </w:pPr>
      <w:r w:rsidRPr="000F2343">
        <w:rPr>
          <w:rFonts w:hint="cs"/>
          <w:b/>
          <w:bCs/>
          <w:rtl/>
          <w:lang w:val="fr-CH"/>
        </w:rPr>
        <w:t>المنظمة العالمية للملكية الفكرية (الويبو)</w:t>
      </w:r>
    </w:p>
    <w:p w:rsidR="00D82C09" w:rsidRPr="000F2343" w:rsidRDefault="00D82C09" w:rsidP="00D82C09">
      <w:pPr>
        <w:pStyle w:val="NormalParaAR"/>
        <w:spacing w:after="0"/>
        <w:rPr>
          <w:b/>
          <w:bCs/>
          <w:rtl/>
          <w:lang w:val="fr-CH"/>
        </w:rPr>
      </w:pPr>
      <w:r w:rsidRPr="000F2343">
        <w:rPr>
          <w:b/>
          <w:bCs/>
          <w:rtl/>
        </w:rPr>
        <w:t>اللجنة الدائمة المعنية ب</w:t>
      </w:r>
      <w:r w:rsidRPr="000F2343">
        <w:rPr>
          <w:rFonts w:hint="cs"/>
          <w:b/>
          <w:bCs/>
          <w:rtl/>
        </w:rPr>
        <w:t>حق المؤلف والحقوق المجاورة</w:t>
      </w:r>
    </w:p>
    <w:p w:rsidR="00D82C09" w:rsidRPr="000F2343" w:rsidRDefault="00D82C09" w:rsidP="00D82C09">
      <w:pPr>
        <w:pStyle w:val="NormalParaAR"/>
        <w:spacing w:after="0"/>
        <w:rPr>
          <w:rFonts w:ascii="Cambria Math" w:hAnsi="Cambria Math"/>
          <w:b/>
          <w:bCs/>
          <w:rtl/>
        </w:rPr>
      </w:pPr>
      <w:r w:rsidRPr="000F2343">
        <w:rPr>
          <w:rFonts w:ascii="Cambria Math" w:hAnsi="Cambria Math"/>
          <w:b/>
          <w:bCs/>
          <w:rtl/>
        </w:rPr>
        <w:t>الدورة</w:t>
      </w:r>
      <w:r w:rsidRPr="000F2343">
        <w:rPr>
          <w:rFonts w:ascii="Cambria Math" w:hAnsi="Cambria Math" w:hint="cs"/>
          <w:b/>
          <w:bCs/>
          <w:rtl/>
          <w:lang w:val="fr-CH"/>
        </w:rPr>
        <w:t xml:space="preserve"> الثامنة و</w:t>
      </w:r>
      <w:r w:rsidRPr="000F2343">
        <w:rPr>
          <w:rFonts w:ascii="Cambria Math" w:hAnsi="Cambria Math" w:hint="cs"/>
          <w:b/>
          <w:bCs/>
          <w:rtl/>
        </w:rPr>
        <w:t>العشرون</w:t>
      </w:r>
    </w:p>
    <w:p w:rsidR="00D82C09" w:rsidRPr="000F2343" w:rsidRDefault="00D82C09" w:rsidP="00E27548">
      <w:pPr>
        <w:pStyle w:val="NormalParaAR"/>
        <w:spacing w:after="0"/>
        <w:rPr>
          <w:b/>
          <w:bCs/>
          <w:rtl/>
        </w:rPr>
      </w:pPr>
      <w:r w:rsidRPr="000F2343">
        <w:rPr>
          <w:rFonts w:hint="cs"/>
          <w:b/>
          <w:bCs/>
          <w:rtl/>
        </w:rPr>
        <w:t xml:space="preserve">جنيف، </w:t>
      </w:r>
      <w:r w:rsidR="00E27548" w:rsidRPr="000F2343">
        <w:rPr>
          <w:rFonts w:hint="cs"/>
          <w:b/>
          <w:bCs/>
          <w:rtl/>
        </w:rPr>
        <w:t>4</w:t>
      </w:r>
      <w:r w:rsidRPr="000F2343">
        <w:rPr>
          <w:rFonts w:hint="cs"/>
          <w:b/>
          <w:bCs/>
          <w:rtl/>
        </w:rPr>
        <w:t xml:space="preserve"> يوليو 2014</w:t>
      </w:r>
    </w:p>
    <w:p w:rsidR="00D82C09" w:rsidRPr="00E7344E" w:rsidRDefault="00D82C09" w:rsidP="00D82C09">
      <w:pPr>
        <w:pStyle w:val="NormalParaAR"/>
        <w:rPr>
          <w:rtl/>
        </w:rPr>
      </w:pPr>
    </w:p>
    <w:p w:rsidR="00D82C09" w:rsidRPr="000F2343" w:rsidRDefault="00477F67" w:rsidP="00027A56">
      <w:pPr>
        <w:pStyle w:val="NormalParaAR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 xml:space="preserve">نتائج </w:t>
      </w:r>
      <w:r w:rsidR="00027A56">
        <w:rPr>
          <w:rFonts w:hint="cs"/>
          <w:b/>
          <w:bCs/>
          <w:i/>
          <w:iCs/>
          <w:rtl/>
        </w:rPr>
        <w:t>الرئيس</w:t>
      </w:r>
    </w:p>
    <w:p w:rsidR="00D82C09" w:rsidRPr="00E7344E" w:rsidRDefault="00D82C09" w:rsidP="00D82C09">
      <w:pPr>
        <w:pStyle w:val="NormalParaAR"/>
        <w:keepNext/>
        <w:rPr>
          <w:b/>
          <w:bCs/>
        </w:rPr>
      </w:pPr>
      <w:r w:rsidRPr="00E7344E">
        <w:rPr>
          <w:rFonts w:hint="cs"/>
          <w:b/>
          <w:bCs/>
          <w:rtl/>
        </w:rPr>
        <w:t>حماية هيئات البث</w:t>
      </w:r>
    </w:p>
    <w:p w:rsidR="00D82C09" w:rsidRDefault="00D82C09" w:rsidP="00D82C09">
      <w:pPr>
        <w:pStyle w:val="NumberedParaAR"/>
      </w:pPr>
      <w:r>
        <w:rPr>
          <w:rFonts w:hint="cs"/>
          <w:rtl/>
        </w:rPr>
        <w:t xml:space="preserve">استناداً إلى حصيلة </w:t>
      </w:r>
      <w:r w:rsidR="000F2343">
        <w:rPr>
          <w:rFonts w:hint="cs"/>
          <w:rtl/>
        </w:rPr>
        <w:t xml:space="preserve">ووثائق </w:t>
      </w:r>
      <w:r>
        <w:rPr>
          <w:rFonts w:hint="cs"/>
          <w:rtl/>
        </w:rPr>
        <w:t>دورة اللجنة السابعة والعشرين، واصلت اللجنة المناقشات حول قضايا تتعلق بفئات المنصات والأنشطة التي ينبغي إدراجها ضمن موضوع ونطاق الحما</w:t>
      </w:r>
      <w:r w:rsidR="0011313D">
        <w:rPr>
          <w:rFonts w:hint="cs"/>
          <w:rtl/>
        </w:rPr>
        <w:t>ية التي ينبغي منحها لهيئات البث</w:t>
      </w:r>
      <w:r>
        <w:rPr>
          <w:rFonts w:hint="cs"/>
          <w:rtl/>
        </w:rPr>
        <w:t xml:space="preserve"> بمعناها التقليدي، </w:t>
      </w:r>
      <w:r w:rsidR="000F2343">
        <w:rPr>
          <w:rFonts w:hint="cs"/>
          <w:rtl/>
        </w:rPr>
        <w:t>واست</w:t>
      </w:r>
      <w:r w:rsidR="009827FA">
        <w:rPr>
          <w:rFonts w:hint="cs"/>
          <w:rtl/>
        </w:rPr>
        <w:t>َ</w:t>
      </w:r>
      <w:r w:rsidR="000F2343">
        <w:rPr>
          <w:rFonts w:hint="cs"/>
          <w:rtl/>
        </w:rPr>
        <w:t xml:space="preserve">هلت مناقشات حول </w:t>
      </w:r>
      <w:r>
        <w:rPr>
          <w:rFonts w:hint="cs"/>
          <w:rtl/>
        </w:rPr>
        <w:t>التعاريف.</w:t>
      </w:r>
    </w:p>
    <w:p w:rsidR="00D82C09" w:rsidRDefault="009827FA" w:rsidP="009827FA">
      <w:pPr>
        <w:pStyle w:val="NumberedParaAR"/>
      </w:pPr>
      <w:r>
        <w:rPr>
          <w:rFonts w:hint="cs"/>
          <w:rtl/>
        </w:rPr>
        <w:t>واستندت المناقشات إلى ورقات العمل التقنية غير الرسمية التي ت</w:t>
      </w:r>
      <w:r w:rsidR="00D82C09">
        <w:rPr>
          <w:rFonts w:hint="cs"/>
          <w:rtl/>
        </w:rPr>
        <w:t xml:space="preserve">تناول </w:t>
      </w:r>
      <w:r>
        <w:rPr>
          <w:rFonts w:hint="cs"/>
          <w:rtl/>
        </w:rPr>
        <w:t xml:space="preserve">هذه </w:t>
      </w:r>
      <w:r w:rsidR="00D82C09">
        <w:rPr>
          <w:rFonts w:hint="cs"/>
          <w:rtl/>
        </w:rPr>
        <w:t xml:space="preserve">القضايا </w:t>
      </w:r>
      <w:r>
        <w:rPr>
          <w:rFonts w:hint="cs"/>
          <w:rtl/>
        </w:rPr>
        <w:t>والتي قُدّمت</w:t>
      </w:r>
      <w:r w:rsidR="00D82C09">
        <w:rPr>
          <w:rFonts w:hint="cs"/>
          <w:rtl/>
        </w:rPr>
        <w:t xml:space="preserve"> في دورتي اللجنة السابعة والعشرين</w:t>
      </w:r>
      <w:r w:rsidR="00B84527">
        <w:rPr>
          <w:rFonts w:hint="cs"/>
          <w:rtl/>
        </w:rPr>
        <w:t xml:space="preserve"> والثامنة والعشرين</w:t>
      </w:r>
      <w:r w:rsidR="00D82C09">
        <w:rPr>
          <w:rFonts w:hint="cs"/>
          <w:rtl/>
        </w:rPr>
        <w:t xml:space="preserve">. وجُمعت في وثيقة غير رسمية الشروح التقنية التي قدّمها أصحاب </w:t>
      </w:r>
      <w:r>
        <w:rPr>
          <w:rFonts w:hint="cs"/>
          <w:rtl/>
        </w:rPr>
        <w:t>المصالح فيما يتعلق بقضايا محدّدة تم</w:t>
      </w:r>
      <w:r w:rsidR="00D82C09">
        <w:rPr>
          <w:rFonts w:hint="cs"/>
          <w:rtl/>
        </w:rPr>
        <w:t xml:space="preserve"> تناولها في المناقشات غير الرسمية التي دارت خلال الدورة.</w:t>
      </w:r>
    </w:p>
    <w:p w:rsidR="00D82C09" w:rsidRDefault="009827FA" w:rsidP="00027A56">
      <w:pPr>
        <w:pStyle w:val="NumberedParaAR"/>
      </w:pPr>
      <w:r>
        <w:rPr>
          <w:rFonts w:hint="cs"/>
          <w:rtl/>
        </w:rPr>
        <w:t>وأسهمت المناقشات في إحراز تقد</w:t>
      </w:r>
      <w:r w:rsidR="00D82C09">
        <w:rPr>
          <w:rFonts w:hint="cs"/>
          <w:rtl/>
        </w:rPr>
        <w:t>م في</w:t>
      </w:r>
      <w:r w:rsidR="00027A56">
        <w:rPr>
          <w:rFonts w:hint="cs"/>
          <w:rtl/>
        </w:rPr>
        <w:t xml:space="preserve"> فهم مضمون الخيارات المختلقة </w:t>
      </w:r>
      <w:r w:rsidR="00027A56">
        <w:rPr>
          <w:rFonts w:hint="cs"/>
          <w:rtl/>
        </w:rPr>
        <w:t>لحماية هيئات البث بمعناها التقليدي</w:t>
      </w:r>
      <w:r w:rsidR="00027A56">
        <w:rPr>
          <w:rFonts w:hint="cs"/>
          <w:rtl/>
        </w:rPr>
        <w:t xml:space="preserve">، التي ينبغي </w:t>
      </w:r>
      <w:r w:rsidR="00027A56">
        <w:rPr>
          <w:rFonts w:hint="cs"/>
          <w:rtl/>
        </w:rPr>
        <w:t>للجنة</w:t>
      </w:r>
      <w:r w:rsidR="00027A56">
        <w:rPr>
          <w:rFonts w:hint="cs"/>
          <w:rtl/>
        </w:rPr>
        <w:t xml:space="preserve"> أن تنظر فيها</w:t>
      </w:r>
      <w:r>
        <w:rPr>
          <w:rFonts w:hint="cs"/>
          <w:rtl/>
        </w:rPr>
        <w:t>.</w:t>
      </w:r>
    </w:p>
    <w:p w:rsidR="00D82C09" w:rsidRPr="006B44B8" w:rsidRDefault="00027A56" w:rsidP="009827FA">
      <w:pPr>
        <w:pStyle w:val="NumberedParaAR"/>
      </w:pPr>
      <w:r>
        <w:rPr>
          <w:rFonts w:hint="cs"/>
          <w:rtl/>
        </w:rPr>
        <w:t>والت</w:t>
      </w:r>
      <w:r w:rsidR="00D82C09">
        <w:rPr>
          <w:rFonts w:hint="cs"/>
          <w:rtl/>
        </w:rPr>
        <w:t>مس</w:t>
      </w:r>
      <w:r>
        <w:rPr>
          <w:rFonts w:hint="cs"/>
          <w:rtl/>
        </w:rPr>
        <w:t>ت الدول الأعضاء</w:t>
      </w:r>
      <w:r w:rsidR="00D82C09">
        <w:rPr>
          <w:rFonts w:hint="cs"/>
          <w:rtl/>
        </w:rPr>
        <w:t xml:space="preserve"> من الأمانة تحديث دراسة عام 2010 حول "</w:t>
      </w:r>
      <w:r w:rsidR="00D82C09" w:rsidRPr="006B44B8">
        <w:rPr>
          <w:rtl/>
        </w:rPr>
        <w:t xml:space="preserve"> الاتجاهات الحالية للسوق والتكنولوجيا في قطاع البث</w:t>
      </w:r>
      <w:r w:rsidR="00D82C09">
        <w:rPr>
          <w:rFonts w:hint="cs"/>
          <w:rtl/>
        </w:rPr>
        <w:t xml:space="preserve">" (الوثيقة </w:t>
      </w:r>
      <w:r w:rsidR="00D82C09">
        <w:t>SCCR/19/12</w:t>
      </w:r>
      <w:r w:rsidR="00D82C09">
        <w:rPr>
          <w:rFonts w:hint="cs"/>
          <w:rtl/>
          <w:lang w:val="fr-CH"/>
        </w:rPr>
        <w:t xml:space="preserve">)، مع التركيز على </w:t>
      </w:r>
      <w:r w:rsidR="00350FA6">
        <w:rPr>
          <w:rFonts w:hint="cs"/>
          <w:rtl/>
          <w:lang w:val="fr-CH"/>
        </w:rPr>
        <w:t>استخدام التكنولوجيا الرقمية</w:t>
      </w:r>
      <w:r w:rsidR="00350FA6" w:rsidRPr="00350FA6">
        <w:rPr>
          <w:rtl/>
          <w:lang w:val="fr-CH"/>
        </w:rPr>
        <w:t xml:space="preserve"> </w:t>
      </w:r>
      <w:r w:rsidR="00350FA6">
        <w:rPr>
          <w:rFonts w:hint="cs"/>
          <w:rtl/>
          <w:lang w:val="fr-CH"/>
        </w:rPr>
        <w:t xml:space="preserve">من طرف </w:t>
      </w:r>
      <w:r w:rsidR="00350FA6" w:rsidRPr="00350FA6">
        <w:rPr>
          <w:rtl/>
          <w:lang w:val="fr-CH"/>
        </w:rPr>
        <w:t>هيئات البث وهيئات البث الكبلي</w:t>
      </w:r>
      <w:r w:rsidR="009827FA">
        <w:rPr>
          <w:rFonts w:hint="cs"/>
          <w:rtl/>
          <w:lang w:val="fr-CH"/>
        </w:rPr>
        <w:t xml:space="preserve"> بمعناها التقليدي</w:t>
      </w:r>
      <w:r w:rsidR="00350FA6">
        <w:rPr>
          <w:rFonts w:hint="cs"/>
          <w:rtl/>
          <w:lang w:val="fr-CH"/>
        </w:rPr>
        <w:t>، العامة أو التجارية، بما في ذلك استخدامها في</w:t>
      </w:r>
      <w:r w:rsidR="00D82C09">
        <w:rPr>
          <w:rFonts w:hint="cs"/>
          <w:rtl/>
          <w:lang w:val="fr-CH"/>
        </w:rPr>
        <w:t xml:space="preserve"> البلدان النامية، </w:t>
      </w:r>
      <w:r w:rsidR="009827FA">
        <w:rPr>
          <w:rFonts w:hint="cs"/>
          <w:rtl/>
          <w:lang w:val="fr-CH"/>
        </w:rPr>
        <w:t>بغرض تقديم</w:t>
      </w:r>
      <w:r w:rsidR="00D82C09">
        <w:rPr>
          <w:rFonts w:hint="cs"/>
          <w:rtl/>
          <w:lang w:val="fr-CH"/>
        </w:rPr>
        <w:t xml:space="preserve"> </w:t>
      </w:r>
      <w:r w:rsidR="00350FA6">
        <w:rPr>
          <w:rFonts w:hint="cs"/>
          <w:rtl/>
          <w:lang w:val="fr-CH"/>
        </w:rPr>
        <w:t xml:space="preserve">نتائج </w:t>
      </w:r>
      <w:r w:rsidR="00D82C09">
        <w:rPr>
          <w:rFonts w:hint="cs"/>
          <w:rtl/>
          <w:lang w:val="fr-CH"/>
        </w:rPr>
        <w:t xml:space="preserve">الدراسة </w:t>
      </w:r>
      <w:r w:rsidR="009827FA">
        <w:rPr>
          <w:rFonts w:hint="cs"/>
          <w:rtl/>
          <w:lang w:val="fr-CH"/>
        </w:rPr>
        <w:t>وفسح</w:t>
      </w:r>
      <w:r w:rsidR="0084095C">
        <w:rPr>
          <w:rFonts w:hint="cs"/>
          <w:rtl/>
          <w:lang w:val="fr-CH"/>
        </w:rPr>
        <w:t xml:space="preserve"> المجال</w:t>
      </w:r>
      <w:r w:rsidR="00350FA6">
        <w:rPr>
          <w:rFonts w:hint="cs"/>
          <w:rtl/>
          <w:lang w:val="fr-CH"/>
        </w:rPr>
        <w:t xml:space="preserve"> لإجراء مناقشات تقنية في </w:t>
      </w:r>
      <w:r w:rsidR="00D82C09">
        <w:rPr>
          <w:rFonts w:hint="cs"/>
          <w:rtl/>
          <w:lang w:val="fr-CH"/>
        </w:rPr>
        <w:t xml:space="preserve">الدورة </w:t>
      </w:r>
      <w:r w:rsidR="00350FA6">
        <w:rPr>
          <w:rFonts w:hint="cs"/>
          <w:rtl/>
          <w:lang w:val="fr-CH"/>
        </w:rPr>
        <w:t>التاسعة</w:t>
      </w:r>
      <w:r w:rsidR="00D82C09">
        <w:rPr>
          <w:rFonts w:hint="cs"/>
          <w:rtl/>
          <w:lang w:val="fr-CH"/>
        </w:rPr>
        <w:t xml:space="preserve"> والعشرين للجنة.</w:t>
      </w:r>
    </w:p>
    <w:p w:rsidR="00D82C09" w:rsidRDefault="00D82C09" w:rsidP="00D82C09">
      <w:pPr>
        <w:pStyle w:val="NumberedParaAR"/>
      </w:pPr>
      <w:r>
        <w:rPr>
          <w:rFonts w:hint="cs"/>
          <w:rtl/>
        </w:rPr>
        <w:t>وسيُحتفظ بهذا البند في جدول أعمال الدورة التاسعة والعشرين للجنة.</w:t>
      </w:r>
    </w:p>
    <w:p w:rsidR="009827FA" w:rsidRDefault="0038611A" w:rsidP="0038611A">
      <w:pPr>
        <w:pStyle w:val="NumberedParaAR"/>
        <w:rPr>
          <w:rFonts w:hint="cs"/>
        </w:rPr>
      </w:pPr>
      <w:r>
        <w:rPr>
          <w:rFonts w:hint="cs"/>
          <w:rtl/>
        </w:rPr>
        <w:t>ولم تتفق</w:t>
      </w:r>
      <w:r w:rsidR="009827FA">
        <w:rPr>
          <w:rFonts w:hint="cs"/>
          <w:rtl/>
        </w:rPr>
        <w:t xml:space="preserve"> اللجنة على رفع توصي</w:t>
      </w:r>
      <w:r>
        <w:rPr>
          <w:rFonts w:hint="cs"/>
          <w:rtl/>
        </w:rPr>
        <w:t>ات</w:t>
      </w:r>
      <w:r w:rsidR="009827FA">
        <w:rPr>
          <w:rFonts w:hint="cs"/>
          <w:rtl/>
        </w:rPr>
        <w:t xml:space="preserve"> إلى الجمعية العامة للويبو (</w:t>
      </w:r>
      <w:r w:rsidR="009827FA" w:rsidRPr="009827FA">
        <w:t>WIPO/GA/46</w:t>
      </w:r>
      <w:r w:rsidR="009827FA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38611A" w:rsidRDefault="0038611A" w:rsidP="004503FC">
      <w:pPr>
        <w:pStyle w:val="NormalParaAR"/>
        <w:keepNext/>
        <w:rPr>
          <w:b/>
          <w:bCs/>
          <w:rtl/>
        </w:rPr>
      </w:pPr>
      <w:r>
        <w:rPr>
          <w:b/>
          <w:bCs/>
          <w:rtl/>
        </w:rPr>
        <w:t>التقييدات والاستثناءات</w:t>
      </w:r>
      <w:r>
        <w:rPr>
          <w:rFonts w:hint="cs"/>
          <w:b/>
          <w:bCs/>
          <w:rtl/>
        </w:rPr>
        <w:t xml:space="preserve">: </w:t>
      </w:r>
      <w:r w:rsidRPr="005A3B8B">
        <w:rPr>
          <w:b/>
          <w:bCs/>
          <w:rtl/>
        </w:rPr>
        <w:t>المكتبات ودور المحفوظات</w:t>
      </w:r>
    </w:p>
    <w:p w:rsidR="0038611A" w:rsidRDefault="0038611A" w:rsidP="004503FC">
      <w:pPr>
        <w:pStyle w:val="NumberedParaAR"/>
        <w:rPr>
          <w:rFonts w:hint="cs"/>
        </w:rPr>
      </w:pPr>
      <w:r>
        <w:rPr>
          <w:rFonts w:hint="cs"/>
          <w:rtl/>
        </w:rPr>
        <w:t>استناداً إلى حصيلة دورة اللجنة السابعة والعشرين وإلى الوثيقتين</w:t>
      </w:r>
      <w:r>
        <w:rPr>
          <w:rFonts w:hint="eastAsia"/>
          <w:rtl/>
        </w:rPr>
        <w:t> </w:t>
      </w:r>
      <w:r w:rsidRPr="00CD4AAF">
        <w:t>SCCR/26/3</w:t>
      </w:r>
      <w:r w:rsidRPr="00CD4AAF">
        <w:rPr>
          <w:rtl/>
        </w:rPr>
        <w:t xml:space="preserve"> </w:t>
      </w:r>
      <w:r>
        <w:rPr>
          <w:rFonts w:hint="cs"/>
          <w:rtl/>
        </w:rPr>
        <w:t>و</w:t>
      </w:r>
      <w:r w:rsidRPr="00CD4AAF">
        <w:t>SCCR/26/</w:t>
      </w:r>
      <w:r>
        <w:t>8</w:t>
      </w:r>
      <w:r>
        <w:rPr>
          <w:rFonts w:hint="cs"/>
          <w:rtl/>
        </w:rPr>
        <w:t xml:space="preserve">، واصلت اللجنة المناقشات حول </w:t>
      </w:r>
      <w:r>
        <w:rPr>
          <w:rFonts w:hint="cs"/>
          <w:rtl/>
        </w:rPr>
        <w:t>العمل م</w:t>
      </w:r>
      <w:r>
        <w:rPr>
          <w:rFonts w:hint="cs"/>
          <w:rtl/>
        </w:rPr>
        <w:t xml:space="preserve">ن أجل </w:t>
      </w:r>
      <w:r w:rsidRPr="007D3927">
        <w:rPr>
          <w:rtl/>
        </w:rPr>
        <w:t>إعداد صك قانوني دولي مناسب أو أكثر (سواء في شكل قانون نموذجي و/أو توصية مشتركة و/أو معاهدة و/أو أشكال أخرى)</w:t>
      </w:r>
      <w:r>
        <w:rPr>
          <w:rFonts w:hint="cs"/>
          <w:rtl/>
        </w:rPr>
        <w:t xml:space="preserve"> فيما يخص </w:t>
      </w:r>
      <w:r w:rsidR="004503FC">
        <w:rPr>
          <w:rFonts w:hint="cs"/>
          <w:rtl/>
        </w:rPr>
        <w:t xml:space="preserve">التقييدات </w:t>
      </w:r>
      <w:r w:rsidR="004503FC">
        <w:rPr>
          <w:rFonts w:hint="cs"/>
          <w:rtl/>
        </w:rPr>
        <w:t>و</w:t>
      </w:r>
      <w:r>
        <w:rPr>
          <w:rFonts w:hint="cs"/>
          <w:rtl/>
        </w:rPr>
        <w:t xml:space="preserve">الاستثناءات لفائدة للمكتبات ودور المحفوظات. وركزت المناقشات على </w:t>
      </w:r>
      <w:r>
        <w:rPr>
          <w:rFonts w:hint="cs"/>
          <w:rtl/>
        </w:rPr>
        <w:t>موضوعات عامة</w:t>
      </w:r>
      <w:r>
        <w:rPr>
          <w:rFonts w:hint="cs"/>
          <w:rtl/>
        </w:rPr>
        <w:t xml:space="preserve"> تتعلق بتلك </w:t>
      </w:r>
      <w:r w:rsidR="004503FC">
        <w:rPr>
          <w:rFonts w:hint="cs"/>
          <w:rtl/>
        </w:rPr>
        <w:t>التقييدات</w:t>
      </w:r>
      <w:r w:rsidR="004503FC">
        <w:rPr>
          <w:rFonts w:hint="cs"/>
          <w:rtl/>
        </w:rPr>
        <w:t xml:space="preserve"> و</w:t>
      </w:r>
      <w:r>
        <w:rPr>
          <w:rFonts w:hint="cs"/>
          <w:rtl/>
        </w:rPr>
        <w:t>الاستثناءات</w:t>
      </w:r>
      <w:r>
        <w:rPr>
          <w:rFonts w:hint="cs"/>
          <w:rtl/>
        </w:rPr>
        <w:t>، ألا وهي: اعتماد استثناءات وطنية، و</w:t>
      </w:r>
      <w:r w:rsidRPr="00C22D08">
        <w:rPr>
          <w:rtl/>
        </w:rPr>
        <w:t>دعم البحث والتنمية البشرية</w:t>
      </w:r>
      <w:r>
        <w:rPr>
          <w:rFonts w:hint="cs"/>
          <w:rtl/>
        </w:rPr>
        <w:t>، والتقييدات والاستثناءات في محيط رقمي، إضافة إلى موضوعات معيّنة تتعلق بالموضوعات الأحد عشر المحدّدة في الدورات السابقة للجنة، وهي الحفظ، وحق النسخ والصور الاحتياطية، والإيداع القانوني.</w:t>
      </w:r>
    </w:p>
    <w:p w:rsidR="0038611A" w:rsidRDefault="0038611A" w:rsidP="0038611A">
      <w:pPr>
        <w:pStyle w:val="NumberedParaAR"/>
      </w:pPr>
      <w:r>
        <w:rPr>
          <w:b/>
          <w:bCs/>
          <w:rtl/>
        </w:rPr>
        <w:t>‏</w:t>
      </w:r>
      <w:r>
        <w:rPr>
          <w:rFonts w:hint="cs"/>
          <w:rtl/>
        </w:rPr>
        <w:t xml:space="preserve"> وأشارت الوفود كذلك إلى موضوعات عامة ومحدّدة من المبادئ العامة الأخرى في الحالات التي اعتبرتها كذلك.</w:t>
      </w:r>
    </w:p>
    <w:p w:rsidR="0038611A" w:rsidRDefault="0038611A" w:rsidP="0038611A">
      <w:pPr>
        <w:pStyle w:val="NumberedParaAR"/>
      </w:pPr>
      <w:r>
        <w:rPr>
          <w:rFonts w:hint="cs"/>
          <w:rtl/>
        </w:rPr>
        <w:t>وأعلن مؤيدو بعض النصوص المقترحة في الوثيقة </w:t>
      </w:r>
      <w:r w:rsidRPr="0038611A">
        <w:t>SCCR/26/3</w:t>
      </w:r>
      <w:r>
        <w:rPr>
          <w:rFonts w:hint="cs"/>
          <w:rtl/>
        </w:rPr>
        <w:t xml:space="preserve"> أنهم أعدوا وقدموا نسخا موحدة عوضا عن النسخ السابقة لتلك النصوص المقترحة.</w:t>
      </w:r>
    </w:p>
    <w:p w:rsidR="00860395" w:rsidRDefault="00860395" w:rsidP="004503FC">
      <w:pPr>
        <w:pStyle w:val="NumberedParaAR"/>
      </w:pPr>
      <w:r>
        <w:rPr>
          <w:rFonts w:hint="cs"/>
          <w:rtl/>
        </w:rPr>
        <w:t xml:space="preserve">وأسهمت المناقشات في تحسين فهم </w:t>
      </w:r>
      <w:r>
        <w:rPr>
          <w:rFonts w:hint="cs"/>
          <w:rtl/>
        </w:rPr>
        <w:t xml:space="preserve">حاجة </w:t>
      </w:r>
      <w:r>
        <w:rPr>
          <w:rFonts w:hint="cs"/>
          <w:rtl/>
        </w:rPr>
        <w:t>المكتبات ودور المحفوظات</w:t>
      </w:r>
      <w:r>
        <w:rPr>
          <w:rFonts w:hint="cs"/>
          <w:rtl/>
        </w:rPr>
        <w:t xml:space="preserve"> إلى </w:t>
      </w:r>
      <w:r w:rsidR="004503FC">
        <w:rPr>
          <w:rFonts w:hint="cs"/>
          <w:rtl/>
        </w:rPr>
        <w:t>التقييدات</w:t>
      </w:r>
      <w:r w:rsidR="004503FC">
        <w:rPr>
          <w:rFonts w:hint="cs"/>
          <w:rtl/>
        </w:rPr>
        <w:t xml:space="preserve"> و</w:t>
      </w:r>
      <w:r>
        <w:rPr>
          <w:rFonts w:hint="cs"/>
          <w:rtl/>
        </w:rPr>
        <w:t>الاستثناءات</w:t>
      </w:r>
      <w:r>
        <w:rPr>
          <w:rFonts w:hint="cs"/>
          <w:rtl/>
        </w:rPr>
        <w:t>، ولا سيما في المحيط الرقمي.</w:t>
      </w:r>
    </w:p>
    <w:p w:rsidR="00860395" w:rsidRDefault="00860395" w:rsidP="00860395">
      <w:pPr>
        <w:pStyle w:val="NumberedParaAR"/>
      </w:pPr>
      <w:r>
        <w:rPr>
          <w:rFonts w:hint="cs"/>
          <w:rtl/>
        </w:rPr>
        <w:t>وسيُحتفظ بهذا البند في جدول أعمال الدورة التاسعة والعشرين للجنة.</w:t>
      </w:r>
    </w:p>
    <w:p w:rsidR="0038611A" w:rsidRPr="009827FA" w:rsidRDefault="00860395" w:rsidP="0038611A">
      <w:pPr>
        <w:pStyle w:val="NumberedParaAR"/>
        <w:rPr>
          <w:rtl/>
        </w:rPr>
      </w:pPr>
      <w:r>
        <w:rPr>
          <w:rFonts w:hint="cs"/>
          <w:rtl/>
        </w:rPr>
        <w:t>ولم تتفق اللجنة على رفع توصيات إلى الجمعية العامة للويبو (</w:t>
      </w:r>
      <w:r w:rsidRPr="009827FA">
        <w:t>WIPO/GA/46</w:t>
      </w:r>
      <w:r>
        <w:rPr>
          <w:rFonts w:hint="cs"/>
          <w:rtl/>
        </w:rPr>
        <w:t>).</w:t>
      </w:r>
    </w:p>
    <w:p w:rsidR="009C3E25" w:rsidRDefault="00242069" w:rsidP="00242069">
      <w:pPr>
        <w:pStyle w:val="NormalParaAR"/>
        <w:keepNext/>
        <w:rPr>
          <w:b/>
          <w:bCs/>
          <w:rtl/>
        </w:rPr>
      </w:pPr>
      <w:r>
        <w:rPr>
          <w:b/>
          <w:bCs/>
          <w:rtl/>
        </w:rPr>
        <w:t>التقييدات والاستثناءات</w:t>
      </w:r>
      <w:r>
        <w:rPr>
          <w:rFonts w:hint="cs"/>
          <w:b/>
          <w:bCs/>
          <w:rtl/>
        </w:rPr>
        <w:t>: مؤسسات التعليم والبحث والأشخاص ذوو إعاقات أخرى</w:t>
      </w:r>
    </w:p>
    <w:p w:rsidR="00242069" w:rsidRDefault="00477F67" w:rsidP="00860395">
      <w:pPr>
        <w:pStyle w:val="NumberedParaAR"/>
      </w:pPr>
      <w:r>
        <w:rPr>
          <w:rFonts w:hint="cs"/>
          <w:rtl/>
        </w:rPr>
        <w:t>استناداً إلى حصيلة دورة اللجنة السابعة والعشرين وإلى الوثيقتين</w:t>
      </w:r>
      <w:r>
        <w:rPr>
          <w:rFonts w:hint="eastAsia"/>
          <w:rtl/>
        </w:rPr>
        <w:t> </w:t>
      </w:r>
      <w:r w:rsidRPr="00CD4AAF">
        <w:t>SCCR/26/</w:t>
      </w:r>
      <w:r>
        <w:t>4</w:t>
      </w:r>
      <w:r w:rsidRPr="00CD4AAF">
        <w:rPr>
          <w:rtl/>
        </w:rPr>
        <w:t xml:space="preserve"> </w:t>
      </w:r>
      <w:r>
        <w:rPr>
          <w:rFonts w:hint="cs"/>
          <w:rtl/>
        </w:rPr>
        <w:t>و</w:t>
      </w:r>
      <w:r w:rsidRPr="00CD4AAF">
        <w:t>SCCR/</w:t>
      </w:r>
      <w:r>
        <w:t>27</w:t>
      </w:r>
      <w:r w:rsidRPr="00CD4AAF">
        <w:t>/</w:t>
      </w:r>
      <w:r>
        <w:t>8</w:t>
      </w:r>
      <w:r>
        <w:rPr>
          <w:rFonts w:hint="cs"/>
          <w:rtl/>
        </w:rPr>
        <w:t xml:space="preserve">، </w:t>
      </w:r>
      <w:r w:rsidR="00860395">
        <w:rPr>
          <w:rFonts w:hint="cs"/>
          <w:rtl/>
        </w:rPr>
        <w:t>تبادلت</w:t>
      </w:r>
      <w:r>
        <w:rPr>
          <w:rFonts w:hint="cs"/>
          <w:rtl/>
        </w:rPr>
        <w:t xml:space="preserve"> اللجنة </w:t>
      </w:r>
      <w:r w:rsidR="00860395">
        <w:rPr>
          <w:rFonts w:hint="cs"/>
          <w:rtl/>
        </w:rPr>
        <w:t>وجهات النظر</w:t>
      </w:r>
      <w:r>
        <w:rPr>
          <w:rFonts w:hint="cs"/>
          <w:rtl/>
        </w:rPr>
        <w:t xml:space="preserve"> </w:t>
      </w:r>
      <w:r w:rsidR="00860395">
        <w:rPr>
          <w:rFonts w:hint="cs"/>
          <w:rtl/>
        </w:rPr>
        <w:t xml:space="preserve">حول </w:t>
      </w:r>
      <w:r>
        <w:rPr>
          <w:rFonts w:hint="cs"/>
          <w:rtl/>
        </w:rPr>
        <w:t xml:space="preserve">التقييدات والاستثناءات لفائدة </w:t>
      </w:r>
      <w:r w:rsidRPr="00477F67">
        <w:rPr>
          <w:rtl/>
        </w:rPr>
        <w:t>مؤ</w:t>
      </w:r>
      <w:r w:rsidR="0011313D">
        <w:rPr>
          <w:rtl/>
        </w:rPr>
        <w:t>سسات التعليم والبحث والأشخاص ذو</w:t>
      </w:r>
      <w:r w:rsidR="0011313D">
        <w:rPr>
          <w:rFonts w:hint="cs"/>
          <w:rtl/>
        </w:rPr>
        <w:t>ي</w:t>
      </w:r>
      <w:r w:rsidRPr="00477F67">
        <w:rPr>
          <w:rtl/>
        </w:rPr>
        <w:t xml:space="preserve"> إعاقات أخرى</w:t>
      </w:r>
      <w:r w:rsidR="00860395">
        <w:rPr>
          <w:rFonts w:hint="cs"/>
          <w:rtl/>
        </w:rPr>
        <w:t>، وأكدت مجددا على أهمية تلك الموضوعات.</w:t>
      </w:r>
    </w:p>
    <w:p w:rsidR="00477F67" w:rsidRDefault="00477F67" w:rsidP="00477F67">
      <w:pPr>
        <w:pStyle w:val="NumberedParaAR"/>
      </w:pPr>
      <w:r>
        <w:rPr>
          <w:rFonts w:hint="cs"/>
          <w:rtl/>
        </w:rPr>
        <w:t>وسيُحتفظ بهذا البند في جدول أعمال الدورة التاسعة والعشرين للجنة.</w:t>
      </w:r>
    </w:p>
    <w:p w:rsidR="00477F67" w:rsidRPr="00477F67" w:rsidRDefault="00477F67" w:rsidP="00477F67">
      <w:pPr>
        <w:pStyle w:val="NormalParaAR"/>
        <w:keepNext/>
        <w:rPr>
          <w:b/>
          <w:bCs/>
          <w:rtl/>
        </w:rPr>
      </w:pPr>
      <w:r w:rsidRPr="00477F67">
        <w:rPr>
          <w:b/>
          <w:bCs/>
          <w:rtl/>
        </w:rPr>
        <w:t>إسهام اللجنة في تنفيذ التوصيات المعنية من جدول أعمال التنمية</w:t>
      </w:r>
    </w:p>
    <w:p w:rsidR="00477F67" w:rsidRDefault="00860395" w:rsidP="004503FC">
      <w:pPr>
        <w:pStyle w:val="NumberedParaAR"/>
      </w:pPr>
      <w:r>
        <w:rPr>
          <w:rFonts w:hint="cs"/>
          <w:rtl/>
        </w:rPr>
        <w:t>أدلى عدد من الوفود ببيانات في إطار هذا البند من جدول الأعمال. و</w:t>
      </w:r>
      <w:r w:rsidR="00477F67">
        <w:rPr>
          <w:rFonts w:hint="cs"/>
          <w:rtl/>
        </w:rPr>
        <w:t xml:space="preserve">قال الرئيس إنّ </w:t>
      </w:r>
      <w:r w:rsidR="004503FC">
        <w:rPr>
          <w:rFonts w:hint="cs"/>
          <w:rtl/>
        </w:rPr>
        <w:t xml:space="preserve">جميع </w:t>
      </w:r>
      <w:r w:rsidR="00477F67">
        <w:rPr>
          <w:rFonts w:hint="cs"/>
          <w:rtl/>
        </w:rPr>
        <w:t>البيانات</w:t>
      </w:r>
      <w:r>
        <w:rPr>
          <w:rFonts w:hint="cs"/>
          <w:rtl/>
        </w:rPr>
        <w:t xml:space="preserve">، بما فيها </w:t>
      </w:r>
      <w:r w:rsidR="004503FC">
        <w:rPr>
          <w:rFonts w:hint="cs"/>
          <w:rtl/>
        </w:rPr>
        <w:t>تلك</w:t>
      </w:r>
      <w:r>
        <w:rPr>
          <w:rFonts w:hint="cs"/>
          <w:rtl/>
        </w:rPr>
        <w:t xml:space="preserve"> المقدمة كتابة إلى الأمانة </w:t>
      </w:r>
      <w:r w:rsidR="004503FC">
        <w:rPr>
          <w:rFonts w:hint="cs"/>
          <w:rtl/>
        </w:rPr>
        <w:t>في موعد أقصاه 11 يوليو 2014، المتعلقة ب</w:t>
      </w:r>
      <w:r w:rsidR="00477F67" w:rsidRPr="00477F67">
        <w:rPr>
          <w:rtl/>
        </w:rPr>
        <w:t>إسهام اللجنة في تنفيذ التوصيات المعنية من جدول أعمال التنمية</w:t>
      </w:r>
      <w:r w:rsidR="00477F67">
        <w:rPr>
          <w:rFonts w:hint="cs"/>
          <w:rtl/>
        </w:rPr>
        <w:t xml:space="preserve"> ستُدوّن في تقرير الدورة الثامنة والعشرين للجنة وتُرفع إلى الجمعية العامة للويبو طبقا للقرار الذي اتخذته الجمعية العامة بشأن آلية تنسيق جدول أعمال التنمية.</w:t>
      </w:r>
    </w:p>
    <w:p w:rsidR="00477F67" w:rsidRPr="0011313D" w:rsidRDefault="009E7752" w:rsidP="0011313D">
      <w:pPr>
        <w:pStyle w:val="NormalParaAR"/>
        <w:keepNext/>
        <w:rPr>
          <w:b/>
          <w:bCs/>
          <w:rtl/>
        </w:rPr>
      </w:pPr>
      <w:r w:rsidRPr="0011313D">
        <w:rPr>
          <w:rFonts w:hint="cs"/>
          <w:b/>
          <w:bCs/>
          <w:rtl/>
        </w:rPr>
        <w:t>الدورة القادمة للجنة</w:t>
      </w:r>
    </w:p>
    <w:p w:rsidR="009E7752" w:rsidRDefault="008C32EB" w:rsidP="009E7752">
      <w:pPr>
        <w:pStyle w:val="NumberedParaAR"/>
      </w:pPr>
      <w:r>
        <w:rPr>
          <w:rFonts w:hint="cs"/>
          <w:rtl/>
        </w:rPr>
        <w:t>ستُعقد الدورة التاسعة والعشرون للجنة في الفترة من 8 إلى 12 ديسمبر 2014.</w:t>
      </w:r>
    </w:p>
    <w:p w:rsidR="008C32EB" w:rsidRDefault="004503FC" w:rsidP="004503FC">
      <w:pPr>
        <w:pStyle w:val="NumberedParaAR"/>
        <w:spacing w:after="480"/>
        <w:rPr>
          <w:rtl/>
        </w:rPr>
      </w:pPr>
      <w:r>
        <w:rPr>
          <w:rFonts w:hint="cs"/>
          <w:rtl/>
        </w:rPr>
        <w:t xml:space="preserve">وبخصوص العمل المقبل للجنة، اقترح الرئيس أن </w:t>
      </w:r>
      <w:r w:rsidR="008C32EB">
        <w:rPr>
          <w:rFonts w:hint="cs"/>
          <w:rtl/>
        </w:rPr>
        <w:t xml:space="preserve">يكون الوقت المخصّص للدورة التاسعة والعشرين مماثلا للوقت </w:t>
      </w:r>
      <w:r>
        <w:rPr>
          <w:rFonts w:hint="cs"/>
          <w:rtl/>
        </w:rPr>
        <w:t xml:space="preserve">المخصص </w:t>
      </w:r>
      <w:r w:rsidR="008C32EB">
        <w:rPr>
          <w:rFonts w:hint="cs"/>
          <w:rtl/>
        </w:rPr>
        <w:t>للدورة الثامنة والعشرين.</w:t>
      </w:r>
    </w:p>
    <w:p w:rsidR="009E7752" w:rsidRPr="007D3927" w:rsidRDefault="008C32EB" w:rsidP="004B3CA4">
      <w:pPr>
        <w:pStyle w:val="EndofDocumentAR"/>
        <w:rPr>
          <w:rtl/>
        </w:rPr>
      </w:pPr>
      <w:bookmarkStart w:id="2" w:name="_GoBack"/>
      <w:bookmarkEnd w:id="2"/>
      <w:r>
        <w:rPr>
          <w:rFonts w:hint="cs"/>
          <w:rtl/>
        </w:rPr>
        <w:t xml:space="preserve">[نهاية </w:t>
      </w:r>
      <w:r w:rsidR="004B3CA4">
        <w:rPr>
          <w:rFonts w:hint="cs"/>
          <w:rtl/>
        </w:rPr>
        <w:t>النتائج</w:t>
      </w:r>
      <w:r>
        <w:rPr>
          <w:rFonts w:hint="cs"/>
          <w:rtl/>
        </w:rPr>
        <w:t>]</w:t>
      </w:r>
    </w:p>
    <w:sectPr w:rsidR="009E7752" w:rsidRPr="007D3927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09" w:rsidRDefault="00D82C09">
      <w:r>
        <w:separator/>
      </w:r>
    </w:p>
  </w:endnote>
  <w:endnote w:type="continuationSeparator" w:id="0">
    <w:p w:rsidR="00D82C09" w:rsidRDefault="00D8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09" w:rsidRDefault="00D82C0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82C09" w:rsidRDefault="00D82C0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 w:rsidP="00DA59BD"/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56B2D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7A56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11C6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2343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13D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2A4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57E2D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069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2CA7"/>
    <w:rsid w:val="002B53D3"/>
    <w:rsid w:val="002B6202"/>
    <w:rsid w:val="002C014C"/>
    <w:rsid w:val="002C060C"/>
    <w:rsid w:val="002C0BA6"/>
    <w:rsid w:val="002C12A7"/>
    <w:rsid w:val="002C1D01"/>
    <w:rsid w:val="002C2B6F"/>
    <w:rsid w:val="002C314F"/>
    <w:rsid w:val="002C48E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0FA6"/>
    <w:rsid w:val="00351DC1"/>
    <w:rsid w:val="003534EE"/>
    <w:rsid w:val="00354B80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611A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3FC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77F6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3CA4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7E2D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3B8B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0FF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F3C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3927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6BC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95C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395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2EB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6B2D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7FA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E25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88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752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4B6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B02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52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0D83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2D08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32CB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4AAF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C09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548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SCCR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4C17-874E-4D04-834B-505196F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SCCR_28_AR.dotx</Template>
  <TotalTime>1</TotalTime>
  <Pages>2</Pages>
  <Words>556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SCCR/28/-- (Arabic)</vt:lpstr>
    </vt:vector>
  </TitlesOfParts>
  <Company>World Intellectual Property Organization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SCCR/28/-- (Arabic)</dc:title>
  <dc:creator>MERZOUK Fawzi</dc:creator>
  <cp:lastModifiedBy>ABOULHOUCINE Driss</cp:lastModifiedBy>
  <cp:revision>3</cp:revision>
  <cp:lastPrinted>2014-07-23T10:43:00Z</cp:lastPrinted>
  <dcterms:created xsi:type="dcterms:W3CDTF">2014-07-23T10:42:00Z</dcterms:created>
  <dcterms:modified xsi:type="dcterms:W3CDTF">2014-07-23T10:43:00Z</dcterms:modified>
</cp:coreProperties>
</file>