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F40476" w:rsidP="00BD56C2">
            <w:pPr>
              <w:pStyle w:val="DocumentCodeAR"/>
              <w:bidi/>
              <w:rPr>
                <w:rtl/>
              </w:rPr>
            </w:pPr>
            <w:r>
              <w:t>SCCR/32</w:t>
            </w:r>
            <w:r w:rsidR="00B6101C" w:rsidRPr="00B6101C">
              <w:t>/</w:t>
            </w:r>
            <w:r w:rsidR="00BD56C2">
              <w:t>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D56C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BD56C2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D56C2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D56C2">
              <w:rPr>
                <w:rFonts w:hint="cs"/>
                <w:rtl/>
              </w:rPr>
              <w:t>19 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7205B1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F40476" w:rsidP="00796CF7">
      <w:pPr>
        <w:pStyle w:val="MeetingTitleAR"/>
        <w:bidi/>
        <w:ind w:right="550"/>
        <w:rPr>
          <w:rtl/>
        </w:rPr>
      </w:pPr>
      <w:r w:rsidRPr="00F40476">
        <w:rPr>
          <w:rtl/>
        </w:rPr>
        <w:t>اللجنة الدائمة المعنية بحق المؤلف والحقوق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40476" w:rsidP="007915BE">
      <w:pPr>
        <w:pStyle w:val="MeetingSessionAR"/>
        <w:bidi/>
        <w:rPr>
          <w:rFonts w:ascii="Cambria Math" w:hAnsi="Cambria Math"/>
          <w:rtl/>
        </w:rPr>
      </w:pPr>
      <w:r w:rsidRPr="00F40476">
        <w:rPr>
          <w:rFonts w:ascii="Cambria Math" w:hAnsi="Cambria Math"/>
          <w:rtl/>
        </w:rPr>
        <w:t>الدورة الثانية والثلاثون</w:t>
      </w:r>
    </w:p>
    <w:p w:rsidR="00D61541" w:rsidRPr="00D61541" w:rsidRDefault="00F40476" w:rsidP="007205B1">
      <w:pPr>
        <w:pStyle w:val="MeetingDatesAR"/>
        <w:bidi/>
        <w:rPr>
          <w:rtl/>
        </w:rPr>
      </w:pPr>
      <w:r w:rsidRPr="00F40476">
        <w:rPr>
          <w:rtl/>
        </w:rPr>
        <w:t>جنيف، من 9 إلى 13 مايو 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BD56C2" w:rsidP="00FB7EC9">
      <w:pPr>
        <w:pStyle w:val="DocumentTitleAR"/>
        <w:bidi/>
        <w:rPr>
          <w:rtl/>
        </w:rPr>
      </w:pPr>
      <w:r w:rsidRPr="00BD56C2">
        <w:rPr>
          <w:rtl/>
        </w:rPr>
        <w:t>اعتماد منظمة غير حكومية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BD56C2">
        <w:rPr>
          <w:rFonts w:hint="cs"/>
          <w:rtl/>
        </w:rPr>
        <w:t xml:space="preserve"> الأمانة</w:t>
      </w:r>
    </w:p>
    <w:p w:rsidR="00BD56C2" w:rsidRDefault="00BD56C2" w:rsidP="00BD56C2">
      <w:pPr>
        <w:pStyle w:val="NumberedParaAR"/>
        <w:rPr>
          <w:rtl/>
        </w:rPr>
      </w:pPr>
      <w:r>
        <w:rPr>
          <w:rFonts w:hint="cs"/>
          <w:rtl/>
        </w:rPr>
        <w:t>ت</w:t>
      </w:r>
      <w:r>
        <w:rPr>
          <w:rtl/>
        </w:rPr>
        <w:t xml:space="preserve">رد في مرفق هذه الوثيقة </w:t>
      </w:r>
      <w:r>
        <w:rPr>
          <w:rFonts w:hint="cs"/>
          <w:rtl/>
        </w:rPr>
        <w:t xml:space="preserve">معلومات عن </w:t>
      </w:r>
      <w:r>
        <w:rPr>
          <w:rtl/>
        </w:rPr>
        <w:t xml:space="preserve">منظمة غير حكومية التمست صفة المراقب في دورات اللجنة الدائمة المعنية بحق المؤلف والحقوق المجاورة، عملا بالنظام الداخلي للجنة (انظر الوثيقة </w:t>
      </w:r>
      <w:r>
        <w:t>SCCR/1/2</w:t>
      </w:r>
      <w:r>
        <w:rPr>
          <w:rtl/>
        </w:rPr>
        <w:t xml:space="preserve"> الفقرة 10)</w:t>
      </w:r>
      <w:r>
        <w:rPr>
          <w:rFonts w:hint="cs"/>
          <w:rtl/>
        </w:rPr>
        <w:t>.</w:t>
      </w:r>
    </w:p>
    <w:p w:rsidR="00BD56C2" w:rsidRDefault="00BD56C2" w:rsidP="00BD56C2">
      <w:pPr>
        <w:pStyle w:val="DecisionParaAR"/>
        <w:rPr>
          <w:rtl/>
        </w:rPr>
      </w:pPr>
      <w:r>
        <w:rPr>
          <w:rFonts w:hint="cs"/>
          <w:rtl/>
        </w:rPr>
        <w:t>إ</w:t>
      </w:r>
      <w:r>
        <w:rPr>
          <w:rtl/>
        </w:rPr>
        <w:t xml:space="preserve">ن اللجنة مدعوة إلى الموافقة على أن تكون المنظمة </w:t>
      </w:r>
      <w:r>
        <w:rPr>
          <w:rFonts w:hint="cs"/>
          <w:rtl/>
        </w:rPr>
        <w:t xml:space="preserve">المشار إليها </w:t>
      </w:r>
      <w:r>
        <w:rPr>
          <w:rtl/>
        </w:rPr>
        <w:t>في مرفق هذه الوثيقة ممثلة</w:t>
      </w:r>
      <w:r>
        <w:rPr>
          <w:rFonts w:hint="cs"/>
          <w:rtl/>
        </w:rPr>
        <w:t>ً</w:t>
      </w:r>
      <w:r>
        <w:rPr>
          <w:rtl/>
        </w:rPr>
        <w:t xml:space="preserve"> في دورات </w:t>
      </w:r>
      <w:r>
        <w:rPr>
          <w:rFonts w:hint="cs"/>
          <w:rtl/>
        </w:rPr>
        <w:t>ال</w:t>
      </w:r>
      <w:r>
        <w:rPr>
          <w:rtl/>
        </w:rPr>
        <w:t>لجنة.</w:t>
      </w:r>
    </w:p>
    <w:p w:rsidR="00BD56C2" w:rsidRDefault="00BD56C2" w:rsidP="00BD56C2">
      <w:pPr>
        <w:pStyle w:val="NormalParaAR"/>
        <w:rPr>
          <w:rtl/>
        </w:rPr>
      </w:pPr>
    </w:p>
    <w:p w:rsidR="00CF79DF" w:rsidRDefault="00BD56C2" w:rsidP="00BD56C2">
      <w:pPr>
        <w:pStyle w:val="EndofDocumentAR"/>
        <w:rPr>
          <w:rtl/>
        </w:rPr>
      </w:pPr>
      <w:r>
        <w:rPr>
          <w:rtl/>
        </w:rPr>
        <w:t>[يلي ذلك المرفق]</w:t>
      </w:r>
    </w:p>
    <w:p w:rsidR="00BD56C2" w:rsidRDefault="00BD56C2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BD56C2" w:rsidRPr="001E6D3E" w:rsidRDefault="00BD56C2" w:rsidP="00BD56C2">
      <w:pPr>
        <w:pStyle w:val="Heading1AR"/>
        <w:rPr>
          <w:b/>
          <w:bCs w:val="0"/>
          <w:sz w:val="44"/>
          <w:szCs w:val="44"/>
          <w:rtl/>
        </w:rPr>
      </w:pPr>
      <w:r w:rsidRPr="001E6D3E">
        <w:rPr>
          <w:rFonts w:hint="cs"/>
          <w:b/>
          <w:bCs w:val="0"/>
          <w:sz w:val="44"/>
          <w:szCs w:val="44"/>
          <w:rtl/>
          <w:lang w:val="fr-CH" w:bidi="ar-LB"/>
        </w:rPr>
        <w:lastRenderedPageBreak/>
        <w:t xml:space="preserve">منظمة غير حكومية التمست </w:t>
      </w:r>
      <w:r>
        <w:rPr>
          <w:rFonts w:hint="cs"/>
          <w:b/>
          <w:bCs w:val="0"/>
          <w:sz w:val="44"/>
          <w:szCs w:val="44"/>
          <w:rtl/>
          <w:lang w:val="fr-CH" w:bidi="ar-LB"/>
        </w:rPr>
        <w:t>أن تكون ممثَّلة ب</w:t>
      </w:r>
      <w:r w:rsidRPr="001E6D3E">
        <w:rPr>
          <w:rFonts w:hint="cs"/>
          <w:b/>
          <w:bCs w:val="0"/>
          <w:sz w:val="44"/>
          <w:szCs w:val="44"/>
          <w:rtl/>
          <w:lang w:val="fr-CH" w:bidi="ar-LB"/>
        </w:rPr>
        <w:t xml:space="preserve">صفة مراقب في دورات </w:t>
      </w:r>
      <w:r w:rsidRPr="001E6D3E">
        <w:rPr>
          <w:b/>
          <w:bCs w:val="0"/>
          <w:sz w:val="44"/>
          <w:szCs w:val="44"/>
          <w:rtl/>
          <w:lang w:val="fr-CH" w:bidi="ar-LB"/>
        </w:rPr>
        <w:t>اللجنة الدائمة المعنية بحق المؤلف والحقوق</w:t>
      </w:r>
      <w:r>
        <w:rPr>
          <w:rFonts w:hint="cs"/>
          <w:b/>
          <w:bCs w:val="0"/>
          <w:sz w:val="44"/>
          <w:szCs w:val="44"/>
          <w:rtl/>
          <w:lang w:val="fr-CH" w:bidi="ar-LB"/>
        </w:rPr>
        <w:t> </w:t>
      </w:r>
      <w:r w:rsidRPr="001E6D3E">
        <w:rPr>
          <w:b/>
          <w:bCs w:val="0"/>
          <w:sz w:val="44"/>
          <w:szCs w:val="44"/>
          <w:rtl/>
          <w:lang w:val="fr-CH" w:bidi="ar-LB"/>
        </w:rPr>
        <w:t>المجاورة</w:t>
      </w:r>
    </w:p>
    <w:p w:rsidR="00BD56C2" w:rsidRDefault="00BD56C2" w:rsidP="00BD56C2">
      <w:pPr>
        <w:pStyle w:val="NormalParaAR"/>
        <w:rPr>
          <w:rtl/>
        </w:rPr>
      </w:pPr>
    </w:p>
    <w:p w:rsidR="00BD56C2" w:rsidRPr="00BD56C2" w:rsidRDefault="00BD56C2" w:rsidP="00BD56C2">
      <w:pPr>
        <w:pStyle w:val="NormalParaAR"/>
        <w:rPr>
          <w:rtl/>
          <w:lang w:bidi="ar-EG"/>
        </w:rPr>
      </w:pPr>
      <w:r w:rsidRPr="00BD56C2">
        <w:rPr>
          <w:i/>
          <w:iCs/>
          <w:rtl/>
          <w:lang w:bidi="ar-EG"/>
        </w:rPr>
        <w:t>المتحف الكندي للتاريخ (</w:t>
      </w:r>
      <w:r w:rsidRPr="00BD56C2">
        <w:rPr>
          <w:i/>
          <w:iCs/>
          <w:lang w:bidi="ar-EG"/>
        </w:rPr>
        <w:t>CMH</w:t>
      </w:r>
      <w:r w:rsidRPr="00BD56C2">
        <w:rPr>
          <w:i/>
          <w:iCs/>
          <w:rtl/>
          <w:lang w:bidi="ar-EG"/>
        </w:rPr>
        <w:t>)</w:t>
      </w:r>
    </w:p>
    <w:p w:rsidR="00BD56C2" w:rsidRDefault="00BD56C2" w:rsidP="006C2C5B">
      <w:pPr>
        <w:pStyle w:val="NormalParaAR"/>
        <w:rPr>
          <w:rtl/>
          <w:lang w:bidi="ar-EG"/>
        </w:rPr>
      </w:pPr>
      <w:r w:rsidRPr="00BD56C2">
        <w:rPr>
          <w:rtl/>
          <w:lang w:bidi="ar-EG"/>
        </w:rPr>
        <w:t>المتحف الكندي للتاريخ (</w:t>
      </w:r>
      <w:r w:rsidRPr="00BD56C2">
        <w:rPr>
          <w:lang w:bidi="ar-EG"/>
        </w:rPr>
        <w:t>CMH</w:t>
      </w:r>
      <w:r>
        <w:rPr>
          <w:rtl/>
          <w:lang w:bidi="ar-EG"/>
        </w:rPr>
        <w:t>) ه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 أقدم مؤسسة عامة في البل</w:t>
      </w:r>
      <w:r w:rsidRPr="00BD56C2">
        <w:rPr>
          <w:rtl/>
          <w:lang w:bidi="ar-EG"/>
        </w:rPr>
        <w:t xml:space="preserve">د، </w:t>
      </w:r>
      <w:r>
        <w:rPr>
          <w:rFonts w:hint="cs"/>
          <w:rtl/>
          <w:lang w:bidi="ar-EG"/>
        </w:rPr>
        <w:t xml:space="preserve">تأسس </w:t>
      </w:r>
      <w:r w:rsidRPr="00BD56C2">
        <w:rPr>
          <w:rtl/>
          <w:lang w:bidi="ar-EG"/>
        </w:rPr>
        <w:t xml:space="preserve">في عام 1856. </w:t>
      </w:r>
      <w:r>
        <w:rPr>
          <w:rFonts w:hint="cs"/>
          <w:rtl/>
          <w:lang w:bidi="ar-EG"/>
        </w:rPr>
        <w:t xml:space="preserve">ويستقبل </w:t>
      </w:r>
      <w:r w:rsidRPr="00BD56C2">
        <w:rPr>
          <w:rtl/>
          <w:lang w:bidi="ar-EG"/>
        </w:rPr>
        <w:t xml:space="preserve">أكثر من 1.2 مليون زائر سنويا، وهو أيضا المتحف </w:t>
      </w:r>
      <w:r>
        <w:rPr>
          <w:rtl/>
          <w:lang w:bidi="ar-EG"/>
        </w:rPr>
        <w:t>الأكثر زيارة في كندا، مما يجعله</w:t>
      </w:r>
      <w:r w:rsidRPr="00BD56C2">
        <w:rPr>
          <w:rtl/>
          <w:lang w:bidi="ar-EG"/>
        </w:rPr>
        <w:t xml:space="preserve"> مركز</w:t>
      </w:r>
      <w:r>
        <w:rPr>
          <w:rFonts w:hint="cs"/>
          <w:rtl/>
          <w:lang w:bidi="ar-EG"/>
        </w:rPr>
        <w:t>ا</w:t>
      </w:r>
      <w:r w:rsidRPr="00BD56C2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يُعترف له ب</w:t>
      </w:r>
      <w:r w:rsidRPr="00BD56C2">
        <w:rPr>
          <w:rtl/>
          <w:lang w:bidi="ar-EG"/>
        </w:rPr>
        <w:t>خبر</w:t>
      </w:r>
      <w:r>
        <w:rPr>
          <w:rFonts w:hint="cs"/>
          <w:rtl/>
          <w:lang w:bidi="ar-EG"/>
        </w:rPr>
        <w:t>ته</w:t>
      </w:r>
      <w:r w:rsidRPr="00BD56C2">
        <w:rPr>
          <w:rtl/>
          <w:lang w:bidi="ar-EG"/>
        </w:rPr>
        <w:t xml:space="preserve"> في التاريخ وعلم الآثار وعلم الأجناس والدراسات الثقافية سواء داخل كندا وخارجها. وتشمل أنشطته الرئيسية الحفاظ على التراث الكندي</w:t>
      </w:r>
      <w:r>
        <w:rPr>
          <w:rFonts w:hint="cs"/>
          <w:rtl/>
          <w:lang w:bidi="ar-EG"/>
        </w:rPr>
        <w:t xml:space="preserve"> والنهوض به</w:t>
      </w:r>
      <w:r w:rsidRPr="00BD56C2">
        <w:rPr>
          <w:rtl/>
          <w:lang w:bidi="ar-EG"/>
        </w:rPr>
        <w:t xml:space="preserve">، والمساهمة في الذاكرة الجماعية </w:t>
      </w:r>
      <w:r>
        <w:rPr>
          <w:rFonts w:hint="cs"/>
          <w:rtl/>
          <w:lang w:bidi="ar-EG"/>
        </w:rPr>
        <w:t>والاحساس بالهوية ل</w:t>
      </w:r>
      <w:r w:rsidRPr="00BD56C2">
        <w:rPr>
          <w:rtl/>
          <w:lang w:bidi="ar-EG"/>
        </w:rPr>
        <w:t xml:space="preserve">جميع الكنديين. </w:t>
      </w:r>
      <w:r>
        <w:rPr>
          <w:rFonts w:hint="cs"/>
          <w:rtl/>
          <w:lang w:bidi="ar-EG"/>
        </w:rPr>
        <w:t xml:space="preserve">وكمؤسسة </w:t>
      </w:r>
      <w:r w:rsidRPr="00BD56C2">
        <w:rPr>
          <w:rtl/>
          <w:lang w:bidi="ar-EG"/>
        </w:rPr>
        <w:t>رائدة في مجال حق المؤلف و</w:t>
      </w:r>
      <w:r>
        <w:rPr>
          <w:rFonts w:hint="cs"/>
          <w:rtl/>
          <w:lang w:bidi="ar-EG"/>
        </w:rPr>
        <w:t xml:space="preserve">ممتلكات </w:t>
      </w:r>
      <w:r w:rsidRPr="00BD56C2">
        <w:rPr>
          <w:rtl/>
          <w:lang w:bidi="ar-EG"/>
        </w:rPr>
        <w:t>المت</w:t>
      </w:r>
      <w:r>
        <w:rPr>
          <w:rFonts w:hint="cs"/>
          <w:rtl/>
          <w:lang w:bidi="ar-EG"/>
        </w:rPr>
        <w:t>ا</w:t>
      </w:r>
      <w:r>
        <w:rPr>
          <w:rtl/>
          <w:lang w:bidi="ar-EG"/>
        </w:rPr>
        <w:t>حف</w:t>
      </w:r>
      <w:r w:rsidRPr="00BD56C2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ي</w:t>
      </w:r>
      <w:r w:rsidRPr="00BD56C2">
        <w:rPr>
          <w:rtl/>
          <w:lang w:bidi="ar-EG"/>
        </w:rPr>
        <w:t xml:space="preserve">ود </w:t>
      </w:r>
      <w:r>
        <w:rPr>
          <w:rFonts w:hint="cs"/>
          <w:rtl/>
          <w:lang w:bidi="ar-EG"/>
        </w:rPr>
        <w:t xml:space="preserve">المكتب الكندي للتاريخ </w:t>
      </w:r>
      <w:r w:rsidR="00590302">
        <w:rPr>
          <w:rFonts w:hint="cs"/>
          <w:rtl/>
          <w:lang w:bidi="ar-EG"/>
        </w:rPr>
        <w:t>في ا</w:t>
      </w:r>
      <w:r w:rsidRPr="00BD56C2">
        <w:rPr>
          <w:rtl/>
          <w:lang w:bidi="ar-EG"/>
        </w:rPr>
        <w:t xml:space="preserve">لمشاركة بنشاط في المناقشات بشأن </w:t>
      </w:r>
      <w:r w:rsidR="00590302">
        <w:rPr>
          <w:rFonts w:hint="cs"/>
          <w:rtl/>
          <w:lang w:bidi="ar-EG"/>
        </w:rPr>
        <w:t xml:space="preserve">التقييدات </w:t>
      </w:r>
      <w:r w:rsidRPr="00BD56C2">
        <w:rPr>
          <w:rtl/>
          <w:lang w:bidi="ar-EG"/>
        </w:rPr>
        <w:t xml:space="preserve">والاستثناءات </w:t>
      </w:r>
      <w:r w:rsidR="00590302">
        <w:rPr>
          <w:rFonts w:hint="cs"/>
          <w:rtl/>
          <w:lang w:bidi="ar-EG"/>
        </w:rPr>
        <w:t xml:space="preserve">على حق المؤلف </w:t>
      </w:r>
      <w:r w:rsidRPr="00BD56C2">
        <w:rPr>
          <w:rtl/>
          <w:lang w:bidi="ar-EG"/>
        </w:rPr>
        <w:t>خاصة فيما يتعلق ب</w:t>
      </w:r>
      <w:r w:rsidR="00590302">
        <w:rPr>
          <w:rFonts w:hint="cs"/>
          <w:rtl/>
          <w:lang w:bidi="ar-EG"/>
        </w:rPr>
        <w:t>ال</w:t>
      </w:r>
      <w:r w:rsidRPr="00BD56C2">
        <w:rPr>
          <w:rtl/>
          <w:lang w:bidi="ar-EG"/>
        </w:rPr>
        <w:t xml:space="preserve">قضايا العملية </w:t>
      </w:r>
      <w:r w:rsidR="00590302">
        <w:rPr>
          <w:rFonts w:hint="cs"/>
          <w:rtl/>
          <w:lang w:bidi="ar-EG"/>
        </w:rPr>
        <w:t xml:space="preserve">لحق المؤلف </w:t>
      </w:r>
      <w:r w:rsidRPr="00BD56C2">
        <w:rPr>
          <w:rtl/>
          <w:lang w:bidi="ar-EG"/>
        </w:rPr>
        <w:t xml:space="preserve">التي </w:t>
      </w:r>
      <w:r w:rsidR="00590302">
        <w:rPr>
          <w:rFonts w:hint="cs"/>
          <w:rtl/>
          <w:lang w:bidi="ar-EG"/>
        </w:rPr>
        <w:t xml:space="preserve">فعلا </w:t>
      </w:r>
      <w:r w:rsidRPr="00BD56C2">
        <w:rPr>
          <w:rtl/>
          <w:lang w:bidi="ar-EG"/>
        </w:rPr>
        <w:t xml:space="preserve">تواجه المتاحف. </w:t>
      </w:r>
      <w:r w:rsidR="00590302">
        <w:rPr>
          <w:rFonts w:hint="cs"/>
          <w:rtl/>
          <w:lang w:bidi="ar-EG"/>
        </w:rPr>
        <w:t>و</w:t>
      </w:r>
      <w:r w:rsidRPr="00BD56C2">
        <w:rPr>
          <w:rtl/>
          <w:lang w:bidi="ar-EG"/>
        </w:rPr>
        <w:t xml:space="preserve">من خلال هذه المساهمة </w:t>
      </w:r>
      <w:r w:rsidR="00590302">
        <w:rPr>
          <w:rFonts w:hint="cs"/>
          <w:rtl/>
          <w:lang w:bidi="ar-EG"/>
        </w:rPr>
        <w:t xml:space="preserve">في </w:t>
      </w:r>
      <w:r w:rsidRPr="00BD56C2">
        <w:rPr>
          <w:rtl/>
          <w:lang w:bidi="ar-EG"/>
        </w:rPr>
        <w:t xml:space="preserve">اللجنة، يسعى </w:t>
      </w:r>
      <w:r w:rsidR="00590302">
        <w:rPr>
          <w:rFonts w:hint="cs"/>
          <w:rtl/>
          <w:lang w:bidi="ar-EG"/>
        </w:rPr>
        <w:t xml:space="preserve">المتحف </w:t>
      </w:r>
      <w:r w:rsidRPr="00BD56C2">
        <w:rPr>
          <w:rtl/>
          <w:lang w:bidi="ar-EG"/>
        </w:rPr>
        <w:t xml:space="preserve">إلى ضمان نهج استراتيجي ومتوازن لإدارة حق المؤلف والوفاء </w:t>
      </w:r>
      <w:r w:rsidR="00590302">
        <w:rPr>
          <w:rFonts w:hint="cs"/>
          <w:rtl/>
          <w:lang w:bidi="ar-EG"/>
        </w:rPr>
        <w:t>بال</w:t>
      </w:r>
      <w:r w:rsidRPr="00BD56C2">
        <w:rPr>
          <w:rtl/>
          <w:lang w:bidi="ar-EG"/>
        </w:rPr>
        <w:t>ولاية. و</w:t>
      </w:r>
      <w:r w:rsidR="00590302">
        <w:rPr>
          <w:rFonts w:hint="cs"/>
          <w:rtl/>
          <w:lang w:bidi="ar-EG"/>
        </w:rPr>
        <w:t>ي</w:t>
      </w:r>
      <w:r w:rsidRPr="00BD56C2">
        <w:rPr>
          <w:rtl/>
          <w:lang w:bidi="ar-EG"/>
        </w:rPr>
        <w:t xml:space="preserve">عتقد </w:t>
      </w:r>
      <w:r w:rsidR="00590302">
        <w:rPr>
          <w:rFonts w:hint="cs"/>
          <w:rtl/>
          <w:lang w:bidi="ar-EG"/>
        </w:rPr>
        <w:t xml:space="preserve">المتحف </w:t>
      </w:r>
      <w:r w:rsidRPr="00BD56C2">
        <w:rPr>
          <w:rtl/>
          <w:lang w:bidi="ar-EG"/>
        </w:rPr>
        <w:t>أيضا أن المشارك</w:t>
      </w:r>
      <w:r w:rsidR="00590302">
        <w:rPr>
          <w:rtl/>
          <w:lang w:bidi="ar-EG"/>
        </w:rPr>
        <w:t>ة في مناقشات اللجنة سوف تسمح له</w:t>
      </w:r>
      <w:r w:rsidRPr="00BD56C2">
        <w:rPr>
          <w:rtl/>
          <w:lang w:bidi="ar-EG"/>
        </w:rPr>
        <w:t xml:space="preserve"> </w:t>
      </w:r>
      <w:r w:rsidR="00590302">
        <w:rPr>
          <w:rFonts w:hint="cs"/>
          <w:rtl/>
          <w:lang w:bidi="ar-EG"/>
        </w:rPr>
        <w:t xml:space="preserve">يطلع على كيفية </w:t>
      </w:r>
      <w:r w:rsidRPr="00BD56C2">
        <w:rPr>
          <w:rtl/>
          <w:lang w:bidi="ar-EG"/>
        </w:rPr>
        <w:t xml:space="preserve">تعامل المتاحف </w:t>
      </w:r>
      <w:r w:rsidR="006C2C5B">
        <w:rPr>
          <w:rFonts w:hint="cs"/>
          <w:rtl/>
          <w:lang w:bidi="ar-EG"/>
        </w:rPr>
        <w:t xml:space="preserve">الأخرى </w:t>
      </w:r>
      <w:r w:rsidRPr="00BD56C2">
        <w:rPr>
          <w:rtl/>
          <w:lang w:bidi="ar-EG"/>
        </w:rPr>
        <w:t xml:space="preserve">مع تحديات خاصة وكيف </w:t>
      </w:r>
      <w:r w:rsidR="006C2C5B">
        <w:rPr>
          <w:rFonts w:hint="cs"/>
          <w:rtl/>
          <w:lang w:bidi="ar-EG"/>
        </w:rPr>
        <w:t xml:space="preserve">تشارك </w:t>
      </w:r>
      <w:r w:rsidRPr="00BD56C2">
        <w:rPr>
          <w:rtl/>
          <w:lang w:bidi="ar-EG"/>
        </w:rPr>
        <w:t xml:space="preserve">في </w:t>
      </w:r>
      <w:r w:rsidR="006C2C5B">
        <w:rPr>
          <w:rFonts w:hint="cs"/>
          <w:rtl/>
          <w:lang w:bidi="ar-EG"/>
        </w:rPr>
        <w:t>ال</w:t>
      </w:r>
      <w:r w:rsidRPr="00BD56C2">
        <w:rPr>
          <w:rtl/>
          <w:lang w:bidi="ar-EG"/>
        </w:rPr>
        <w:t xml:space="preserve">مناقشات </w:t>
      </w:r>
      <w:r w:rsidR="006C2C5B">
        <w:rPr>
          <w:rtl/>
          <w:lang w:bidi="ar-EG"/>
        </w:rPr>
        <w:t>مع الحكومات</w:t>
      </w:r>
      <w:r w:rsidR="006C2C5B">
        <w:rPr>
          <w:rFonts w:hint="cs"/>
          <w:rtl/>
          <w:lang w:bidi="ar-EG"/>
        </w:rPr>
        <w:t xml:space="preserve"> حول حق المؤلف.</w:t>
      </w:r>
    </w:p>
    <w:p w:rsidR="00BD56C2" w:rsidRDefault="00BD56C2" w:rsidP="00BD56C2">
      <w:pPr>
        <w:pStyle w:val="NormalParaAR"/>
        <w:rPr>
          <w:rtl/>
        </w:rPr>
      </w:pPr>
    </w:p>
    <w:p w:rsidR="00BD56C2" w:rsidRPr="006C2C5B" w:rsidRDefault="00BD56C2" w:rsidP="00BD56C2">
      <w:pPr>
        <w:pStyle w:val="NormalAR"/>
        <w:ind w:left="-1"/>
        <w:rPr>
          <w:i/>
          <w:iCs/>
          <w:sz w:val="36"/>
          <w:szCs w:val="36"/>
          <w:rtl/>
          <w:lang w:val="fr-CH" w:bidi="ar-SA"/>
        </w:rPr>
      </w:pPr>
      <w:r w:rsidRPr="006C2C5B">
        <w:rPr>
          <w:rFonts w:hint="cs"/>
          <w:i/>
          <w:iCs/>
          <w:sz w:val="36"/>
          <w:szCs w:val="36"/>
          <w:rtl/>
          <w:lang w:val="fr-CH" w:bidi="ar-SA"/>
        </w:rPr>
        <w:t>معلومات للاتصال:</w:t>
      </w:r>
    </w:p>
    <w:p w:rsidR="006C2C5B" w:rsidRDefault="00BD56C2" w:rsidP="006C2C5B">
      <w:pPr>
        <w:ind w:left="4536"/>
      </w:pPr>
      <w:r>
        <w:rPr>
          <w:lang w:bidi="ar-EG"/>
        </w:rPr>
        <w:t xml:space="preserve">Jaakko </w:t>
      </w:r>
      <w:proofErr w:type="spellStart"/>
      <w:r>
        <w:rPr>
          <w:lang w:bidi="ar-EG"/>
        </w:rPr>
        <w:t>Eskola</w:t>
      </w:r>
      <w:proofErr w:type="spellEnd"/>
      <w:r w:rsidR="006C2C5B" w:rsidRPr="006C2C5B">
        <w:t xml:space="preserve"> </w:t>
      </w:r>
      <w:r w:rsidR="006C2C5B">
        <w:t>Tanya Anderson</w:t>
      </w:r>
    </w:p>
    <w:p w:rsidR="006C2C5B" w:rsidRDefault="006C2C5B" w:rsidP="006C2C5B">
      <w:pPr>
        <w:ind w:left="4536"/>
      </w:pPr>
      <w:r w:rsidRPr="00324888">
        <w:t>Advisor, Intellectual Prope</w:t>
      </w:r>
      <w:r>
        <w:t>rty</w:t>
      </w:r>
    </w:p>
    <w:p w:rsidR="006C2C5B" w:rsidRDefault="006C2C5B" w:rsidP="006C2C5B">
      <w:pPr>
        <w:ind w:left="4536"/>
      </w:pPr>
      <w:r>
        <w:t>100 Laurier St.</w:t>
      </w:r>
    </w:p>
    <w:p w:rsidR="006C2C5B" w:rsidRDefault="006C2C5B" w:rsidP="006C2C5B">
      <w:pPr>
        <w:ind w:left="4536"/>
      </w:pPr>
      <w:r>
        <w:t>Gatineau, Quebec, K1A 0M8</w:t>
      </w:r>
    </w:p>
    <w:p w:rsidR="006C2C5B" w:rsidRDefault="006C2C5B" w:rsidP="006C2C5B">
      <w:pPr>
        <w:ind w:left="4536"/>
      </w:pPr>
      <w:r>
        <w:t>Canada</w:t>
      </w:r>
    </w:p>
    <w:p w:rsidR="006C2C5B" w:rsidRDefault="006C2C5B" w:rsidP="006C2C5B">
      <w:pPr>
        <w:ind w:left="4536"/>
      </w:pPr>
      <w:r>
        <w:t xml:space="preserve">Phone: </w:t>
      </w:r>
      <w:r w:rsidRPr="00150CA9">
        <w:t>+</w:t>
      </w:r>
      <w:r>
        <w:t>1</w:t>
      </w:r>
      <w:r w:rsidRPr="00150CA9">
        <w:t xml:space="preserve"> </w:t>
      </w:r>
      <w:r>
        <w:t xml:space="preserve">819 776 </w:t>
      </w:r>
      <w:r w:rsidRPr="00324888">
        <w:t>8341</w:t>
      </w:r>
      <w:r>
        <w:t xml:space="preserve"> </w:t>
      </w:r>
    </w:p>
    <w:p w:rsidR="006C2C5B" w:rsidRPr="006D5662" w:rsidRDefault="006C2C5B" w:rsidP="006C2C5B">
      <w:pPr>
        <w:ind w:left="4536"/>
      </w:pPr>
      <w:r>
        <w:t xml:space="preserve">Fax: </w:t>
      </w:r>
      <w:r w:rsidRPr="006D5662">
        <w:t>+1 819 776 7152</w:t>
      </w:r>
    </w:p>
    <w:p w:rsidR="006C2C5B" w:rsidRPr="006D5662" w:rsidRDefault="006C2C5B" w:rsidP="006C2C5B">
      <w:pPr>
        <w:ind w:left="4536"/>
      </w:pPr>
      <w:r w:rsidRPr="006D5662">
        <w:t>Email:</w:t>
      </w:r>
      <w:r>
        <w:t xml:space="preserve"> </w:t>
      </w:r>
      <w:hyperlink r:id="rId9" w:history="1">
        <w:r w:rsidRPr="006D5662">
          <w:rPr>
            <w:rStyle w:val="Hyperlink"/>
          </w:rPr>
          <w:t>tanya.anderson@historymuseu.ca</w:t>
        </w:r>
      </w:hyperlink>
      <w:r w:rsidRPr="006D5662">
        <w:t xml:space="preserve"> </w:t>
      </w:r>
    </w:p>
    <w:p w:rsidR="006C2C5B" w:rsidRPr="006D5662" w:rsidRDefault="006C2C5B" w:rsidP="006C2C5B">
      <w:pPr>
        <w:ind w:left="4536"/>
      </w:pPr>
      <w:r>
        <w:t xml:space="preserve">Web site: </w:t>
      </w:r>
      <w:hyperlink r:id="rId10" w:history="1">
        <w:r w:rsidRPr="003519F6">
          <w:rPr>
            <w:rStyle w:val="Hyperlink"/>
          </w:rPr>
          <w:t>www.historymuseum.ca</w:t>
        </w:r>
      </w:hyperlink>
      <w:r>
        <w:t xml:space="preserve"> </w:t>
      </w:r>
    </w:p>
    <w:p w:rsidR="00BD56C2" w:rsidRDefault="00BD56C2" w:rsidP="006C2C5B">
      <w:pPr>
        <w:pStyle w:val="NormalParaAR"/>
        <w:spacing w:after="0"/>
        <w:rPr>
          <w:rtl/>
        </w:rPr>
      </w:pPr>
    </w:p>
    <w:p w:rsidR="00BD56C2" w:rsidRDefault="00BD56C2" w:rsidP="00BD56C2">
      <w:pPr>
        <w:pStyle w:val="EndofDocumentAR"/>
      </w:pPr>
      <w:r>
        <w:rPr>
          <w:rFonts w:hint="cs"/>
          <w:rtl/>
        </w:rPr>
        <w:t>[نهاية المرفق والوثيقة]</w:t>
      </w:r>
    </w:p>
    <w:p w:rsidR="009F513E" w:rsidRPr="009E4728" w:rsidRDefault="009F513E" w:rsidP="007F38D1">
      <w:pPr>
        <w:pStyle w:val="NormalParaAR"/>
      </w:pPr>
    </w:p>
    <w:sectPr w:rsidR="009F513E" w:rsidRPr="009E4728" w:rsidSect="00EB7752">
      <w:headerReference w:type="default" r:id="rId11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6C2" w:rsidRDefault="00BD56C2">
      <w:r>
        <w:separator/>
      </w:r>
    </w:p>
  </w:endnote>
  <w:endnote w:type="continuationSeparator" w:id="0">
    <w:p w:rsidR="00BD56C2" w:rsidRDefault="00BD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6C2" w:rsidRDefault="00BD56C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D56C2" w:rsidRDefault="00BD56C2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BD56C2">
    <w:r>
      <w:t>S</w:t>
    </w:r>
    <w:r w:rsidR="00F40476">
      <w:t>CCR</w:t>
    </w:r>
    <w:r w:rsidR="002F77FC">
      <w:t>/</w:t>
    </w:r>
    <w:r w:rsidR="00F40476">
      <w:t>32</w:t>
    </w:r>
    <w:r w:rsidR="002F77FC">
      <w:t>/</w:t>
    </w:r>
    <w:r w:rsidR="00BD56C2">
      <w:t>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9E4728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C2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30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C5B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728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56C2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6037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476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BD56C2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BD56C2"/>
    <w:rPr>
      <w:bCs w:val="0"/>
    </w:rPr>
  </w:style>
  <w:style w:type="paragraph" w:customStyle="1" w:styleId="NormalAR">
    <w:name w:val="Normal AR"/>
    <w:basedOn w:val="Normal"/>
    <w:rsid w:val="00BD56C2"/>
    <w:pPr>
      <w:bidi/>
      <w:spacing w:after="120" w:line="340" w:lineRule="exact"/>
      <w:ind w:left="1021"/>
    </w:pPr>
    <w:rPr>
      <w:rFonts w:ascii="Arabic Typesetting" w:hAnsi="Arabic Typesetting" w:cs="Arabic Typesetting"/>
      <w:sz w:val="34"/>
      <w:szCs w:val="34"/>
      <w:lang w:bidi="ar-EG"/>
    </w:rPr>
  </w:style>
  <w:style w:type="character" w:styleId="Hyperlink">
    <w:name w:val="Hyperlink"/>
    <w:basedOn w:val="DefaultParagraphFont"/>
    <w:rsid w:val="00BD56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E47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4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BD56C2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BD56C2"/>
    <w:rPr>
      <w:bCs w:val="0"/>
    </w:rPr>
  </w:style>
  <w:style w:type="paragraph" w:customStyle="1" w:styleId="NormalAR">
    <w:name w:val="Normal AR"/>
    <w:basedOn w:val="Normal"/>
    <w:rsid w:val="00BD56C2"/>
    <w:pPr>
      <w:bidi/>
      <w:spacing w:after="120" w:line="340" w:lineRule="exact"/>
      <w:ind w:left="1021"/>
    </w:pPr>
    <w:rPr>
      <w:rFonts w:ascii="Arabic Typesetting" w:hAnsi="Arabic Typesetting" w:cs="Arabic Typesetting"/>
      <w:sz w:val="34"/>
      <w:szCs w:val="34"/>
      <w:lang w:bidi="ar-EG"/>
    </w:rPr>
  </w:style>
  <w:style w:type="character" w:styleId="Hyperlink">
    <w:name w:val="Hyperlink"/>
    <w:basedOn w:val="DefaultParagraphFont"/>
    <w:rsid w:val="00BD56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E47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4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istorymuseum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ya.anderson@historymuse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1629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SCCR/32/-- (Arabic)</vt:lpstr>
    </vt:vector>
  </TitlesOfParts>
  <Company>World Intellectual Property Organization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SCCR/32/-- (Arabic)</dc:title>
  <dc:creator>HAIZEL Francesca</dc:creator>
  <cp:lastModifiedBy>HAIZEL Francesca</cp:lastModifiedBy>
  <cp:revision>2</cp:revision>
  <cp:lastPrinted>2011-07-08T12:30:00Z</cp:lastPrinted>
  <dcterms:created xsi:type="dcterms:W3CDTF">2016-03-14T12:06:00Z</dcterms:created>
  <dcterms:modified xsi:type="dcterms:W3CDTF">2016-03-14T12:06:00Z</dcterms:modified>
</cp:coreProperties>
</file>