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496750">
            <w:pPr>
              <w:pStyle w:val="DocumentCodeAR"/>
              <w:bidi/>
              <w:rPr>
                <w:rtl/>
              </w:rPr>
            </w:pPr>
          </w:p>
        </w:tc>
      </w:tr>
      <w:tr w:rsidR="001667B6" w:rsidTr="00BF164F">
        <w:tc>
          <w:tcPr>
            <w:tcW w:w="9571" w:type="dxa"/>
            <w:gridSpan w:val="3"/>
          </w:tcPr>
          <w:p w:rsidR="001667B6" w:rsidRPr="00B6101C" w:rsidRDefault="00B6101C" w:rsidP="00CA672E">
            <w:pPr>
              <w:pStyle w:val="DocumentLanguageAR"/>
              <w:bidi/>
              <w:rPr>
                <w:rtl/>
              </w:rPr>
            </w:pPr>
            <w:r w:rsidRPr="00B6101C">
              <w:rPr>
                <w:rFonts w:hint="cs"/>
                <w:rtl/>
              </w:rPr>
              <w:t xml:space="preserve">الأصل: </w:t>
            </w:r>
            <w:r w:rsidR="00CA672E">
              <w:rPr>
                <w:rFonts w:hint="cs"/>
                <w:rtl/>
              </w:rPr>
              <w:t>بالإنكليزية</w:t>
            </w:r>
          </w:p>
        </w:tc>
      </w:tr>
      <w:tr w:rsidR="001667B6" w:rsidTr="00BF164F">
        <w:tc>
          <w:tcPr>
            <w:tcW w:w="9571" w:type="dxa"/>
            <w:gridSpan w:val="3"/>
          </w:tcPr>
          <w:p w:rsidR="001667B6" w:rsidRPr="00B6101C" w:rsidRDefault="00B6101C" w:rsidP="00CA672E">
            <w:pPr>
              <w:pStyle w:val="DocumentDateAR"/>
              <w:bidi/>
              <w:rPr>
                <w:rtl/>
              </w:rPr>
            </w:pPr>
            <w:r w:rsidRPr="00B6101C">
              <w:rPr>
                <w:rFonts w:hint="cs"/>
                <w:rtl/>
              </w:rPr>
              <w:t xml:space="preserve">التاريخ: </w:t>
            </w:r>
            <w:r w:rsidR="00CA672E">
              <w:rPr>
                <w:rFonts w:hint="cs"/>
                <w:rtl/>
              </w:rPr>
              <w:t>5</w:t>
            </w:r>
            <w:r w:rsidRPr="00B6101C">
              <w:rPr>
                <w:rFonts w:hint="cs"/>
                <w:rtl/>
              </w:rPr>
              <w:t xml:space="preserve"> </w:t>
            </w:r>
            <w:r w:rsidR="00CA672E">
              <w:rPr>
                <w:rFonts w:hint="cs"/>
                <w:rtl/>
              </w:rPr>
              <w:t>مايو</w:t>
            </w:r>
            <w:r w:rsidRPr="00B6101C">
              <w:rPr>
                <w:rFonts w:hint="cs"/>
                <w:rtl/>
              </w:rPr>
              <w:t xml:space="preserve">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4F24AC" w:rsidP="00A902C4">
      <w:pPr>
        <w:pStyle w:val="MeetingSessionAR"/>
        <w:bidi/>
        <w:rPr>
          <w:rFonts w:ascii="Cambria Math" w:hAnsi="Cambria Math"/>
          <w:rtl/>
        </w:rPr>
      </w:pPr>
      <w:r>
        <w:rPr>
          <w:rFonts w:ascii="Cambria Math" w:hAnsi="Cambria Math"/>
          <w:rtl/>
        </w:rPr>
        <w:t xml:space="preserve">الدورة </w:t>
      </w:r>
      <w:r w:rsidR="00A902C4">
        <w:rPr>
          <w:rFonts w:ascii="Cambria Math" w:hAnsi="Cambria Math" w:hint="cs"/>
          <w:rtl/>
        </w:rPr>
        <w:t>الرابعة</w:t>
      </w:r>
      <w:r w:rsidR="00F40476" w:rsidRPr="00F40476">
        <w:rPr>
          <w:rFonts w:ascii="Cambria Math" w:hAnsi="Cambria Math"/>
          <w:rtl/>
        </w:rPr>
        <w:t xml:space="preserve"> والثلاثون</w:t>
      </w:r>
    </w:p>
    <w:p w:rsidR="00D61541" w:rsidRPr="00D61541" w:rsidRDefault="00F40476" w:rsidP="00A902C4">
      <w:pPr>
        <w:pStyle w:val="MeetingDatesAR"/>
        <w:bidi/>
        <w:rPr>
          <w:rtl/>
        </w:rPr>
      </w:pPr>
      <w:r w:rsidRPr="00F40476">
        <w:rPr>
          <w:rtl/>
        </w:rPr>
        <w:t xml:space="preserve">جنيف، من </w:t>
      </w:r>
      <w:r w:rsidR="00A902C4">
        <w:rPr>
          <w:rFonts w:hint="cs"/>
          <w:rtl/>
        </w:rPr>
        <w:t>1</w:t>
      </w:r>
      <w:r w:rsidRPr="00F40476">
        <w:rPr>
          <w:rtl/>
        </w:rPr>
        <w:t xml:space="preserve"> إلى </w:t>
      </w:r>
      <w:r w:rsidR="00A902C4">
        <w:rPr>
          <w:rFonts w:hint="cs"/>
          <w:rtl/>
        </w:rPr>
        <w:t>5</w:t>
      </w:r>
      <w:r w:rsidRPr="00F40476">
        <w:rPr>
          <w:rtl/>
        </w:rPr>
        <w:t xml:space="preserve"> </w:t>
      </w:r>
      <w:r w:rsidR="00A902C4">
        <w:rPr>
          <w:rFonts w:hint="cs"/>
          <w:rtl/>
        </w:rPr>
        <w:t xml:space="preserve">مايو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D2E54" w:rsidP="00FB7EC9">
      <w:pPr>
        <w:pStyle w:val="DocumentTitleAR"/>
        <w:bidi/>
        <w:rPr>
          <w:rtl/>
        </w:rPr>
      </w:pPr>
      <w:r>
        <w:rPr>
          <w:rFonts w:hint="cs"/>
          <w:rtl/>
        </w:rPr>
        <w:t>ملخص الرئيس</w:t>
      </w:r>
    </w:p>
    <w:p w:rsidR="00D61541" w:rsidRPr="00D61541" w:rsidRDefault="00D61541" w:rsidP="00931859">
      <w:pPr>
        <w:pStyle w:val="PreparedbyAR"/>
        <w:bidi/>
        <w:rPr>
          <w:rtl/>
        </w:rPr>
      </w:pPr>
    </w:p>
    <w:p w:rsidR="000C4522" w:rsidRDefault="000C4522">
      <w:pPr>
        <w:rPr>
          <w:rFonts w:ascii="Arabic Typesetting" w:hAnsi="Arabic Typesetting" w:cs="Arabic Typesetting"/>
          <w:sz w:val="36"/>
          <w:szCs w:val="36"/>
          <w:rtl/>
        </w:rPr>
      </w:pPr>
      <w:r>
        <w:rPr>
          <w:rtl/>
        </w:rPr>
        <w:br w:type="page"/>
      </w:r>
    </w:p>
    <w:p w:rsidR="000C4522" w:rsidRDefault="000C4522" w:rsidP="000C4522">
      <w:pPr>
        <w:pStyle w:val="NormalParaAR"/>
        <w:keepNext/>
        <w:rPr>
          <w:b/>
          <w:bCs/>
          <w:sz w:val="40"/>
          <w:szCs w:val="40"/>
        </w:rPr>
      </w:pPr>
      <w:r>
        <w:rPr>
          <w:rFonts w:hint="cs"/>
          <w:b/>
          <w:bCs/>
          <w:sz w:val="40"/>
          <w:szCs w:val="40"/>
          <w:rtl/>
        </w:rPr>
        <w:lastRenderedPageBreak/>
        <w:t>البند 1 من جدول الأعمال: افتتاح الدورة</w:t>
      </w:r>
    </w:p>
    <w:p w:rsidR="000C4522" w:rsidRPr="00E37AD6" w:rsidRDefault="00E37AD6" w:rsidP="00E37AD6">
      <w:pPr>
        <w:pStyle w:val="NumberedParaAR"/>
        <w:numPr>
          <w:ilvl w:val="0"/>
          <w:numId w:val="21"/>
        </w:numPr>
        <w:rPr>
          <w:rtl/>
        </w:rPr>
      </w:pPr>
      <w:r w:rsidRPr="00E37AD6">
        <w:rPr>
          <w:rFonts w:hint="cs"/>
          <w:rtl/>
        </w:rPr>
        <w:t>افتتح السيد فرانسس غري</w:t>
      </w:r>
      <w:r w:rsidR="000C4522" w:rsidRPr="00E37AD6">
        <w:rPr>
          <w:rFonts w:hint="cs"/>
          <w:rtl/>
        </w:rPr>
        <w:t xml:space="preserve">، المدير العام، الدورة </w:t>
      </w:r>
      <w:r w:rsidRPr="00E37AD6">
        <w:rPr>
          <w:rFonts w:hint="cs"/>
          <w:rtl/>
        </w:rPr>
        <w:t>الرابعة</w:t>
      </w:r>
      <w:r w:rsidR="000C4522" w:rsidRPr="00E37AD6">
        <w:rPr>
          <w:rFonts w:hint="cs"/>
          <w:rtl/>
        </w:rPr>
        <w:t xml:space="preserve"> والثلاثين للجنة الدائمة المعنية بحق المؤلف والحقوق المجاورة (</w:t>
      </w:r>
      <w:r w:rsidRPr="00E37AD6">
        <w:rPr>
          <w:rFonts w:hint="cs"/>
          <w:rtl/>
        </w:rPr>
        <w:t>لجنة حق المؤلف أو اللجنة)، ورحب</w:t>
      </w:r>
      <w:r w:rsidR="000C4522" w:rsidRPr="00E37AD6">
        <w:rPr>
          <w:rFonts w:hint="cs"/>
          <w:rtl/>
        </w:rPr>
        <w:t xml:space="preserve"> بالمشاركين. وتولت السيد ميشيل وودز (الويبو) مهمة أمين اللجنة.</w:t>
      </w:r>
    </w:p>
    <w:p w:rsidR="00967627" w:rsidRDefault="00967627" w:rsidP="00967627">
      <w:pPr>
        <w:pStyle w:val="NormalParaAR"/>
        <w:keepNext/>
        <w:rPr>
          <w:b/>
          <w:bCs/>
          <w:sz w:val="40"/>
          <w:szCs w:val="40"/>
          <w:rtl/>
        </w:rPr>
      </w:pPr>
      <w:r>
        <w:rPr>
          <w:rFonts w:hint="cs"/>
          <w:b/>
          <w:bCs/>
          <w:sz w:val="40"/>
          <w:szCs w:val="40"/>
          <w:rtl/>
        </w:rPr>
        <w:t xml:space="preserve">البند 2 من جدول الأعمال: </w:t>
      </w:r>
      <w:r w:rsidRPr="00967627">
        <w:rPr>
          <w:rFonts w:hint="cs"/>
          <w:b/>
          <w:bCs/>
          <w:sz w:val="40"/>
          <w:szCs w:val="40"/>
          <w:rtl/>
        </w:rPr>
        <w:t>انتخاب الرئيس ونائبي الرئيس</w:t>
      </w:r>
    </w:p>
    <w:p w:rsidR="00967627" w:rsidRPr="00E37AD6" w:rsidRDefault="00967627" w:rsidP="00E37AD6">
      <w:pPr>
        <w:pStyle w:val="NumberedParaAR"/>
        <w:numPr>
          <w:ilvl w:val="0"/>
          <w:numId w:val="21"/>
        </w:numPr>
        <w:rPr>
          <w:rtl/>
        </w:rPr>
      </w:pPr>
      <w:r w:rsidRPr="00E37AD6">
        <w:rPr>
          <w:rFonts w:hint="cs"/>
          <w:rtl/>
        </w:rPr>
        <w:t>انتخبت اللجنة السيد</w:t>
      </w:r>
      <w:r w:rsidR="00E37AD6" w:rsidRPr="00E37AD6">
        <w:rPr>
          <w:rFonts w:hint="cs"/>
          <w:rtl/>
        </w:rPr>
        <w:t xml:space="preserve"> دارين تانغ هينغ شيم </w:t>
      </w:r>
      <w:r w:rsidRPr="00E37AD6">
        <w:rPr>
          <w:rFonts w:hint="cs"/>
          <w:rtl/>
        </w:rPr>
        <w:t>ر</w:t>
      </w:r>
      <w:r w:rsidR="00E37AD6" w:rsidRPr="00E37AD6">
        <w:rPr>
          <w:rFonts w:hint="cs"/>
          <w:rtl/>
        </w:rPr>
        <w:t>ئيسا للجنة، وانتخبت السيد كارول كوشينيكي والسيد عبد العزيز ديينغ نائبين للرئيس للفترة المبتدئة مع افتتاح الدورة الرابعة والثلاثين للجنة وحتى افتتاح الدورة الثامنة والثلاثين للجنة.</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3</w:t>
      </w:r>
      <w:r>
        <w:rPr>
          <w:rFonts w:hint="cs"/>
          <w:b/>
          <w:bCs/>
          <w:sz w:val="40"/>
          <w:szCs w:val="40"/>
          <w:rtl/>
        </w:rPr>
        <w:t xml:space="preserve"> من جدول الأعمال: اعتماد جدول أعمال الدورة </w:t>
      </w:r>
      <w:r w:rsidR="00967627">
        <w:rPr>
          <w:rFonts w:hint="cs"/>
          <w:b/>
          <w:bCs/>
          <w:sz w:val="40"/>
          <w:szCs w:val="40"/>
          <w:rtl/>
        </w:rPr>
        <w:t>الرابعة</w:t>
      </w:r>
      <w:r>
        <w:rPr>
          <w:rFonts w:hint="cs"/>
          <w:b/>
          <w:bCs/>
          <w:sz w:val="40"/>
          <w:szCs w:val="40"/>
          <w:rtl/>
        </w:rPr>
        <w:t xml:space="preserve"> والثلاثين</w:t>
      </w:r>
    </w:p>
    <w:p w:rsidR="000C4522" w:rsidRDefault="000C4522" w:rsidP="00797D66">
      <w:pPr>
        <w:pStyle w:val="NumberedParaAR"/>
        <w:numPr>
          <w:ilvl w:val="0"/>
          <w:numId w:val="21"/>
        </w:numPr>
      </w:pPr>
      <w:r w:rsidRPr="00191D89">
        <w:rPr>
          <w:rFonts w:hint="cs"/>
          <w:rtl/>
        </w:rPr>
        <w:t>اعتمدت اللجنة مشروع جدول الأعمال (الوثيقة </w:t>
      </w:r>
      <w:r w:rsidRPr="00191D89">
        <w:t>SCCR/</w:t>
      </w:r>
      <w:r w:rsidR="00E37AD6" w:rsidRPr="00191D89">
        <w:t>34</w:t>
      </w:r>
      <w:r w:rsidRPr="00191D89">
        <w:t>/1 PROV.</w:t>
      </w:r>
      <w:r w:rsidRPr="00191D89">
        <w:rPr>
          <w:rFonts w:hint="cs"/>
          <w:rtl/>
        </w:rPr>
        <w:t>).</w:t>
      </w:r>
      <w:r w:rsidR="00E37AD6" w:rsidRPr="00191D89">
        <w:rPr>
          <w:rFonts w:hint="cs"/>
          <w:rtl/>
        </w:rPr>
        <w:t xml:space="preserve"> والتُمس من الأمانة تقديم عرض موجز عن تنفيذ معاهدة مراكش ضمن البند</w:t>
      </w:r>
      <w:r w:rsidR="00797D66">
        <w:rPr>
          <w:rFonts w:hint="eastAsia"/>
          <w:rtl/>
        </w:rPr>
        <w:t> </w:t>
      </w:r>
      <w:r w:rsidR="00E37AD6" w:rsidRPr="00191D89">
        <w:rPr>
          <w:rFonts w:hint="cs"/>
          <w:rtl/>
        </w:rPr>
        <w:t>9 من جدول</w:t>
      </w:r>
      <w:r w:rsidR="00191D89" w:rsidRPr="00191D89">
        <w:rPr>
          <w:rFonts w:hint="cs"/>
          <w:rtl/>
        </w:rPr>
        <w:t xml:space="preserve"> الأعمال، </w:t>
      </w:r>
      <w:r w:rsidR="00797D66">
        <w:rPr>
          <w:rFonts w:hint="cs"/>
          <w:rtl/>
        </w:rPr>
        <w:t xml:space="preserve">أي </w:t>
      </w:r>
      <w:r w:rsidR="00E37AD6" w:rsidRPr="00191D89">
        <w:rPr>
          <w:rFonts w:hint="cs"/>
          <w:rtl/>
        </w:rPr>
        <w:t>مسائل أخرى.</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4</w:t>
      </w:r>
      <w:r>
        <w:rPr>
          <w:rFonts w:hint="cs"/>
          <w:b/>
          <w:bCs/>
          <w:sz w:val="40"/>
          <w:szCs w:val="40"/>
          <w:rtl/>
        </w:rPr>
        <w:t xml:space="preserve"> من جدول الأعمال: اعتماد منظمات غير حكومية جديدة</w:t>
      </w:r>
    </w:p>
    <w:p w:rsidR="000C4522" w:rsidRDefault="000C4522" w:rsidP="00B86775">
      <w:pPr>
        <w:pStyle w:val="NumberedParaAR"/>
        <w:numPr>
          <w:ilvl w:val="0"/>
          <w:numId w:val="21"/>
        </w:numPr>
      </w:pPr>
      <w:r w:rsidRPr="00191D89">
        <w:rPr>
          <w:rFonts w:hint="cs"/>
          <w:rtl/>
        </w:rPr>
        <w:t>وافقت اللجنة على منح</w:t>
      </w:r>
      <w:r w:rsidR="00191D89" w:rsidRPr="00191D89">
        <w:rPr>
          <w:rFonts w:hint="cs"/>
          <w:rtl/>
        </w:rPr>
        <w:t xml:space="preserve"> صفة المراقب في دوراتها للمنظم</w:t>
      </w:r>
      <w:r w:rsidR="00B86775">
        <w:rPr>
          <w:rFonts w:hint="cs"/>
          <w:rtl/>
        </w:rPr>
        <w:t>تين</w:t>
      </w:r>
      <w:r w:rsidR="00191D89" w:rsidRPr="00191D89">
        <w:rPr>
          <w:rFonts w:hint="cs"/>
          <w:rtl/>
        </w:rPr>
        <w:t xml:space="preserve"> غير الحكومي</w:t>
      </w:r>
      <w:r w:rsidR="00B86775">
        <w:rPr>
          <w:rFonts w:hint="cs"/>
          <w:rtl/>
        </w:rPr>
        <w:t>تين</w:t>
      </w:r>
      <w:r w:rsidRPr="00191D89">
        <w:rPr>
          <w:rFonts w:hint="cs"/>
          <w:rtl/>
        </w:rPr>
        <w:t xml:space="preserve"> المشار إليه</w:t>
      </w:r>
      <w:r w:rsidR="00B86775">
        <w:rPr>
          <w:rFonts w:hint="cs"/>
          <w:rtl/>
        </w:rPr>
        <w:t>م</w:t>
      </w:r>
      <w:r w:rsidR="00191D89" w:rsidRPr="00191D89">
        <w:rPr>
          <w:rFonts w:hint="cs"/>
          <w:rtl/>
        </w:rPr>
        <w:t>ا في مرفق</w:t>
      </w:r>
      <w:r w:rsidR="00B86775">
        <w:rPr>
          <w:rFonts w:hint="cs"/>
          <w:rtl/>
        </w:rPr>
        <w:t>ي</w:t>
      </w:r>
      <w:r w:rsidRPr="00191D89">
        <w:rPr>
          <w:rFonts w:hint="cs"/>
          <w:rtl/>
        </w:rPr>
        <w:t xml:space="preserve"> الوثيقة </w:t>
      </w:r>
      <w:r w:rsidR="00191D89" w:rsidRPr="00191D89">
        <w:t>SCCR/34/2</w:t>
      </w:r>
      <w:r w:rsidR="00191D89" w:rsidRPr="00191D89">
        <w:rPr>
          <w:rFonts w:hint="cs"/>
          <w:rtl/>
        </w:rPr>
        <w:t>، وه</w:t>
      </w:r>
      <w:r w:rsidR="00B86775">
        <w:rPr>
          <w:rFonts w:hint="cs"/>
          <w:rtl/>
        </w:rPr>
        <w:t>ما</w:t>
      </w:r>
      <w:r w:rsidRPr="00191D89">
        <w:rPr>
          <w:rFonts w:hint="cs"/>
          <w:rtl/>
        </w:rPr>
        <w:t xml:space="preserve"> </w:t>
      </w:r>
      <w:r w:rsidR="00191D89" w:rsidRPr="00191D89">
        <w:rPr>
          <w:rtl/>
        </w:rPr>
        <w:t>جبهة تمثيل الفنانين الكنديين (</w:t>
      </w:r>
      <w:r w:rsidR="00191D89" w:rsidRPr="00191D89">
        <w:t>CARFAC</w:t>
      </w:r>
      <w:r w:rsidR="00191D89" w:rsidRPr="00191D89">
        <w:rPr>
          <w:rtl/>
        </w:rPr>
        <w:t>)</w:t>
      </w:r>
      <w:r w:rsidR="00191D89" w:rsidRPr="00191D89">
        <w:rPr>
          <w:rFonts w:hint="cs"/>
          <w:rtl/>
        </w:rPr>
        <w:t>، و</w:t>
      </w:r>
      <w:r w:rsidR="00191D89" w:rsidRPr="00191D89">
        <w:rPr>
          <w:rtl/>
        </w:rPr>
        <w:t>اتحاد المؤلفين الإيطاليين (</w:t>
      </w:r>
      <w:r w:rsidR="00191D89" w:rsidRPr="00191D89">
        <w:t>FUIS</w:t>
      </w:r>
      <w:r w:rsidR="00191D89" w:rsidRPr="00191D89">
        <w:rPr>
          <w:rtl/>
        </w:rPr>
        <w:t>)</w:t>
      </w:r>
      <w:r w:rsidR="00191D89">
        <w:rPr>
          <w:rFonts w:hint="cs"/>
          <w:rtl/>
        </w:rPr>
        <w:t xml:space="preserve">، </w:t>
      </w:r>
      <w:r w:rsidR="00B86775">
        <w:rPr>
          <w:rFonts w:hint="cs"/>
          <w:rtl/>
        </w:rPr>
        <w:t>وكذلك لجمعية</w:t>
      </w:r>
      <w:r w:rsidR="00191D89">
        <w:rPr>
          <w:rFonts w:hint="cs"/>
          <w:rtl/>
        </w:rPr>
        <w:t> </w:t>
      </w:r>
      <w:r w:rsidR="00191D89" w:rsidRPr="00191D89">
        <w:t>CONVERGENCE</w:t>
      </w:r>
      <w:r w:rsidR="00191D89">
        <w:rPr>
          <w:rFonts w:hint="cs"/>
          <w:rtl/>
        </w:rPr>
        <w:t>.</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5</w:t>
      </w:r>
      <w:r>
        <w:rPr>
          <w:rFonts w:hint="cs"/>
          <w:b/>
          <w:bCs/>
          <w:sz w:val="40"/>
          <w:szCs w:val="40"/>
          <w:rtl/>
        </w:rPr>
        <w:t xml:space="preserve"> من جدول الأعمال: اعتماد مشروع تقرير الدورة </w:t>
      </w:r>
      <w:r w:rsidR="00967627">
        <w:rPr>
          <w:rFonts w:hint="cs"/>
          <w:b/>
          <w:bCs/>
          <w:sz w:val="40"/>
          <w:szCs w:val="40"/>
          <w:rtl/>
        </w:rPr>
        <w:t>الثالثة</w:t>
      </w:r>
      <w:r>
        <w:rPr>
          <w:rFonts w:hint="cs"/>
          <w:b/>
          <w:bCs/>
          <w:sz w:val="40"/>
          <w:szCs w:val="40"/>
          <w:rtl/>
        </w:rPr>
        <w:t xml:space="preserve"> والثلاثين</w:t>
      </w:r>
    </w:p>
    <w:p w:rsidR="000C4522" w:rsidRDefault="000C4522" w:rsidP="00955926">
      <w:pPr>
        <w:pStyle w:val="NumberedParaAR"/>
        <w:numPr>
          <w:ilvl w:val="0"/>
          <w:numId w:val="21"/>
        </w:numPr>
        <w:rPr>
          <w:rtl/>
        </w:rPr>
      </w:pPr>
      <w:r w:rsidRPr="00955926">
        <w:rPr>
          <w:rFonts w:hint="cs"/>
          <w:rtl/>
        </w:rPr>
        <w:t xml:space="preserve">اعتمدت اللجنة مشروع تقرير دورتها </w:t>
      </w:r>
      <w:r w:rsidR="004A4126" w:rsidRPr="00955926">
        <w:rPr>
          <w:rFonts w:hint="cs"/>
          <w:rtl/>
        </w:rPr>
        <w:t>الثالثة</w:t>
      </w:r>
      <w:r w:rsidRPr="00955926">
        <w:rPr>
          <w:rFonts w:hint="cs"/>
          <w:rtl/>
        </w:rPr>
        <w:t xml:space="preserve"> والثلاثين (الوثيقة </w:t>
      </w:r>
      <w:r w:rsidR="004A4126" w:rsidRPr="00955926">
        <w:t>SCCR/33/7 PROV.</w:t>
      </w:r>
      <w:r w:rsidRPr="00955926">
        <w:rPr>
          <w:rFonts w:hint="cs"/>
          <w:rtl/>
        </w:rPr>
        <w:t xml:space="preserve">). ودُعيت الوفود والجهات المراقبة إلى إرسال أية تعليقات بشأن بياناتها إلى الأمانة على العنوان الإلكتروني التالي: </w:t>
      </w:r>
      <w:hyperlink r:id="rId9" w:history="1">
        <w:r w:rsidRPr="00955926">
          <w:rPr>
            <w:rStyle w:val="Hyperlink"/>
          </w:rPr>
          <w:t>copyright.mail@wipo.int</w:t>
        </w:r>
      </w:hyperlink>
      <w:r w:rsidRPr="00955926">
        <w:rPr>
          <w:rFonts w:hint="cs"/>
          <w:rtl/>
        </w:rPr>
        <w:t>، وذلك في موعد أقصاه 15 </w:t>
      </w:r>
      <w:r w:rsidR="00955926" w:rsidRPr="00955926">
        <w:rPr>
          <w:rFonts w:hint="cs"/>
          <w:rtl/>
        </w:rPr>
        <w:t>يونيو</w:t>
      </w:r>
      <w:r w:rsidRPr="00955926">
        <w:rPr>
          <w:rFonts w:hint="cs"/>
          <w:rtl/>
        </w:rPr>
        <w:t> </w:t>
      </w:r>
      <w:r w:rsidR="00955926" w:rsidRPr="00955926">
        <w:rPr>
          <w:rFonts w:hint="cs"/>
          <w:rtl/>
        </w:rPr>
        <w:t>2017</w:t>
      </w:r>
      <w:r w:rsidRPr="00955926">
        <w:rPr>
          <w:rFonts w:hint="cs"/>
          <w:rtl/>
        </w:rPr>
        <w:t>.</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6</w:t>
      </w:r>
      <w:r>
        <w:rPr>
          <w:rFonts w:hint="cs"/>
          <w:b/>
          <w:bCs/>
          <w:sz w:val="40"/>
          <w:szCs w:val="40"/>
          <w:rtl/>
        </w:rPr>
        <w:t xml:space="preserve"> من جدول الأعمال: حماية هيئات البث</w:t>
      </w:r>
    </w:p>
    <w:p w:rsidR="000C4522" w:rsidRPr="00F156B4" w:rsidRDefault="000C4522" w:rsidP="00052FA3">
      <w:pPr>
        <w:pStyle w:val="NumberedParaAR"/>
        <w:numPr>
          <w:ilvl w:val="0"/>
          <w:numId w:val="21"/>
        </w:numPr>
        <w:rPr>
          <w:rtl/>
        </w:rPr>
      </w:pPr>
      <w:r w:rsidRPr="00F156B4">
        <w:rPr>
          <w:rFonts w:hint="cs"/>
          <w:rtl/>
        </w:rPr>
        <w:t xml:space="preserve">الوثائق المتعلقة بهذا البند من جدول الأعمال هي </w:t>
      </w:r>
      <w:r w:rsidRPr="00F156B4">
        <w:t>SCCR/27/2 REV.</w:t>
      </w:r>
      <w:r w:rsidRPr="00F156B4">
        <w:rPr>
          <w:rFonts w:hint="cs"/>
          <w:rtl/>
        </w:rPr>
        <w:t xml:space="preserve"> و</w:t>
      </w:r>
      <w:r w:rsidRPr="00F156B4">
        <w:t xml:space="preserve"> SCCR/27/6</w:t>
      </w:r>
      <w:r w:rsidRPr="00F156B4">
        <w:rPr>
          <w:rFonts w:hint="cs"/>
          <w:rtl/>
        </w:rPr>
        <w:t>و</w:t>
      </w:r>
      <w:r w:rsidRPr="00F156B4">
        <w:t>SCCR/30/5</w:t>
      </w:r>
      <w:r w:rsidRPr="00F156B4">
        <w:rPr>
          <w:rFonts w:hint="cs"/>
          <w:rtl/>
        </w:rPr>
        <w:t xml:space="preserve"> و</w:t>
      </w:r>
      <w:r w:rsidRPr="00F156B4">
        <w:t>SCCR/31/3</w:t>
      </w:r>
      <w:r w:rsidRPr="00F156B4">
        <w:rPr>
          <w:rFonts w:hint="cs"/>
          <w:rtl/>
        </w:rPr>
        <w:t xml:space="preserve"> و</w:t>
      </w:r>
      <w:r w:rsidRPr="00F156B4">
        <w:t>SCCR/32/3</w:t>
      </w:r>
      <w:r w:rsidRPr="00F156B4">
        <w:rPr>
          <w:rFonts w:hint="cs"/>
          <w:rtl/>
        </w:rPr>
        <w:t xml:space="preserve"> و</w:t>
      </w:r>
      <w:r w:rsidRPr="00F156B4">
        <w:t>SCCR/33/3</w:t>
      </w:r>
      <w:r w:rsidRPr="00F156B4">
        <w:rPr>
          <w:rFonts w:hint="cs"/>
          <w:rtl/>
        </w:rPr>
        <w:t xml:space="preserve"> و</w:t>
      </w:r>
      <w:r w:rsidRPr="00F156B4">
        <w:t>SCCR/33/5</w:t>
      </w:r>
      <w:r w:rsidR="00F156B4" w:rsidRPr="00F156B4">
        <w:rPr>
          <w:rFonts w:hint="cs"/>
          <w:rtl/>
        </w:rPr>
        <w:t xml:space="preserve"> و</w:t>
      </w:r>
      <w:r w:rsidR="00F156B4" w:rsidRPr="00F156B4">
        <w:t>SCCR/34/3</w:t>
      </w:r>
      <w:r w:rsidR="00052FA3">
        <w:rPr>
          <w:rFonts w:hint="cs"/>
          <w:rtl/>
        </w:rPr>
        <w:t xml:space="preserve">، فضلا عن رسوم بيانية وورقات </w:t>
      </w:r>
      <w:r w:rsidRPr="00F156B4">
        <w:rPr>
          <w:rFonts w:hint="cs"/>
          <w:rtl/>
        </w:rPr>
        <w:t>ع</w:t>
      </w:r>
      <w:r w:rsidR="00F156B4" w:rsidRPr="00F156B4">
        <w:rPr>
          <w:rFonts w:hint="cs"/>
          <w:rtl/>
        </w:rPr>
        <w:t>مل غير الرسمية أعدت خلال الاجتماعات السابقة.</w:t>
      </w:r>
    </w:p>
    <w:p w:rsidR="000C4522" w:rsidRDefault="000C4522" w:rsidP="00B86775">
      <w:pPr>
        <w:pStyle w:val="NumberedParaAR"/>
        <w:numPr>
          <w:ilvl w:val="0"/>
          <w:numId w:val="21"/>
        </w:numPr>
      </w:pPr>
      <w:r w:rsidRPr="00DA7D0A">
        <w:rPr>
          <w:rFonts w:hint="cs"/>
          <w:rtl/>
        </w:rPr>
        <w:t>و</w:t>
      </w:r>
      <w:r w:rsidR="004A083F" w:rsidRPr="00DA7D0A">
        <w:rPr>
          <w:rFonts w:hint="cs"/>
          <w:rtl/>
        </w:rPr>
        <w:t xml:space="preserve">فيما يخص حماية هيئات البث، </w:t>
      </w:r>
      <w:r w:rsidRPr="00DA7D0A">
        <w:rPr>
          <w:rFonts w:hint="cs"/>
          <w:rtl/>
        </w:rPr>
        <w:t xml:space="preserve">رحبت اللجنة </w:t>
      </w:r>
      <w:r w:rsidR="004A083F" w:rsidRPr="00DA7D0A">
        <w:rPr>
          <w:rFonts w:hint="cs"/>
          <w:rtl/>
        </w:rPr>
        <w:t>بالنسخة الجديدة من الوثيقة المعنونة</w:t>
      </w:r>
      <w:r w:rsidRPr="00DA7D0A">
        <w:rPr>
          <w:rFonts w:hint="cs"/>
          <w:rtl/>
        </w:rPr>
        <w:t xml:space="preserve"> </w:t>
      </w:r>
      <w:r w:rsidR="004A083F" w:rsidRPr="0034013A">
        <w:rPr>
          <w:i/>
          <w:iCs/>
          <w:rtl/>
        </w:rPr>
        <w:t>نص موحد ومراجَع بشأن التعاريف وموضوع الحماية والحقوق المزمع منحها وقضايا أخرى</w:t>
      </w:r>
      <w:r w:rsidR="004A083F" w:rsidRPr="0034013A">
        <w:rPr>
          <w:rFonts w:hint="cs"/>
          <w:i/>
          <w:iCs/>
          <w:rtl/>
        </w:rPr>
        <w:t xml:space="preserve"> </w:t>
      </w:r>
      <w:r w:rsidR="004A083F" w:rsidRPr="00DA7D0A">
        <w:rPr>
          <w:rFonts w:hint="cs"/>
          <w:rtl/>
        </w:rPr>
        <w:t>(الوثيقة</w:t>
      </w:r>
      <w:r w:rsidR="00DA7D0A" w:rsidRPr="00DA7D0A">
        <w:rPr>
          <w:rFonts w:hint="eastAsia"/>
          <w:rtl/>
        </w:rPr>
        <w:t> </w:t>
      </w:r>
      <w:r w:rsidR="004A083F" w:rsidRPr="00DA7D0A">
        <w:t>SCCR/34/3</w:t>
      </w:r>
      <w:r w:rsidR="004A083F" w:rsidRPr="00DA7D0A">
        <w:rPr>
          <w:rFonts w:hint="cs"/>
          <w:rtl/>
        </w:rPr>
        <w:t xml:space="preserve">). </w:t>
      </w:r>
      <w:r w:rsidR="00300917">
        <w:rPr>
          <w:rFonts w:hint="cs"/>
          <w:rtl/>
        </w:rPr>
        <w:t>وناقشت اللجنة</w:t>
      </w:r>
      <w:r w:rsidR="00300917">
        <w:t xml:space="preserve"> </w:t>
      </w:r>
      <w:r w:rsidR="004A083F" w:rsidRPr="00DA7D0A">
        <w:rPr>
          <w:rFonts w:hint="cs"/>
          <w:rtl/>
        </w:rPr>
        <w:t>الوثيقة</w:t>
      </w:r>
      <w:r w:rsidR="004A083F" w:rsidRPr="00DA7D0A">
        <w:rPr>
          <w:rFonts w:hint="eastAsia"/>
          <w:rtl/>
        </w:rPr>
        <w:t> </w:t>
      </w:r>
      <w:r w:rsidR="004A083F" w:rsidRPr="00DA7D0A">
        <w:t>SCCR/34/3</w:t>
      </w:r>
      <w:r w:rsidRPr="00DA7D0A">
        <w:rPr>
          <w:rFonts w:hint="cs"/>
          <w:rtl/>
        </w:rPr>
        <w:t xml:space="preserve"> </w:t>
      </w:r>
      <w:r w:rsidR="00A81EB4">
        <w:rPr>
          <w:rFonts w:hint="cs"/>
          <w:rtl/>
        </w:rPr>
        <w:t xml:space="preserve">وأبدت تعليقات وقدمت اقتراحات. وجُمّعت هذه التعليقات </w:t>
      </w:r>
      <w:r w:rsidR="00300917">
        <w:rPr>
          <w:rFonts w:hint="cs"/>
          <w:rtl/>
        </w:rPr>
        <w:t>والاقتراحات</w:t>
      </w:r>
      <w:r w:rsidR="00A81EB4">
        <w:rPr>
          <w:rFonts w:hint="cs"/>
          <w:rtl/>
        </w:rPr>
        <w:t xml:space="preserve"> في </w:t>
      </w:r>
      <w:r w:rsidR="0034013A">
        <w:rPr>
          <w:rFonts w:hint="cs"/>
          <w:rtl/>
        </w:rPr>
        <w:t xml:space="preserve">وثيقة للرئيس </w:t>
      </w:r>
      <w:r w:rsidR="00B86775">
        <w:rPr>
          <w:rFonts w:hint="cs"/>
          <w:rtl/>
        </w:rPr>
        <w:t>وهي</w:t>
      </w:r>
      <w:r w:rsidR="0034013A">
        <w:rPr>
          <w:rFonts w:hint="cs"/>
          <w:rtl/>
        </w:rPr>
        <w:t xml:space="preserve"> الوثيقة</w:t>
      </w:r>
      <w:r w:rsidR="00B86775">
        <w:rPr>
          <w:rFonts w:hint="eastAsia"/>
          <w:rtl/>
        </w:rPr>
        <w:t> </w:t>
      </w:r>
      <w:r w:rsidR="0034013A" w:rsidRPr="0034013A">
        <w:t>SCCR/34/4</w:t>
      </w:r>
      <w:r w:rsidR="00300917">
        <w:rPr>
          <w:rFonts w:hint="cs"/>
          <w:rtl/>
        </w:rPr>
        <w:t>،</w:t>
      </w:r>
      <w:r w:rsidR="004A083F" w:rsidRPr="00DA7D0A">
        <w:rPr>
          <w:rFonts w:hint="cs"/>
          <w:rtl/>
        </w:rPr>
        <w:t xml:space="preserve"> على أن يُفهم من ذلك أن الوثيقة</w:t>
      </w:r>
      <w:r w:rsidR="00526691">
        <w:rPr>
          <w:rFonts w:hint="eastAsia"/>
          <w:rtl/>
        </w:rPr>
        <w:t> </w:t>
      </w:r>
      <w:r w:rsidR="004A083F" w:rsidRPr="00DA7D0A">
        <w:t>SCCR/34/4</w:t>
      </w:r>
      <w:r w:rsidR="004A083F" w:rsidRPr="00DA7D0A">
        <w:rPr>
          <w:rFonts w:hint="cs"/>
          <w:rtl/>
        </w:rPr>
        <w:t xml:space="preserve"> </w:t>
      </w:r>
      <w:r w:rsidR="009A287A" w:rsidRPr="00DA7D0A">
        <w:rPr>
          <w:rFonts w:hint="cs"/>
          <w:rtl/>
        </w:rPr>
        <w:t>مُرتّبة في ثلاثة أجزاء منفصلة لغرض تسهيل المداولات</w:t>
      </w:r>
      <w:r w:rsidRPr="00DA7D0A">
        <w:rPr>
          <w:rFonts w:hint="cs"/>
          <w:rtl/>
        </w:rPr>
        <w:t xml:space="preserve">، </w:t>
      </w:r>
      <w:r w:rsidR="009A287A" w:rsidRPr="00DA7D0A">
        <w:rPr>
          <w:rFonts w:hint="cs"/>
          <w:rtl/>
        </w:rPr>
        <w:t>ولا يُقصد من ذلك الترتيب أي غرض آخر.</w:t>
      </w:r>
    </w:p>
    <w:p w:rsidR="000C4522" w:rsidRDefault="000C4522" w:rsidP="00052FA3">
      <w:pPr>
        <w:pStyle w:val="NumberedParaAR"/>
        <w:numPr>
          <w:ilvl w:val="0"/>
          <w:numId w:val="21"/>
        </w:numPr>
      </w:pPr>
      <w:r w:rsidRPr="00052FA3">
        <w:rPr>
          <w:rFonts w:hint="cs"/>
          <w:rtl/>
        </w:rPr>
        <w:t xml:space="preserve">وسيظل هذا البند مدرجا في جدول أعمال الدورة </w:t>
      </w:r>
      <w:r w:rsidR="00052FA3" w:rsidRPr="00052FA3">
        <w:rPr>
          <w:rFonts w:hint="cs"/>
          <w:rtl/>
        </w:rPr>
        <w:t>الخامسة</w:t>
      </w:r>
      <w:r w:rsidRPr="00052FA3">
        <w:rPr>
          <w:rFonts w:hint="cs"/>
          <w:rtl/>
        </w:rPr>
        <w:t xml:space="preserve"> والثلاثين للجنة.</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7 من جدول الأعمال: تقييدات و</w:t>
      </w:r>
      <w:r>
        <w:rPr>
          <w:rFonts w:hint="cs"/>
          <w:b/>
          <w:bCs/>
          <w:sz w:val="40"/>
          <w:szCs w:val="40"/>
          <w:rtl/>
        </w:rPr>
        <w:t>استثناءات لفائدة المكتبات ودور المحفوظات</w:t>
      </w:r>
    </w:p>
    <w:p w:rsidR="000C4522" w:rsidRDefault="000C4522" w:rsidP="008B051F">
      <w:pPr>
        <w:pStyle w:val="NumberedParaAR"/>
        <w:numPr>
          <w:ilvl w:val="0"/>
          <w:numId w:val="21"/>
        </w:numPr>
        <w:rPr>
          <w:rtl/>
        </w:rPr>
      </w:pPr>
      <w:r w:rsidRPr="00052FA3">
        <w:rPr>
          <w:rFonts w:hint="cs"/>
          <w:rtl/>
        </w:rPr>
        <w:t>الوثائق المتعلقة بهذا البند من جدول الأعمال هي </w:t>
      </w:r>
      <w:r w:rsidRPr="00052FA3">
        <w:t>SCCR/26/3</w:t>
      </w:r>
      <w:r w:rsidRPr="00052FA3">
        <w:rPr>
          <w:rFonts w:hint="cs"/>
          <w:rtl/>
        </w:rPr>
        <w:t xml:space="preserve"> و</w:t>
      </w:r>
      <w:r w:rsidRPr="00052FA3">
        <w:t>SCCR/26/8</w:t>
      </w:r>
      <w:r w:rsidRPr="00052FA3">
        <w:rPr>
          <w:rFonts w:hint="cs"/>
          <w:rtl/>
        </w:rPr>
        <w:t xml:space="preserve"> و</w:t>
      </w:r>
      <w:r w:rsidRPr="00052FA3">
        <w:t>SCCR/29/4</w:t>
      </w:r>
      <w:r w:rsidRPr="00052FA3">
        <w:rPr>
          <w:rFonts w:hint="cs"/>
          <w:rtl/>
        </w:rPr>
        <w:t xml:space="preserve"> و</w:t>
      </w:r>
      <w:r w:rsidRPr="00052FA3">
        <w:t>SCCR/30/2</w:t>
      </w:r>
      <w:r w:rsidRPr="00052FA3">
        <w:rPr>
          <w:rFonts w:hint="cs"/>
          <w:rtl/>
        </w:rPr>
        <w:t xml:space="preserve"> و</w:t>
      </w:r>
      <w:r w:rsidRPr="00052FA3">
        <w:t>SCCR/30/3</w:t>
      </w:r>
      <w:r w:rsidRPr="00052FA3">
        <w:rPr>
          <w:rtl/>
        </w:rPr>
        <w:t xml:space="preserve"> </w:t>
      </w:r>
      <w:r w:rsidRPr="00052FA3">
        <w:rPr>
          <w:rFonts w:hint="cs"/>
          <w:rtl/>
        </w:rPr>
        <w:t>و</w:t>
      </w:r>
      <w:r w:rsidRPr="00052FA3">
        <w:t>SCCR/33/4</w:t>
      </w:r>
      <w:r w:rsidRPr="00052FA3">
        <w:rPr>
          <w:rFonts w:hint="cs"/>
          <w:rtl/>
        </w:rPr>
        <w:t>،</w:t>
      </w:r>
      <w:r w:rsidR="00052FA3" w:rsidRPr="00052FA3">
        <w:rPr>
          <w:rFonts w:hint="cs"/>
          <w:rtl/>
        </w:rPr>
        <w:t xml:space="preserve"> فضلا عن رسم بياني غير رسمي أعد</w:t>
      </w:r>
      <w:r w:rsidRPr="00052FA3">
        <w:rPr>
          <w:rFonts w:hint="cs"/>
          <w:rtl/>
        </w:rPr>
        <w:t xml:space="preserve"> </w:t>
      </w:r>
      <w:r w:rsidR="00544A03">
        <w:rPr>
          <w:rFonts w:hint="cs"/>
          <w:rtl/>
        </w:rPr>
        <w:t>ل</w:t>
      </w:r>
      <w:r w:rsidR="006239E6">
        <w:rPr>
          <w:rFonts w:hint="cs"/>
          <w:rtl/>
        </w:rPr>
        <w:t xml:space="preserve">اجتماع </w:t>
      </w:r>
      <w:r w:rsidR="00052FA3" w:rsidRPr="00052FA3">
        <w:rPr>
          <w:rFonts w:hint="cs"/>
          <w:rtl/>
        </w:rPr>
        <w:t>سابق</w:t>
      </w:r>
      <w:r w:rsidR="002C1B36">
        <w:rPr>
          <w:rFonts w:hint="cs"/>
          <w:rtl/>
        </w:rPr>
        <w:t xml:space="preserve"> سيُسن</w:t>
      </w:r>
      <w:r w:rsidR="00544A03">
        <w:rPr>
          <w:rFonts w:hint="cs"/>
          <w:rtl/>
        </w:rPr>
        <w:t xml:space="preserve">د إليه </w:t>
      </w:r>
      <w:r w:rsidR="008B051F">
        <w:rPr>
          <w:rFonts w:hint="cs"/>
          <w:rtl/>
        </w:rPr>
        <w:t>الرمز</w:t>
      </w:r>
      <w:r w:rsidR="008B051F">
        <w:rPr>
          <w:rFonts w:hint="eastAsia"/>
          <w:rtl/>
        </w:rPr>
        <w:t> </w:t>
      </w:r>
      <w:r w:rsidR="00544A03" w:rsidRPr="00544A03">
        <w:t>SCCR/34/5</w:t>
      </w:r>
      <w:r w:rsidR="00544A03">
        <w:rPr>
          <w:rFonts w:hint="cs"/>
          <w:rtl/>
        </w:rPr>
        <w:t xml:space="preserve"> ويكون وثيقة للرئيس. وناقشت اللجنة ال</w:t>
      </w:r>
      <w:r w:rsidR="00544A03" w:rsidRPr="00052FA3">
        <w:rPr>
          <w:rFonts w:hint="cs"/>
          <w:rtl/>
        </w:rPr>
        <w:t xml:space="preserve">رسم </w:t>
      </w:r>
      <w:r w:rsidR="00544A03">
        <w:rPr>
          <w:rFonts w:hint="cs"/>
          <w:rtl/>
        </w:rPr>
        <w:t>ال</w:t>
      </w:r>
      <w:r w:rsidR="00544A03" w:rsidRPr="00052FA3">
        <w:rPr>
          <w:rFonts w:hint="cs"/>
          <w:rtl/>
        </w:rPr>
        <w:t xml:space="preserve">بياني غير </w:t>
      </w:r>
      <w:r w:rsidR="00544A03">
        <w:rPr>
          <w:rFonts w:hint="cs"/>
          <w:rtl/>
        </w:rPr>
        <w:t>ال</w:t>
      </w:r>
      <w:r w:rsidR="00544A03" w:rsidRPr="00052FA3">
        <w:rPr>
          <w:rFonts w:hint="cs"/>
          <w:rtl/>
        </w:rPr>
        <w:t>رسمي</w:t>
      </w:r>
      <w:r w:rsidR="00544A03">
        <w:rPr>
          <w:rFonts w:hint="cs"/>
          <w:rtl/>
        </w:rPr>
        <w:t xml:space="preserve"> عن</w:t>
      </w:r>
      <w:r w:rsidR="00544A03" w:rsidRPr="00544A03">
        <w:rPr>
          <w:rtl/>
        </w:rPr>
        <w:t xml:space="preserve"> </w:t>
      </w:r>
      <w:r w:rsidR="00544A03">
        <w:rPr>
          <w:rFonts w:hint="cs"/>
          <w:rtl/>
        </w:rPr>
        <w:t>ال</w:t>
      </w:r>
      <w:r w:rsidR="00544A03" w:rsidRPr="00544A03">
        <w:rPr>
          <w:rtl/>
        </w:rPr>
        <w:t>تقييدات و</w:t>
      </w:r>
      <w:r w:rsidR="00544A03">
        <w:rPr>
          <w:rFonts w:hint="cs"/>
          <w:rtl/>
        </w:rPr>
        <w:t>ال</w:t>
      </w:r>
      <w:r w:rsidR="00544A03" w:rsidRPr="00544A03">
        <w:rPr>
          <w:rtl/>
        </w:rPr>
        <w:t>استثناءات لفائدة المكتبات ودور المحفوظات</w:t>
      </w:r>
      <w:r w:rsidR="008B051F">
        <w:rPr>
          <w:rFonts w:hint="cs"/>
          <w:rtl/>
        </w:rPr>
        <w:t xml:space="preserve"> و</w:t>
      </w:r>
      <w:r w:rsidR="00544A03">
        <w:rPr>
          <w:rFonts w:hint="cs"/>
          <w:rtl/>
        </w:rPr>
        <w:t xml:space="preserve">ستواصل مناقشة إمكانية أن يتحوّل </w:t>
      </w:r>
      <w:r w:rsidR="008B051F">
        <w:rPr>
          <w:rFonts w:hint="cs"/>
          <w:rtl/>
        </w:rPr>
        <w:t>ذلك</w:t>
      </w:r>
      <w:r w:rsidR="00544A03">
        <w:rPr>
          <w:rFonts w:hint="cs"/>
          <w:rtl/>
        </w:rPr>
        <w:t xml:space="preserve"> الرسم إلى وثيقة عمل للجنة في دورتها المقبلة</w:t>
      </w:r>
      <w:r w:rsidRPr="00052FA3">
        <w:rPr>
          <w:rFonts w:hint="cs"/>
          <w:rtl/>
        </w:rPr>
        <w:t>.</w:t>
      </w:r>
    </w:p>
    <w:p w:rsidR="001B1E30" w:rsidRDefault="001B1E30" w:rsidP="008B051F">
      <w:pPr>
        <w:pStyle w:val="NumberedParaAR"/>
        <w:numPr>
          <w:ilvl w:val="0"/>
          <w:numId w:val="21"/>
        </w:numPr>
      </w:pPr>
      <w:r>
        <w:rPr>
          <w:rFonts w:hint="cs"/>
          <w:rtl/>
        </w:rPr>
        <w:t xml:space="preserve">ووافقت اللجنة على تحديث </w:t>
      </w:r>
      <w:r w:rsidR="00C431B6">
        <w:rPr>
          <w:rFonts w:hint="cs"/>
          <w:rtl/>
        </w:rPr>
        <w:t>دراسة كروز الواردة في الوثيقة</w:t>
      </w:r>
      <w:r w:rsidR="008B051F">
        <w:rPr>
          <w:rFonts w:hint="eastAsia"/>
          <w:rtl/>
        </w:rPr>
        <w:t> </w:t>
      </w:r>
      <w:r w:rsidR="00C431B6" w:rsidRPr="00C431B6">
        <w:t>SCCR/30/3</w:t>
      </w:r>
      <w:r w:rsidR="008B051F">
        <w:rPr>
          <w:rFonts w:hint="cs"/>
          <w:rtl/>
        </w:rPr>
        <w:t xml:space="preserve"> و</w:t>
      </w:r>
      <w:r w:rsidR="00C431B6">
        <w:rPr>
          <w:rFonts w:hint="cs"/>
          <w:rtl/>
        </w:rPr>
        <w:t>مواصلة جمع البيانات والمعلومات عن ال</w:t>
      </w:r>
      <w:r w:rsidR="00C431B6" w:rsidRPr="00544A03">
        <w:rPr>
          <w:rtl/>
        </w:rPr>
        <w:t>تقييدات و</w:t>
      </w:r>
      <w:r w:rsidR="00C431B6">
        <w:rPr>
          <w:rFonts w:hint="cs"/>
          <w:rtl/>
        </w:rPr>
        <w:t>ال</w:t>
      </w:r>
      <w:r w:rsidR="00C431B6" w:rsidRPr="00544A03">
        <w:rPr>
          <w:rtl/>
        </w:rPr>
        <w:t>استثناءات لفائدة</w:t>
      </w:r>
      <w:r w:rsidR="00C431B6">
        <w:rPr>
          <w:rFonts w:hint="cs"/>
          <w:rtl/>
        </w:rPr>
        <w:t xml:space="preserve"> المتاحف</w:t>
      </w:r>
      <w:r w:rsidR="008B051F">
        <w:rPr>
          <w:rFonts w:hint="cs"/>
          <w:rtl/>
        </w:rPr>
        <w:t>،</w:t>
      </w:r>
      <w:r w:rsidR="00C431B6">
        <w:rPr>
          <w:rFonts w:hint="cs"/>
          <w:rtl/>
        </w:rPr>
        <w:t xml:space="preserve"> على أن تُعرض </w:t>
      </w:r>
      <w:r w:rsidR="008B051F">
        <w:rPr>
          <w:rFonts w:hint="cs"/>
          <w:rtl/>
        </w:rPr>
        <w:t>النتائج</w:t>
      </w:r>
      <w:r w:rsidR="00C431B6">
        <w:rPr>
          <w:rFonts w:hint="cs"/>
          <w:rtl/>
        </w:rPr>
        <w:t xml:space="preserve"> </w:t>
      </w:r>
      <w:r w:rsidR="002427CE">
        <w:rPr>
          <w:rFonts w:hint="cs"/>
          <w:rtl/>
        </w:rPr>
        <w:t>على اللجنة في دورتها</w:t>
      </w:r>
      <w:r w:rsidR="008B051F">
        <w:rPr>
          <w:rFonts w:hint="cs"/>
          <w:rtl/>
        </w:rPr>
        <w:t xml:space="preserve"> المقبلة.</w:t>
      </w:r>
    </w:p>
    <w:p w:rsidR="00C431B6" w:rsidRDefault="006779B7" w:rsidP="008B051F">
      <w:pPr>
        <w:pStyle w:val="NumberedParaAR"/>
        <w:numPr>
          <w:ilvl w:val="0"/>
          <w:numId w:val="21"/>
        </w:numPr>
      </w:pPr>
      <w:r>
        <w:rPr>
          <w:rFonts w:hint="cs"/>
          <w:rtl/>
        </w:rPr>
        <w:t>والتمست اللجنة من الأمانة أن تقترح مشروع خطة عمل بشأن ال</w:t>
      </w:r>
      <w:r w:rsidRPr="00544A03">
        <w:rPr>
          <w:rtl/>
        </w:rPr>
        <w:t>تقييدات و</w:t>
      </w:r>
      <w:r>
        <w:rPr>
          <w:rFonts w:hint="cs"/>
          <w:rtl/>
        </w:rPr>
        <w:t>ال</w:t>
      </w:r>
      <w:r w:rsidRPr="00544A03">
        <w:rPr>
          <w:rtl/>
        </w:rPr>
        <w:t>استثناءات لفائدة المكتبات ودور المحفوظات</w:t>
      </w:r>
      <w:r w:rsidR="00102A80">
        <w:rPr>
          <w:rFonts w:hint="cs"/>
          <w:rtl/>
        </w:rPr>
        <w:t xml:space="preserve"> لكي تناقشه اللجنة </w:t>
      </w:r>
      <w:r w:rsidR="00564EAB">
        <w:rPr>
          <w:rFonts w:hint="cs"/>
          <w:rtl/>
        </w:rPr>
        <w:t xml:space="preserve">في دورتها المقبلة </w:t>
      </w:r>
      <w:r w:rsidR="00102A80">
        <w:rPr>
          <w:rFonts w:hint="cs"/>
          <w:rtl/>
        </w:rPr>
        <w:t xml:space="preserve">وتنظر في اعتماده لعملها </w:t>
      </w:r>
      <w:r w:rsidR="008B051F">
        <w:rPr>
          <w:rFonts w:hint="cs"/>
          <w:rtl/>
        </w:rPr>
        <w:t>المقبل.</w:t>
      </w:r>
    </w:p>
    <w:p w:rsidR="000C4522" w:rsidRPr="00BF2B93" w:rsidRDefault="000C4522" w:rsidP="00BF2B93">
      <w:pPr>
        <w:pStyle w:val="NumberedParaAR"/>
        <w:numPr>
          <w:ilvl w:val="0"/>
          <w:numId w:val="21"/>
        </w:numPr>
      </w:pPr>
      <w:r w:rsidRPr="00BF2B93">
        <w:rPr>
          <w:rFonts w:hint="cs"/>
          <w:rtl/>
        </w:rPr>
        <w:t xml:space="preserve">وسيظل هذا البند مدرجا في جدول أعمال الدورة </w:t>
      </w:r>
      <w:r w:rsidR="00BF2B93" w:rsidRPr="00BF2B93">
        <w:rPr>
          <w:rFonts w:hint="cs"/>
          <w:rtl/>
        </w:rPr>
        <w:t>الخامسة</w:t>
      </w:r>
      <w:r w:rsidRPr="00BF2B93">
        <w:rPr>
          <w:rFonts w:hint="cs"/>
          <w:rtl/>
        </w:rPr>
        <w:t xml:space="preserve"> والثلاثين للجنة.</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 xml:space="preserve">8 من جدول الأعمال: </w:t>
      </w:r>
      <w:r>
        <w:rPr>
          <w:rFonts w:hint="cs"/>
          <w:b/>
          <w:bCs/>
          <w:sz w:val="40"/>
          <w:szCs w:val="40"/>
          <w:rtl/>
        </w:rPr>
        <w:t>تقييد</w:t>
      </w:r>
      <w:r w:rsidR="00967627">
        <w:rPr>
          <w:rFonts w:hint="cs"/>
          <w:b/>
          <w:bCs/>
          <w:sz w:val="40"/>
          <w:szCs w:val="40"/>
          <w:rtl/>
        </w:rPr>
        <w:t>ات و</w:t>
      </w:r>
      <w:r>
        <w:rPr>
          <w:rFonts w:hint="cs"/>
          <w:b/>
          <w:bCs/>
          <w:sz w:val="40"/>
          <w:szCs w:val="40"/>
          <w:rtl/>
        </w:rPr>
        <w:t>استثناءات لفائدة مؤسسات التعليم والبحث و</w:t>
      </w:r>
      <w:r w:rsidR="00967627">
        <w:rPr>
          <w:rFonts w:hint="cs"/>
          <w:b/>
          <w:bCs/>
          <w:sz w:val="40"/>
          <w:szCs w:val="40"/>
          <w:rtl/>
        </w:rPr>
        <w:t xml:space="preserve">لفائدة </w:t>
      </w:r>
      <w:r>
        <w:rPr>
          <w:rFonts w:hint="cs"/>
          <w:b/>
          <w:bCs/>
          <w:sz w:val="40"/>
          <w:szCs w:val="40"/>
          <w:rtl/>
        </w:rPr>
        <w:t>الأشخاص ذوي إعاقات أخرى</w:t>
      </w:r>
    </w:p>
    <w:p w:rsidR="002C1B36" w:rsidRDefault="000C4522" w:rsidP="008B051F">
      <w:pPr>
        <w:pStyle w:val="NumberedParaAR"/>
        <w:numPr>
          <w:ilvl w:val="0"/>
          <w:numId w:val="21"/>
        </w:numPr>
        <w:rPr>
          <w:rtl/>
        </w:rPr>
      </w:pPr>
      <w:r w:rsidRPr="00961EF7">
        <w:rPr>
          <w:rFonts w:hint="cs"/>
          <w:rtl/>
        </w:rPr>
        <w:t>الوثائق المتعلقة بهذا البند من جدول الأعمال هي </w:t>
      </w:r>
      <w:r w:rsidRPr="00961EF7">
        <w:t>SCCR/26/4 PROV.</w:t>
      </w:r>
      <w:r w:rsidRPr="00961EF7">
        <w:rPr>
          <w:rFonts w:hint="cs"/>
          <w:rtl/>
        </w:rPr>
        <w:t xml:space="preserve"> و</w:t>
      </w:r>
      <w:r w:rsidRPr="00961EF7">
        <w:t>SCCR/27/8</w:t>
      </w:r>
      <w:r w:rsidRPr="00961EF7">
        <w:rPr>
          <w:rFonts w:hint="cs"/>
          <w:rtl/>
        </w:rPr>
        <w:t xml:space="preserve"> و</w:t>
      </w:r>
      <w:r w:rsidRPr="00961EF7">
        <w:t>SCCR 32/4</w:t>
      </w:r>
      <w:r w:rsidRPr="00961EF7">
        <w:rPr>
          <w:rFonts w:hint="cs"/>
          <w:rtl/>
        </w:rPr>
        <w:t xml:space="preserve"> و</w:t>
      </w:r>
      <w:r w:rsidRPr="00961EF7">
        <w:t>SCCR 33/4</w:t>
      </w:r>
      <w:r w:rsidRPr="00961EF7">
        <w:rPr>
          <w:rFonts w:hint="cs"/>
          <w:rtl/>
        </w:rPr>
        <w:t xml:space="preserve"> و</w:t>
      </w:r>
      <w:r w:rsidRPr="00961EF7">
        <w:t>SCCR 33/6</w:t>
      </w:r>
      <w:r w:rsidRPr="00961EF7">
        <w:rPr>
          <w:rFonts w:hint="cs"/>
          <w:rtl/>
        </w:rPr>
        <w:t>،</w:t>
      </w:r>
      <w:r w:rsidR="00961EF7" w:rsidRPr="00961EF7">
        <w:rPr>
          <w:rFonts w:hint="cs"/>
          <w:rtl/>
        </w:rPr>
        <w:t xml:space="preserve"> فضلا عن رسم بياني غير رسمي أعد </w:t>
      </w:r>
      <w:r w:rsidR="002C1B36">
        <w:rPr>
          <w:rFonts w:hint="cs"/>
          <w:rtl/>
        </w:rPr>
        <w:t>ل</w:t>
      </w:r>
      <w:r w:rsidR="00961EF7" w:rsidRPr="00961EF7">
        <w:rPr>
          <w:rFonts w:hint="cs"/>
          <w:rtl/>
        </w:rPr>
        <w:t>اجتماع سابق</w:t>
      </w:r>
      <w:r w:rsidR="002C1B36">
        <w:rPr>
          <w:rFonts w:hint="cs"/>
          <w:rtl/>
        </w:rPr>
        <w:t xml:space="preserve"> سيُسند إليه </w:t>
      </w:r>
      <w:r w:rsidR="008B051F">
        <w:rPr>
          <w:rFonts w:hint="cs"/>
          <w:rtl/>
        </w:rPr>
        <w:t>الرمز</w:t>
      </w:r>
      <w:r w:rsidR="008B051F">
        <w:rPr>
          <w:rFonts w:hint="eastAsia"/>
          <w:rtl/>
        </w:rPr>
        <w:t> </w:t>
      </w:r>
      <w:r w:rsidR="00300917" w:rsidRPr="00300917">
        <w:t>SCCR 34/6</w:t>
      </w:r>
      <w:r w:rsidR="00300917" w:rsidRPr="00300917">
        <w:rPr>
          <w:rtl/>
        </w:rPr>
        <w:t xml:space="preserve"> </w:t>
      </w:r>
      <w:r w:rsidR="002C1B36">
        <w:rPr>
          <w:rFonts w:hint="cs"/>
          <w:rtl/>
        </w:rPr>
        <w:t>ويكون وثيقة للرئيس</w:t>
      </w:r>
      <w:r w:rsidRPr="00961EF7">
        <w:rPr>
          <w:rFonts w:hint="cs"/>
          <w:rtl/>
        </w:rPr>
        <w:t>.</w:t>
      </w:r>
      <w:r w:rsidR="002C1B36" w:rsidRPr="002C1B36">
        <w:rPr>
          <w:rFonts w:hint="cs"/>
          <w:rtl/>
        </w:rPr>
        <w:t xml:space="preserve"> </w:t>
      </w:r>
      <w:r w:rsidR="002C1B36">
        <w:rPr>
          <w:rFonts w:hint="cs"/>
          <w:rtl/>
        </w:rPr>
        <w:t>وناقشت اللجنة ال</w:t>
      </w:r>
      <w:r w:rsidR="002C1B36" w:rsidRPr="00052FA3">
        <w:rPr>
          <w:rFonts w:hint="cs"/>
          <w:rtl/>
        </w:rPr>
        <w:t xml:space="preserve">رسم </w:t>
      </w:r>
      <w:r w:rsidR="002C1B36">
        <w:rPr>
          <w:rFonts w:hint="cs"/>
          <w:rtl/>
        </w:rPr>
        <w:t>ال</w:t>
      </w:r>
      <w:r w:rsidR="002C1B36" w:rsidRPr="00052FA3">
        <w:rPr>
          <w:rFonts w:hint="cs"/>
          <w:rtl/>
        </w:rPr>
        <w:t xml:space="preserve">بياني غير </w:t>
      </w:r>
      <w:r w:rsidR="002C1B36">
        <w:rPr>
          <w:rFonts w:hint="cs"/>
          <w:rtl/>
        </w:rPr>
        <w:t>ال</w:t>
      </w:r>
      <w:r w:rsidR="002C1B36" w:rsidRPr="00052FA3">
        <w:rPr>
          <w:rFonts w:hint="cs"/>
          <w:rtl/>
        </w:rPr>
        <w:t>رسمي</w:t>
      </w:r>
      <w:r w:rsidR="002C1B36">
        <w:rPr>
          <w:rFonts w:hint="cs"/>
          <w:rtl/>
        </w:rPr>
        <w:t xml:space="preserve"> عن</w:t>
      </w:r>
      <w:r w:rsidR="002C1B36" w:rsidRPr="00544A03">
        <w:rPr>
          <w:rtl/>
        </w:rPr>
        <w:t xml:space="preserve"> </w:t>
      </w:r>
      <w:r w:rsidR="002C1B36">
        <w:rPr>
          <w:rFonts w:hint="cs"/>
          <w:rtl/>
        </w:rPr>
        <w:t>ال</w:t>
      </w:r>
      <w:r w:rsidR="002C1B36" w:rsidRPr="00544A03">
        <w:rPr>
          <w:rtl/>
        </w:rPr>
        <w:t>تقييدات و</w:t>
      </w:r>
      <w:r w:rsidR="002C1B36">
        <w:rPr>
          <w:rFonts w:hint="cs"/>
          <w:rtl/>
        </w:rPr>
        <w:t>ال</w:t>
      </w:r>
      <w:r w:rsidR="002C1B36" w:rsidRPr="00544A03">
        <w:rPr>
          <w:rtl/>
        </w:rPr>
        <w:t xml:space="preserve">استثناءات لفائدة </w:t>
      </w:r>
      <w:r w:rsidR="002C1B36" w:rsidRPr="002C1B36">
        <w:rPr>
          <w:rtl/>
        </w:rPr>
        <w:t xml:space="preserve">مؤسسات التعليم والبحث </w:t>
      </w:r>
      <w:r w:rsidR="008B051F">
        <w:rPr>
          <w:rFonts w:hint="cs"/>
          <w:rtl/>
        </w:rPr>
        <w:t>و</w:t>
      </w:r>
      <w:r w:rsidR="002C1B36">
        <w:rPr>
          <w:rFonts w:hint="cs"/>
          <w:rtl/>
        </w:rPr>
        <w:t xml:space="preserve">ستواصل مناقشة إمكانية أن يتحوّل </w:t>
      </w:r>
      <w:r w:rsidR="008B051F">
        <w:rPr>
          <w:rFonts w:hint="cs"/>
          <w:rtl/>
        </w:rPr>
        <w:t>ذلك</w:t>
      </w:r>
      <w:r w:rsidR="002C1B36">
        <w:rPr>
          <w:rFonts w:hint="cs"/>
          <w:rtl/>
        </w:rPr>
        <w:t xml:space="preserve"> الرسم إلى وثيقة عمل للجنة في دورتها المقبلة</w:t>
      </w:r>
      <w:r w:rsidR="002C1B36" w:rsidRPr="00052FA3">
        <w:rPr>
          <w:rFonts w:hint="cs"/>
          <w:rtl/>
        </w:rPr>
        <w:t>.</w:t>
      </w:r>
    </w:p>
    <w:p w:rsidR="00935FDD" w:rsidRPr="00935FDD" w:rsidRDefault="004468F6" w:rsidP="00F800C4">
      <w:pPr>
        <w:pStyle w:val="NumberedParaAR"/>
        <w:numPr>
          <w:ilvl w:val="0"/>
          <w:numId w:val="21"/>
        </w:numPr>
      </w:pPr>
      <w:r w:rsidRPr="00935FDD">
        <w:rPr>
          <w:rFonts w:hint="cs"/>
          <w:rtl/>
        </w:rPr>
        <w:t xml:space="preserve">واستمعت اللجنة إلى </w:t>
      </w:r>
      <w:r w:rsidR="000C4522" w:rsidRPr="00935FDD">
        <w:rPr>
          <w:rFonts w:hint="cs"/>
          <w:rtl/>
        </w:rPr>
        <w:t xml:space="preserve">عرض </w:t>
      </w:r>
      <w:r w:rsidRPr="00935FDD">
        <w:rPr>
          <w:rFonts w:hint="cs"/>
          <w:rtl/>
        </w:rPr>
        <w:t>قدمه</w:t>
      </w:r>
      <w:r w:rsidR="000C4522" w:rsidRPr="00935FDD">
        <w:rPr>
          <w:rFonts w:hint="cs"/>
          <w:rtl/>
        </w:rPr>
        <w:t xml:space="preserve"> الأستاذ دانييل سينغ حول</w:t>
      </w:r>
      <w:r w:rsidRPr="00935FDD">
        <w:rPr>
          <w:rFonts w:hint="cs"/>
          <w:rtl/>
        </w:rPr>
        <w:t xml:space="preserve"> تحديث يجريه حاليا بشأن </w:t>
      </w:r>
      <w:r w:rsidR="000C4522" w:rsidRPr="00964E85">
        <w:rPr>
          <w:rFonts w:hint="eastAsia"/>
          <w:i/>
          <w:iCs/>
          <w:rtl/>
        </w:rPr>
        <w:t>الدراسة</w:t>
      </w:r>
      <w:r w:rsidR="000C4522" w:rsidRPr="00964E85">
        <w:rPr>
          <w:i/>
          <w:iCs/>
          <w:rtl/>
        </w:rPr>
        <w:t xml:space="preserve"> </w:t>
      </w:r>
      <w:r w:rsidR="000C4522" w:rsidRPr="00964E85">
        <w:rPr>
          <w:rFonts w:hint="eastAsia"/>
          <w:i/>
          <w:iCs/>
          <w:rtl/>
        </w:rPr>
        <w:t>المتعلقة</w:t>
      </w:r>
      <w:r w:rsidR="000C4522" w:rsidRPr="00964E85">
        <w:rPr>
          <w:i/>
          <w:iCs/>
          <w:rtl/>
        </w:rPr>
        <w:t xml:space="preserve"> </w:t>
      </w:r>
      <w:r w:rsidR="000C4522" w:rsidRPr="00964E85">
        <w:rPr>
          <w:rFonts w:hint="eastAsia"/>
          <w:i/>
          <w:iCs/>
          <w:rtl/>
        </w:rPr>
        <w:t>بالتقييدات</w:t>
      </w:r>
      <w:r w:rsidR="000C4522" w:rsidRPr="00964E85">
        <w:rPr>
          <w:i/>
          <w:iCs/>
          <w:rtl/>
        </w:rPr>
        <w:t xml:space="preserve"> </w:t>
      </w:r>
      <w:r w:rsidR="000C4522" w:rsidRPr="00964E85">
        <w:rPr>
          <w:rFonts w:hint="eastAsia"/>
          <w:i/>
          <w:iCs/>
          <w:rtl/>
        </w:rPr>
        <w:t>والاستثناءات</w:t>
      </w:r>
      <w:r w:rsidR="000C4522" w:rsidRPr="00964E85">
        <w:rPr>
          <w:i/>
          <w:iCs/>
          <w:rtl/>
        </w:rPr>
        <w:t xml:space="preserve"> </w:t>
      </w:r>
      <w:r w:rsidR="000C4522" w:rsidRPr="00964E85">
        <w:rPr>
          <w:rFonts w:hint="eastAsia"/>
          <w:i/>
          <w:iCs/>
          <w:rtl/>
        </w:rPr>
        <w:t>على</w:t>
      </w:r>
      <w:r w:rsidR="000C4522" w:rsidRPr="00964E85">
        <w:rPr>
          <w:i/>
          <w:iCs/>
          <w:rtl/>
        </w:rPr>
        <w:t xml:space="preserve"> </w:t>
      </w:r>
      <w:r w:rsidR="000C4522" w:rsidRPr="00964E85">
        <w:rPr>
          <w:rFonts w:hint="eastAsia"/>
          <w:i/>
          <w:iCs/>
          <w:rtl/>
        </w:rPr>
        <w:t>حق</w:t>
      </w:r>
      <w:r w:rsidR="000C4522" w:rsidRPr="00964E85">
        <w:rPr>
          <w:i/>
          <w:iCs/>
          <w:rtl/>
        </w:rPr>
        <w:t xml:space="preserve"> </w:t>
      </w:r>
      <w:r w:rsidR="000C4522" w:rsidRPr="00964E85">
        <w:rPr>
          <w:rFonts w:hint="eastAsia"/>
          <w:i/>
          <w:iCs/>
          <w:rtl/>
        </w:rPr>
        <w:t>المؤلف</w:t>
      </w:r>
      <w:r w:rsidR="000C4522" w:rsidRPr="00964E85">
        <w:rPr>
          <w:i/>
          <w:iCs/>
          <w:rtl/>
        </w:rPr>
        <w:t xml:space="preserve"> </w:t>
      </w:r>
      <w:r w:rsidR="000C4522" w:rsidRPr="00964E85">
        <w:rPr>
          <w:rFonts w:hint="eastAsia"/>
          <w:i/>
          <w:iCs/>
          <w:rtl/>
        </w:rPr>
        <w:t>لأغراض</w:t>
      </w:r>
      <w:r w:rsidR="000C4522" w:rsidRPr="00964E85">
        <w:rPr>
          <w:i/>
          <w:iCs/>
          <w:rtl/>
        </w:rPr>
        <w:t xml:space="preserve"> </w:t>
      </w:r>
      <w:r w:rsidR="000C4522" w:rsidRPr="00964E85">
        <w:rPr>
          <w:rFonts w:hint="eastAsia"/>
          <w:i/>
          <w:iCs/>
          <w:rtl/>
        </w:rPr>
        <w:t>الأنشطة</w:t>
      </w:r>
      <w:r w:rsidR="000C4522" w:rsidRPr="00964E85">
        <w:rPr>
          <w:i/>
          <w:iCs/>
          <w:rtl/>
        </w:rPr>
        <w:t xml:space="preserve"> </w:t>
      </w:r>
      <w:r w:rsidR="000C4522" w:rsidRPr="00964E85">
        <w:rPr>
          <w:rFonts w:hint="eastAsia"/>
          <w:i/>
          <w:iCs/>
          <w:rtl/>
        </w:rPr>
        <w:t>التعليمية</w:t>
      </w:r>
      <w:r w:rsidR="000C4522" w:rsidRPr="00935FDD">
        <w:rPr>
          <w:rFonts w:hint="cs"/>
          <w:rtl/>
        </w:rPr>
        <w:t>، والواردة في الوثيقة </w:t>
      </w:r>
      <w:r w:rsidR="000C4522" w:rsidRPr="00935FDD">
        <w:t>SCCR/33/6</w:t>
      </w:r>
      <w:r w:rsidRPr="00935FDD">
        <w:rPr>
          <w:rFonts w:hint="cs"/>
          <w:rtl/>
        </w:rPr>
        <w:t>، ورحبت بذلك.</w:t>
      </w:r>
      <w:r w:rsidR="000C4522" w:rsidRPr="00935FDD">
        <w:rPr>
          <w:rFonts w:hint="cs"/>
          <w:rtl/>
        </w:rPr>
        <w:t xml:space="preserve"> </w:t>
      </w:r>
      <w:r w:rsidRPr="00935FDD">
        <w:rPr>
          <w:rFonts w:hint="cs"/>
          <w:rtl/>
        </w:rPr>
        <w:t>كما</w:t>
      </w:r>
      <w:r w:rsidR="004A50B7">
        <w:rPr>
          <w:rFonts w:hint="eastAsia"/>
          <w:rtl/>
        </w:rPr>
        <w:t> </w:t>
      </w:r>
      <w:r w:rsidRPr="00935FDD">
        <w:rPr>
          <w:rFonts w:hint="cs"/>
          <w:rtl/>
        </w:rPr>
        <w:t xml:space="preserve">استعمت اللجنة إلى عرض حول </w:t>
      </w:r>
      <w:r w:rsidR="004A50B7">
        <w:rPr>
          <w:rFonts w:hint="cs"/>
          <w:rtl/>
        </w:rPr>
        <w:t xml:space="preserve">التقدم في </w:t>
      </w:r>
      <w:r w:rsidR="00935FDD" w:rsidRPr="00935FDD">
        <w:rPr>
          <w:rFonts w:hint="cs"/>
          <w:rtl/>
        </w:rPr>
        <w:t>دراسة النطاق بشأن التقييدات والاستثناءات لفائدة الأشخاص ذوي إعاقات غير الإعاقات في قراءة المطبوعات، ووصفا للاستبيان الذي وُزّع على الدول الأعضاء، ورحبت بذلك. وقدم ذلك العرض كل من الأستاذة كارولين نكوبي من جامعة كيب تاون والأستاذ بليك ريد ومحاميان متدربان من جامعة كولورادو. وستُقدم ا</w:t>
      </w:r>
      <w:r w:rsidR="006B6583">
        <w:rPr>
          <w:rFonts w:hint="cs"/>
          <w:rtl/>
        </w:rPr>
        <w:t xml:space="preserve">لدراستان المستكملتان </w:t>
      </w:r>
      <w:r w:rsidR="00935FDD" w:rsidRPr="00935FDD">
        <w:rPr>
          <w:rFonts w:hint="cs"/>
          <w:rtl/>
        </w:rPr>
        <w:t>في الدورة الخامسة والثلاثين للجنة.</w:t>
      </w:r>
    </w:p>
    <w:p w:rsidR="00935FDD" w:rsidRDefault="00935FDD" w:rsidP="009B58FB">
      <w:pPr>
        <w:pStyle w:val="NumberedParaAR"/>
        <w:numPr>
          <w:ilvl w:val="0"/>
          <w:numId w:val="21"/>
        </w:numPr>
      </w:pPr>
      <w:r>
        <w:rPr>
          <w:rFonts w:hint="cs"/>
          <w:rtl/>
        </w:rPr>
        <w:t xml:space="preserve">واستمعت اللجنة إلى عرض قدمته نائبة المدير العام السيدة سيلفي فوربان حول المشروع </w:t>
      </w:r>
      <w:r w:rsidR="009B58FB">
        <w:rPr>
          <w:rFonts w:hint="cs"/>
          <w:rtl/>
        </w:rPr>
        <w:t>بشأن</w:t>
      </w:r>
      <w:r>
        <w:rPr>
          <w:rFonts w:hint="cs"/>
          <w:rtl/>
        </w:rPr>
        <w:t xml:space="preserve"> </w:t>
      </w:r>
      <w:r w:rsidR="009B58FB" w:rsidRPr="009B58FB">
        <w:rPr>
          <w:rFonts w:hint="cs"/>
          <w:i/>
          <w:iCs/>
          <w:rtl/>
        </w:rPr>
        <w:t>تيسير النفاذ إلى المواد التعليمية ووحدات التعلم</w:t>
      </w:r>
      <w:r w:rsidR="009B58FB">
        <w:rPr>
          <w:rFonts w:hint="cs"/>
          <w:rtl/>
        </w:rPr>
        <w:t xml:space="preserve"> والاستبيان ذي الصلة الذي وُزّع على الدول الأعضاء في الويبو، ورحبت بذلك.</w:t>
      </w:r>
    </w:p>
    <w:p w:rsidR="00687EDB" w:rsidRDefault="00687EDB" w:rsidP="004A7D7A">
      <w:pPr>
        <w:pStyle w:val="NumberedParaAR"/>
        <w:numPr>
          <w:ilvl w:val="0"/>
          <w:numId w:val="21"/>
        </w:numPr>
      </w:pPr>
      <w:r>
        <w:rPr>
          <w:rFonts w:hint="cs"/>
          <w:rtl/>
        </w:rPr>
        <w:t>والتمست اللجنة من الأمانة أن تقترح مشروع خطة عمل بشأن ال</w:t>
      </w:r>
      <w:r w:rsidRPr="00544A03">
        <w:rPr>
          <w:rtl/>
        </w:rPr>
        <w:t>تقييدات و</w:t>
      </w:r>
      <w:r>
        <w:rPr>
          <w:rFonts w:hint="cs"/>
          <w:rtl/>
        </w:rPr>
        <w:t>ال</w:t>
      </w:r>
      <w:r w:rsidRPr="00544A03">
        <w:rPr>
          <w:rtl/>
        </w:rPr>
        <w:t xml:space="preserve">استثناءات لفائدة </w:t>
      </w:r>
      <w:r w:rsidRPr="00687EDB">
        <w:rPr>
          <w:rtl/>
        </w:rPr>
        <w:t>مؤسسات التعليم والبحث ولفائدة الأشخاص ذوي إعاقات أخرى</w:t>
      </w:r>
      <w:r>
        <w:rPr>
          <w:rFonts w:hint="cs"/>
          <w:rtl/>
        </w:rPr>
        <w:t xml:space="preserve"> لكي تناقشه اللجنة في دورتها المقبلة وتن</w:t>
      </w:r>
      <w:r w:rsidR="004A7D7A">
        <w:rPr>
          <w:rFonts w:hint="cs"/>
          <w:rtl/>
        </w:rPr>
        <w:t>ظر في اعتماده لعملها المقبل.</w:t>
      </w:r>
    </w:p>
    <w:p w:rsidR="000C4522" w:rsidRDefault="000C4522" w:rsidP="009B58FB">
      <w:pPr>
        <w:pStyle w:val="NumberedParaAR"/>
        <w:numPr>
          <w:ilvl w:val="0"/>
          <w:numId w:val="21"/>
        </w:numPr>
      </w:pPr>
      <w:r w:rsidRPr="009B58FB">
        <w:rPr>
          <w:rFonts w:hint="cs"/>
          <w:rtl/>
        </w:rPr>
        <w:t xml:space="preserve">وسيظل هذا البند مدرجا في جدول أعمال الدورة </w:t>
      </w:r>
      <w:r w:rsidR="009B58FB" w:rsidRPr="009B58FB">
        <w:rPr>
          <w:rFonts w:hint="cs"/>
          <w:rtl/>
        </w:rPr>
        <w:t>الخامسة</w:t>
      </w:r>
      <w:r w:rsidRPr="009B58FB">
        <w:rPr>
          <w:rFonts w:hint="cs"/>
          <w:rtl/>
        </w:rPr>
        <w:t xml:space="preserve"> والثلاثين للجنة.</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9</w:t>
      </w:r>
      <w:r>
        <w:rPr>
          <w:rFonts w:hint="cs"/>
          <w:b/>
          <w:bCs/>
          <w:sz w:val="40"/>
          <w:szCs w:val="40"/>
          <w:rtl/>
        </w:rPr>
        <w:t xml:space="preserve"> من جدول الأعمال: مسائل أخرى</w:t>
      </w:r>
    </w:p>
    <w:p w:rsidR="000C4522" w:rsidRDefault="000C4522" w:rsidP="000C4522">
      <w:pPr>
        <w:pStyle w:val="NumberedParaAR"/>
        <w:numPr>
          <w:ilvl w:val="0"/>
          <w:numId w:val="21"/>
        </w:numPr>
        <w:rPr>
          <w:rtl/>
        </w:rPr>
      </w:pPr>
      <w:r w:rsidRPr="00C71181">
        <w:rPr>
          <w:rFonts w:hint="cs"/>
          <w:rtl/>
        </w:rPr>
        <w:t>الوثيقتان المتعلقتان بهذا البند من جدول الأعمال هما </w:t>
      </w:r>
      <w:r w:rsidRPr="00C71181">
        <w:t>SCCR/31/4</w:t>
      </w:r>
      <w:r w:rsidRPr="00C71181">
        <w:rPr>
          <w:rFonts w:hint="cs"/>
          <w:rtl/>
        </w:rPr>
        <w:t xml:space="preserve"> و</w:t>
      </w:r>
      <w:r w:rsidRPr="00C71181">
        <w:t>SCCR/31/5</w:t>
      </w:r>
      <w:r w:rsidRPr="00C71181">
        <w:rPr>
          <w:rFonts w:hint="cs"/>
          <w:rtl/>
        </w:rPr>
        <w:t>.</w:t>
      </w:r>
    </w:p>
    <w:p w:rsidR="00C71181" w:rsidRDefault="00C71181" w:rsidP="00F800C4">
      <w:pPr>
        <w:pStyle w:val="NumberedParaAR"/>
        <w:numPr>
          <w:ilvl w:val="0"/>
          <w:numId w:val="21"/>
        </w:numPr>
      </w:pPr>
      <w:r w:rsidRPr="00BD0C51">
        <w:rPr>
          <w:rFonts w:hint="cs"/>
          <w:rtl/>
        </w:rPr>
        <w:t xml:space="preserve">وفيما يخص </w:t>
      </w:r>
      <w:r w:rsidR="000C4522" w:rsidRPr="00BD0C51">
        <w:rPr>
          <w:rFonts w:hint="cs"/>
          <w:rtl/>
        </w:rPr>
        <w:t xml:space="preserve">تحليل حق المؤلف المتعلق بالبيئة الرقمية، </w:t>
      </w:r>
      <w:r w:rsidRPr="00BD0C51">
        <w:rPr>
          <w:rFonts w:hint="cs"/>
          <w:rtl/>
        </w:rPr>
        <w:t xml:space="preserve">أحاطت اللجنة علما بعرض </w:t>
      </w:r>
      <w:r w:rsidR="00291BB9">
        <w:rPr>
          <w:rFonts w:hint="cs"/>
          <w:rtl/>
        </w:rPr>
        <w:t>الدكتورة</w:t>
      </w:r>
      <w:r w:rsidR="00291BB9" w:rsidRPr="00BD0C51">
        <w:rPr>
          <w:rFonts w:hint="cs"/>
          <w:rtl/>
        </w:rPr>
        <w:t xml:space="preserve"> </w:t>
      </w:r>
      <w:r w:rsidR="006B6583" w:rsidRPr="00BD0C51">
        <w:rPr>
          <w:rFonts w:hint="cs"/>
          <w:rtl/>
        </w:rPr>
        <w:t>غيلدا روستاما ل</w:t>
      </w:r>
      <w:r w:rsidRPr="00BD0C51">
        <w:rPr>
          <w:rFonts w:hint="cs"/>
          <w:rtl/>
        </w:rPr>
        <w:t xml:space="preserve">لمنهجية والتقرير الأولي </w:t>
      </w:r>
      <w:r w:rsidR="006B6583" w:rsidRPr="00BD0C51">
        <w:rPr>
          <w:rFonts w:hint="cs"/>
          <w:rtl/>
        </w:rPr>
        <w:t>لدراسة النطاق بشأن أثر المستجدات الرقمية على تطور الأطر القانونية الوطنية طيلة السنوات العشر الماضية. كما أحاطت اللجنة علما بملخص قدمه الأستاذ بيير سيرينيلي عن عملية استثارة الأفكار التي أجريت في إطار إعداد دراسة النطاق. وستُقدم الدراسة المستكملة في الدورة الخامسة والثلاثين للجنة.</w:t>
      </w:r>
    </w:p>
    <w:p w:rsidR="00DA5EEF" w:rsidRDefault="00C97239" w:rsidP="00F800C4">
      <w:pPr>
        <w:pStyle w:val="NumberedParaAR"/>
        <w:numPr>
          <w:ilvl w:val="0"/>
          <w:numId w:val="21"/>
        </w:numPr>
      </w:pPr>
      <w:r>
        <w:rPr>
          <w:rFonts w:hint="cs"/>
          <w:rtl/>
        </w:rPr>
        <w:t xml:space="preserve">والتمس </w:t>
      </w:r>
      <w:r w:rsidR="00BE3972">
        <w:rPr>
          <w:rFonts w:hint="cs"/>
          <w:rtl/>
        </w:rPr>
        <w:t>بعض</w:t>
      </w:r>
      <w:r w:rsidR="00DA5EEF">
        <w:rPr>
          <w:rFonts w:hint="cs"/>
          <w:rtl/>
        </w:rPr>
        <w:t xml:space="preserve"> الدول الأعضاء والمراقبين أن يُتعمد</w:t>
      </w:r>
      <w:r w:rsidR="00EA68CC">
        <w:rPr>
          <w:rFonts w:hint="cs"/>
          <w:rtl/>
        </w:rPr>
        <w:t xml:space="preserve"> </w:t>
      </w:r>
      <w:r w:rsidR="00DA5EEF">
        <w:rPr>
          <w:rFonts w:hint="cs"/>
          <w:rtl/>
        </w:rPr>
        <w:t xml:space="preserve">تحليل حق المؤلف المتعلق بالبيئة الرقمية باعتباره بندا دائما </w:t>
      </w:r>
      <w:r w:rsidR="00D01663">
        <w:rPr>
          <w:rFonts w:hint="cs"/>
          <w:rtl/>
        </w:rPr>
        <w:t>من بنود</w:t>
      </w:r>
      <w:r w:rsidR="00DA5EEF">
        <w:rPr>
          <w:rFonts w:hint="cs"/>
          <w:rtl/>
        </w:rPr>
        <w:t xml:space="preserve"> جدول أعمال لجنة حق المؤلف.</w:t>
      </w:r>
      <w:r w:rsidR="00EE512A">
        <w:rPr>
          <w:rFonts w:hint="cs"/>
          <w:rtl/>
        </w:rPr>
        <w:t xml:space="preserve"> لكن أعضاء آخرين </w:t>
      </w:r>
      <w:r>
        <w:rPr>
          <w:rFonts w:hint="cs"/>
          <w:rtl/>
        </w:rPr>
        <w:t>اعتبروا أن ذلك ليس ضروريا.</w:t>
      </w:r>
    </w:p>
    <w:p w:rsidR="00DA5EEF" w:rsidRDefault="00DA5EEF" w:rsidP="00D01663">
      <w:pPr>
        <w:pStyle w:val="NumberedParaAR"/>
        <w:numPr>
          <w:ilvl w:val="0"/>
          <w:numId w:val="21"/>
        </w:numPr>
      </w:pPr>
      <w:r>
        <w:rPr>
          <w:rFonts w:hint="cs"/>
          <w:rtl/>
        </w:rPr>
        <w:t>وفيما يخص موضوع حق التتبع،</w:t>
      </w:r>
      <w:r w:rsidR="00D01663">
        <w:rPr>
          <w:rFonts w:hint="cs"/>
          <w:rtl/>
        </w:rPr>
        <w:t xml:space="preserve"> رحبت اللجنة بعقد </w:t>
      </w:r>
      <w:r>
        <w:rPr>
          <w:rFonts w:hint="cs"/>
          <w:rtl/>
        </w:rPr>
        <w:t>المؤتمر الدولي المعني بحق التتب</w:t>
      </w:r>
      <w:r w:rsidR="00D01663">
        <w:rPr>
          <w:rFonts w:hint="cs"/>
          <w:rtl/>
        </w:rPr>
        <w:t>ع، الذي نُظم في المقر الرئيسي للويبو في 28</w:t>
      </w:r>
      <w:r w:rsidR="00D01663">
        <w:rPr>
          <w:rFonts w:hint="eastAsia"/>
          <w:rtl/>
        </w:rPr>
        <w:t> </w:t>
      </w:r>
      <w:r w:rsidR="00D01663">
        <w:rPr>
          <w:rFonts w:hint="cs"/>
          <w:rtl/>
        </w:rPr>
        <w:t>أبريل</w:t>
      </w:r>
      <w:r w:rsidR="00D01663">
        <w:rPr>
          <w:rFonts w:hint="eastAsia"/>
          <w:rtl/>
        </w:rPr>
        <w:t> </w:t>
      </w:r>
      <w:r w:rsidR="00D01663">
        <w:rPr>
          <w:rFonts w:hint="cs"/>
          <w:rtl/>
        </w:rPr>
        <w:t>2017. وأحاطت اللجنة علما بملخص المؤتمر والتقرير المرحلي الذي قدمته الأستاذة كاثرين غرادي عن الدراسة الجارية بشأن الآثار الاقتصادية لحق التتبع. وستُقدم النسخة المستكملة من الدراسة في الدورة الخامسة والثلاثين للجنة.</w:t>
      </w:r>
    </w:p>
    <w:p w:rsidR="00D01663" w:rsidRDefault="00D01663" w:rsidP="00F800C4">
      <w:pPr>
        <w:pStyle w:val="NumberedParaAR"/>
        <w:numPr>
          <w:ilvl w:val="0"/>
          <w:numId w:val="21"/>
        </w:numPr>
      </w:pPr>
      <w:r w:rsidRPr="00D01663">
        <w:rPr>
          <w:rFonts w:hint="cs"/>
          <w:rtl/>
        </w:rPr>
        <w:t xml:space="preserve">والتمس </w:t>
      </w:r>
      <w:r w:rsidR="005E1DAB">
        <w:rPr>
          <w:rFonts w:hint="cs"/>
          <w:rtl/>
        </w:rPr>
        <w:t xml:space="preserve">بعض </w:t>
      </w:r>
      <w:r w:rsidRPr="00D01663">
        <w:rPr>
          <w:rFonts w:hint="cs"/>
          <w:rtl/>
        </w:rPr>
        <w:t>الدول الأعضاء والمراقبين أن يُتعمد</w:t>
      </w:r>
      <w:r w:rsidR="00EA68CC">
        <w:rPr>
          <w:rFonts w:hint="cs"/>
          <w:rtl/>
        </w:rPr>
        <w:t xml:space="preserve"> </w:t>
      </w:r>
      <w:r>
        <w:rPr>
          <w:rFonts w:hint="cs"/>
          <w:rtl/>
        </w:rPr>
        <w:t>حق التتبع</w:t>
      </w:r>
      <w:r w:rsidRPr="00D01663">
        <w:rPr>
          <w:rFonts w:hint="cs"/>
          <w:rtl/>
        </w:rPr>
        <w:t xml:space="preserve"> باعتباره بندا دائما </w:t>
      </w:r>
      <w:r>
        <w:rPr>
          <w:rFonts w:hint="cs"/>
          <w:rtl/>
        </w:rPr>
        <w:t>من بنود</w:t>
      </w:r>
      <w:r w:rsidRPr="00D01663">
        <w:rPr>
          <w:rFonts w:hint="cs"/>
          <w:rtl/>
        </w:rPr>
        <w:t xml:space="preserve"> جدول أعمال لجنة حق المؤلف.</w:t>
      </w:r>
      <w:r w:rsidR="00054C3F">
        <w:rPr>
          <w:rFonts w:hint="cs"/>
          <w:rtl/>
        </w:rPr>
        <w:t xml:space="preserve"> لكن أعضاء </w:t>
      </w:r>
      <w:r w:rsidR="00471943">
        <w:rPr>
          <w:rFonts w:hint="cs"/>
          <w:rtl/>
        </w:rPr>
        <w:t>آخرين اعتبروا أن ذلك ليس ضروريا</w:t>
      </w:r>
      <w:r w:rsidR="00054C3F">
        <w:rPr>
          <w:rFonts w:hint="cs"/>
          <w:rtl/>
        </w:rPr>
        <w:t>.</w:t>
      </w:r>
    </w:p>
    <w:p w:rsidR="00054C3F" w:rsidRDefault="00054C3F" w:rsidP="00D01663">
      <w:pPr>
        <w:pStyle w:val="NumberedParaAR"/>
        <w:numPr>
          <w:ilvl w:val="0"/>
          <w:numId w:val="21"/>
        </w:numPr>
      </w:pPr>
      <w:r w:rsidRPr="000760EE">
        <w:rPr>
          <w:rFonts w:hint="cs"/>
          <w:rtl/>
        </w:rPr>
        <w:t>وسيظل هذان الموضوعان مدرجين في جدول أعمال الدورة الخامسة والثلاثين للجنة</w:t>
      </w:r>
      <w:r w:rsidR="00471943">
        <w:rPr>
          <w:rFonts w:hint="cs"/>
          <w:rtl/>
        </w:rPr>
        <w:t>.</w:t>
      </w:r>
    </w:p>
    <w:p w:rsidR="00D01663" w:rsidRPr="00C71181" w:rsidRDefault="00D01663" w:rsidP="00D01663">
      <w:pPr>
        <w:pStyle w:val="NumberedParaAR"/>
        <w:numPr>
          <w:ilvl w:val="0"/>
          <w:numId w:val="21"/>
        </w:numPr>
      </w:pPr>
      <w:r>
        <w:rPr>
          <w:rFonts w:hint="cs"/>
          <w:rtl/>
        </w:rPr>
        <w:t xml:space="preserve">ورحبت اللجنة </w:t>
      </w:r>
      <w:r w:rsidR="00471943">
        <w:rPr>
          <w:rFonts w:hint="cs"/>
          <w:rtl/>
        </w:rPr>
        <w:t>أيضا</w:t>
      </w:r>
      <w:r w:rsidR="00054C3F">
        <w:rPr>
          <w:rFonts w:hint="cs"/>
          <w:rtl/>
        </w:rPr>
        <w:t xml:space="preserve"> </w:t>
      </w:r>
      <w:r>
        <w:rPr>
          <w:rFonts w:hint="cs"/>
          <w:rtl/>
        </w:rPr>
        <w:t xml:space="preserve">بالعرض الموجز الذي قدمته الأمانة عن تنفيذ معاهدة مراكش، بما في </w:t>
      </w:r>
      <w:r w:rsidR="000760EE">
        <w:rPr>
          <w:rFonts w:hint="cs"/>
          <w:rtl/>
        </w:rPr>
        <w:t>ذلك أنشطة اتحاد الكتب الميس</w:t>
      </w:r>
      <w:r>
        <w:rPr>
          <w:rFonts w:hint="cs"/>
          <w:rtl/>
        </w:rPr>
        <w:t>رة (</w:t>
      </w:r>
      <w:r>
        <w:t>ABC</w:t>
      </w:r>
      <w:r>
        <w:rPr>
          <w:rFonts w:hint="cs"/>
          <w:rtl/>
        </w:rPr>
        <w:t>).</w:t>
      </w:r>
    </w:p>
    <w:p w:rsidR="000C4522" w:rsidRDefault="000C4522" w:rsidP="000C4522">
      <w:pPr>
        <w:pStyle w:val="NormalParaAR"/>
        <w:keepNext/>
        <w:rPr>
          <w:b/>
          <w:bCs/>
          <w:sz w:val="40"/>
          <w:szCs w:val="40"/>
        </w:rPr>
      </w:pPr>
      <w:r>
        <w:rPr>
          <w:rFonts w:hint="cs"/>
          <w:b/>
          <w:bCs/>
          <w:sz w:val="40"/>
          <w:szCs w:val="40"/>
          <w:rtl/>
        </w:rPr>
        <w:t>ملخص الرئيس</w:t>
      </w:r>
    </w:p>
    <w:p w:rsidR="000C4522" w:rsidRPr="000760EE" w:rsidRDefault="000C4522" w:rsidP="000760EE">
      <w:pPr>
        <w:pStyle w:val="NumberedParaAR"/>
        <w:numPr>
          <w:ilvl w:val="0"/>
          <w:numId w:val="21"/>
        </w:numPr>
        <w:rPr>
          <w:rtl/>
        </w:rPr>
      </w:pPr>
      <w:r w:rsidRPr="000760EE">
        <w:rPr>
          <w:rFonts w:hint="cs"/>
          <w:rtl/>
        </w:rPr>
        <w:t xml:space="preserve">أحاطت اللجنة علما بمضمون هذا الملخص الذي أعده الرئيس. وأوضح الرئيس أن هذا الملخص يبلور آراء الرئيس بشأن نتائج الدورة </w:t>
      </w:r>
      <w:r w:rsidR="000760EE" w:rsidRPr="000760EE">
        <w:rPr>
          <w:rFonts w:hint="cs"/>
          <w:rtl/>
        </w:rPr>
        <w:t>الرابعة</w:t>
      </w:r>
      <w:r w:rsidRPr="000760EE">
        <w:rPr>
          <w:rFonts w:hint="cs"/>
          <w:rtl/>
        </w:rPr>
        <w:t xml:space="preserve"> والثلاثين للجنة وأنه لا يخضع بالتالي لموافقة اللجنة.</w:t>
      </w:r>
    </w:p>
    <w:p w:rsidR="000C4522" w:rsidRDefault="000C4522" w:rsidP="00967627">
      <w:pPr>
        <w:pStyle w:val="NormalParaAR"/>
        <w:keepNext/>
        <w:rPr>
          <w:b/>
          <w:bCs/>
          <w:sz w:val="40"/>
          <w:szCs w:val="40"/>
        </w:rPr>
      </w:pPr>
      <w:r>
        <w:rPr>
          <w:rFonts w:hint="cs"/>
          <w:b/>
          <w:bCs/>
          <w:sz w:val="40"/>
          <w:szCs w:val="40"/>
          <w:rtl/>
        </w:rPr>
        <w:t xml:space="preserve">البند </w:t>
      </w:r>
      <w:r w:rsidR="00967627">
        <w:rPr>
          <w:rFonts w:hint="cs"/>
          <w:b/>
          <w:bCs/>
          <w:sz w:val="40"/>
          <w:szCs w:val="40"/>
          <w:rtl/>
        </w:rPr>
        <w:t>10</w:t>
      </w:r>
      <w:r>
        <w:rPr>
          <w:rFonts w:hint="cs"/>
          <w:b/>
          <w:bCs/>
          <w:sz w:val="40"/>
          <w:szCs w:val="40"/>
          <w:rtl/>
        </w:rPr>
        <w:t xml:space="preserve"> من جدول الأعمال: اختتام الدورة</w:t>
      </w:r>
    </w:p>
    <w:p w:rsidR="000C4522" w:rsidRPr="000760EE" w:rsidRDefault="000C4522" w:rsidP="004A50B7">
      <w:pPr>
        <w:pStyle w:val="NumberedParaAR"/>
        <w:numPr>
          <w:ilvl w:val="0"/>
          <w:numId w:val="21"/>
        </w:numPr>
        <w:spacing w:after="480"/>
        <w:rPr>
          <w:rtl/>
        </w:rPr>
      </w:pPr>
      <w:r w:rsidRPr="000760EE">
        <w:rPr>
          <w:rFonts w:hint="cs"/>
          <w:rtl/>
        </w:rPr>
        <w:t xml:space="preserve">ستعقد اللجنة دورتها القادمة في الفترة من </w:t>
      </w:r>
      <w:r w:rsidR="000760EE" w:rsidRPr="000760EE">
        <w:rPr>
          <w:rFonts w:hint="cs"/>
          <w:rtl/>
        </w:rPr>
        <w:t>13</w:t>
      </w:r>
      <w:r w:rsidRPr="000760EE">
        <w:rPr>
          <w:rFonts w:hint="cs"/>
          <w:rtl/>
        </w:rPr>
        <w:t xml:space="preserve"> إلى </w:t>
      </w:r>
      <w:r w:rsidR="000760EE" w:rsidRPr="000760EE">
        <w:rPr>
          <w:rFonts w:hint="cs"/>
          <w:rtl/>
        </w:rPr>
        <w:t>17</w:t>
      </w:r>
      <w:r w:rsidR="004A50B7">
        <w:rPr>
          <w:rFonts w:hint="eastAsia"/>
          <w:rtl/>
        </w:rPr>
        <w:t> </w:t>
      </w:r>
      <w:r w:rsidR="000760EE" w:rsidRPr="000760EE">
        <w:rPr>
          <w:rFonts w:hint="cs"/>
          <w:rtl/>
        </w:rPr>
        <w:t>نوفمبر</w:t>
      </w:r>
      <w:r w:rsidR="004A50B7">
        <w:rPr>
          <w:rFonts w:hint="eastAsia"/>
          <w:rtl/>
        </w:rPr>
        <w:t> </w:t>
      </w:r>
      <w:r w:rsidRPr="000760EE">
        <w:rPr>
          <w:rFonts w:hint="cs"/>
          <w:rtl/>
        </w:rPr>
        <w:t>2017.</w:t>
      </w:r>
    </w:p>
    <w:p w:rsidR="000760EE" w:rsidRDefault="000C4522" w:rsidP="000C4522">
      <w:pPr>
        <w:pStyle w:val="EndofDocumentAR"/>
        <w:rPr>
          <w:rtl/>
        </w:rPr>
      </w:pPr>
      <w:r>
        <w:rPr>
          <w:rFonts w:hint="cs"/>
          <w:rtl/>
        </w:rPr>
        <w:t>[نهاية الوثيقة]</w:t>
      </w:r>
    </w:p>
    <w:sectPr w:rsidR="000760E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2E" w:rsidRDefault="00CA672E">
      <w:r>
        <w:separator/>
      </w:r>
    </w:p>
  </w:endnote>
  <w:endnote w:type="continuationSeparator" w:id="0">
    <w:p w:rsidR="00CA672E" w:rsidRDefault="00CA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2E" w:rsidRDefault="00CA672E" w:rsidP="009622BF">
      <w:pPr>
        <w:bidi/>
      </w:pPr>
      <w:bookmarkStart w:id="0" w:name="OLE_LINK1"/>
      <w:bookmarkStart w:id="1" w:name="OLE_LINK2"/>
      <w:r>
        <w:separator/>
      </w:r>
      <w:bookmarkEnd w:id="0"/>
      <w:bookmarkEnd w:id="1"/>
    </w:p>
  </w:footnote>
  <w:footnote w:type="continuationSeparator" w:id="0">
    <w:p w:rsidR="00CA672E" w:rsidRDefault="00CA672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DB4491">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2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5C9"/>
    <w:rsid w:val="000500C9"/>
    <w:rsid w:val="0005014C"/>
    <w:rsid w:val="000508E2"/>
    <w:rsid w:val="00050A69"/>
    <w:rsid w:val="00050C55"/>
    <w:rsid w:val="00050F28"/>
    <w:rsid w:val="00052FA3"/>
    <w:rsid w:val="00053836"/>
    <w:rsid w:val="00054659"/>
    <w:rsid w:val="00054C3F"/>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0EE"/>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1DB"/>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522"/>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A80"/>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D89"/>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E30"/>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7CE"/>
    <w:rsid w:val="00242BD3"/>
    <w:rsid w:val="00242C02"/>
    <w:rsid w:val="00243155"/>
    <w:rsid w:val="0024625C"/>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1B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1B36"/>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611"/>
    <w:rsid w:val="002E28F3"/>
    <w:rsid w:val="002E7615"/>
    <w:rsid w:val="002E7A2A"/>
    <w:rsid w:val="002E7F16"/>
    <w:rsid w:val="002F1425"/>
    <w:rsid w:val="002F2EC8"/>
    <w:rsid w:val="002F4CE2"/>
    <w:rsid w:val="002F5F6A"/>
    <w:rsid w:val="002F60A4"/>
    <w:rsid w:val="002F6B0C"/>
    <w:rsid w:val="002F77FC"/>
    <w:rsid w:val="003004A6"/>
    <w:rsid w:val="00300917"/>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13A"/>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43B"/>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8F6"/>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94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083F"/>
    <w:rsid w:val="004A1DC1"/>
    <w:rsid w:val="004A31A2"/>
    <w:rsid w:val="004A4126"/>
    <w:rsid w:val="004A48A7"/>
    <w:rsid w:val="004A50B7"/>
    <w:rsid w:val="004A655D"/>
    <w:rsid w:val="004A7D7A"/>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91"/>
    <w:rsid w:val="005266BD"/>
    <w:rsid w:val="0052772D"/>
    <w:rsid w:val="00530442"/>
    <w:rsid w:val="00534AF0"/>
    <w:rsid w:val="00535060"/>
    <w:rsid w:val="00535738"/>
    <w:rsid w:val="005409EB"/>
    <w:rsid w:val="00540F30"/>
    <w:rsid w:val="00541DD2"/>
    <w:rsid w:val="00543A63"/>
    <w:rsid w:val="00543AB5"/>
    <w:rsid w:val="00544A03"/>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4EAB"/>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DAB"/>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4F"/>
    <w:rsid w:val="00614F67"/>
    <w:rsid w:val="00615277"/>
    <w:rsid w:val="00615519"/>
    <w:rsid w:val="00615CED"/>
    <w:rsid w:val="00615CFC"/>
    <w:rsid w:val="00617A92"/>
    <w:rsid w:val="00620CEE"/>
    <w:rsid w:val="00622558"/>
    <w:rsid w:val="00622D5F"/>
    <w:rsid w:val="00622EAE"/>
    <w:rsid w:val="0062334E"/>
    <w:rsid w:val="006239E6"/>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779B7"/>
    <w:rsid w:val="00680657"/>
    <w:rsid w:val="00680BD9"/>
    <w:rsid w:val="00681B4A"/>
    <w:rsid w:val="00681D07"/>
    <w:rsid w:val="00681EDA"/>
    <w:rsid w:val="00682017"/>
    <w:rsid w:val="00682AAD"/>
    <w:rsid w:val="006868CA"/>
    <w:rsid w:val="00686E32"/>
    <w:rsid w:val="00687EDB"/>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583"/>
    <w:rsid w:val="006B79A4"/>
    <w:rsid w:val="006C1254"/>
    <w:rsid w:val="006C2DC5"/>
    <w:rsid w:val="006C480B"/>
    <w:rsid w:val="006C570B"/>
    <w:rsid w:val="006C572E"/>
    <w:rsid w:val="006C5997"/>
    <w:rsid w:val="006C5CD2"/>
    <w:rsid w:val="006D0636"/>
    <w:rsid w:val="006D06DC"/>
    <w:rsid w:val="006D2E54"/>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B8F"/>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B15"/>
    <w:rsid w:val="00792F0C"/>
    <w:rsid w:val="00795460"/>
    <w:rsid w:val="00796CF7"/>
    <w:rsid w:val="00797D66"/>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1F"/>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FDD"/>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926"/>
    <w:rsid w:val="00956244"/>
    <w:rsid w:val="00956A06"/>
    <w:rsid w:val="00957435"/>
    <w:rsid w:val="009578D0"/>
    <w:rsid w:val="009600C6"/>
    <w:rsid w:val="00960D80"/>
    <w:rsid w:val="00961EF7"/>
    <w:rsid w:val="009621CE"/>
    <w:rsid w:val="009622BF"/>
    <w:rsid w:val="00964E85"/>
    <w:rsid w:val="009651B8"/>
    <w:rsid w:val="009653F3"/>
    <w:rsid w:val="0096587A"/>
    <w:rsid w:val="009666E7"/>
    <w:rsid w:val="00967278"/>
    <w:rsid w:val="00967627"/>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87A"/>
    <w:rsid w:val="009A2961"/>
    <w:rsid w:val="009A344A"/>
    <w:rsid w:val="009A41C7"/>
    <w:rsid w:val="009A4F5A"/>
    <w:rsid w:val="009A5C82"/>
    <w:rsid w:val="009B010D"/>
    <w:rsid w:val="009B0AAB"/>
    <w:rsid w:val="009B0D3E"/>
    <w:rsid w:val="009B2AD1"/>
    <w:rsid w:val="009B3224"/>
    <w:rsid w:val="009B3A61"/>
    <w:rsid w:val="009B528E"/>
    <w:rsid w:val="009B54FE"/>
    <w:rsid w:val="009B58FB"/>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1EB4"/>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01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E87"/>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86775"/>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8C1"/>
    <w:rsid w:val="00BC3AE8"/>
    <w:rsid w:val="00BC3AF4"/>
    <w:rsid w:val="00BC43A8"/>
    <w:rsid w:val="00BC5C6D"/>
    <w:rsid w:val="00BC7120"/>
    <w:rsid w:val="00BC76A3"/>
    <w:rsid w:val="00BD00D1"/>
    <w:rsid w:val="00BD07A2"/>
    <w:rsid w:val="00BD0C51"/>
    <w:rsid w:val="00BD2603"/>
    <w:rsid w:val="00BD4EEC"/>
    <w:rsid w:val="00BD4F34"/>
    <w:rsid w:val="00BD537C"/>
    <w:rsid w:val="00BD6F5B"/>
    <w:rsid w:val="00BD7662"/>
    <w:rsid w:val="00BE05ED"/>
    <w:rsid w:val="00BE350E"/>
    <w:rsid w:val="00BE3801"/>
    <w:rsid w:val="00BE38CF"/>
    <w:rsid w:val="00BE394B"/>
    <w:rsid w:val="00BE3972"/>
    <w:rsid w:val="00BE48A8"/>
    <w:rsid w:val="00BE528F"/>
    <w:rsid w:val="00BE5850"/>
    <w:rsid w:val="00BE58D6"/>
    <w:rsid w:val="00BE5CA6"/>
    <w:rsid w:val="00BE707F"/>
    <w:rsid w:val="00BE7F5D"/>
    <w:rsid w:val="00BF0707"/>
    <w:rsid w:val="00BF164F"/>
    <w:rsid w:val="00BF1AAF"/>
    <w:rsid w:val="00BF268B"/>
    <w:rsid w:val="00BF2B93"/>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37F5B"/>
    <w:rsid w:val="00C40DE4"/>
    <w:rsid w:val="00C40E63"/>
    <w:rsid w:val="00C4199E"/>
    <w:rsid w:val="00C41A06"/>
    <w:rsid w:val="00C4261B"/>
    <w:rsid w:val="00C42BFB"/>
    <w:rsid w:val="00C431B6"/>
    <w:rsid w:val="00C44DDC"/>
    <w:rsid w:val="00C5128B"/>
    <w:rsid w:val="00C51423"/>
    <w:rsid w:val="00C5294D"/>
    <w:rsid w:val="00C52F83"/>
    <w:rsid w:val="00C54C1B"/>
    <w:rsid w:val="00C54DBA"/>
    <w:rsid w:val="00C57ED3"/>
    <w:rsid w:val="00C61640"/>
    <w:rsid w:val="00C61AA7"/>
    <w:rsid w:val="00C61B8E"/>
    <w:rsid w:val="00C668DE"/>
    <w:rsid w:val="00C7044F"/>
    <w:rsid w:val="00C71181"/>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239"/>
    <w:rsid w:val="00C974CB"/>
    <w:rsid w:val="00C97929"/>
    <w:rsid w:val="00CA0049"/>
    <w:rsid w:val="00CA0980"/>
    <w:rsid w:val="00CA2A98"/>
    <w:rsid w:val="00CA2BAE"/>
    <w:rsid w:val="00CA34BA"/>
    <w:rsid w:val="00CA4503"/>
    <w:rsid w:val="00CA5A66"/>
    <w:rsid w:val="00CA651B"/>
    <w:rsid w:val="00CA672E"/>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663"/>
    <w:rsid w:val="00D01A9F"/>
    <w:rsid w:val="00D01CED"/>
    <w:rsid w:val="00D01E38"/>
    <w:rsid w:val="00D022B5"/>
    <w:rsid w:val="00D03602"/>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C83"/>
    <w:rsid w:val="00D621B7"/>
    <w:rsid w:val="00D6294E"/>
    <w:rsid w:val="00D63C9A"/>
    <w:rsid w:val="00D640BC"/>
    <w:rsid w:val="00D654D5"/>
    <w:rsid w:val="00D65A9D"/>
    <w:rsid w:val="00D65CB5"/>
    <w:rsid w:val="00D6705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EEF"/>
    <w:rsid w:val="00DA608B"/>
    <w:rsid w:val="00DA7413"/>
    <w:rsid w:val="00DA7D0A"/>
    <w:rsid w:val="00DB0066"/>
    <w:rsid w:val="00DB0F9E"/>
    <w:rsid w:val="00DB1307"/>
    <w:rsid w:val="00DB1E1A"/>
    <w:rsid w:val="00DB2AF6"/>
    <w:rsid w:val="00DB364F"/>
    <w:rsid w:val="00DB39E7"/>
    <w:rsid w:val="00DB3AAE"/>
    <w:rsid w:val="00DB3B3E"/>
    <w:rsid w:val="00DB4491"/>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AD6"/>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2AC"/>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8CC"/>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FF5"/>
    <w:rsid w:val="00ED1877"/>
    <w:rsid w:val="00ED247F"/>
    <w:rsid w:val="00ED27E4"/>
    <w:rsid w:val="00ED2F27"/>
    <w:rsid w:val="00ED3370"/>
    <w:rsid w:val="00ED4D96"/>
    <w:rsid w:val="00ED5A40"/>
    <w:rsid w:val="00ED5F21"/>
    <w:rsid w:val="00ED602C"/>
    <w:rsid w:val="00ED62B5"/>
    <w:rsid w:val="00ED6DDB"/>
    <w:rsid w:val="00ED7985"/>
    <w:rsid w:val="00EE270D"/>
    <w:rsid w:val="00EE512A"/>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330"/>
    <w:rsid w:val="00F02663"/>
    <w:rsid w:val="00F03369"/>
    <w:rsid w:val="00F04E62"/>
    <w:rsid w:val="00F050AA"/>
    <w:rsid w:val="00F05E6D"/>
    <w:rsid w:val="00F11800"/>
    <w:rsid w:val="00F11B61"/>
    <w:rsid w:val="00F135D6"/>
    <w:rsid w:val="00F13922"/>
    <w:rsid w:val="00F13DBC"/>
    <w:rsid w:val="00F156B4"/>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0C4"/>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A672E"/>
    <w:rPr>
      <w:rFonts w:ascii="Tahoma" w:hAnsi="Tahoma" w:cs="Tahoma"/>
      <w:sz w:val="16"/>
      <w:szCs w:val="16"/>
    </w:rPr>
  </w:style>
  <w:style w:type="character" w:customStyle="1" w:styleId="BalloonTextChar">
    <w:name w:val="Balloon Text Char"/>
    <w:basedOn w:val="DefaultParagraphFont"/>
    <w:link w:val="BalloonText"/>
    <w:rsid w:val="00CA672E"/>
    <w:rPr>
      <w:rFonts w:ascii="Tahoma" w:hAnsi="Tahoma" w:cs="Tahoma"/>
      <w:sz w:val="16"/>
      <w:szCs w:val="16"/>
    </w:rPr>
  </w:style>
  <w:style w:type="character" w:styleId="Hyperlink">
    <w:name w:val="Hyperlink"/>
    <w:basedOn w:val="DefaultParagraphFont"/>
    <w:unhideWhenUsed/>
    <w:rsid w:val="000C45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A672E"/>
    <w:rPr>
      <w:rFonts w:ascii="Tahoma" w:hAnsi="Tahoma" w:cs="Tahoma"/>
      <w:sz w:val="16"/>
      <w:szCs w:val="16"/>
    </w:rPr>
  </w:style>
  <w:style w:type="character" w:customStyle="1" w:styleId="BalloonTextChar">
    <w:name w:val="Balloon Text Char"/>
    <w:basedOn w:val="DefaultParagraphFont"/>
    <w:link w:val="BalloonText"/>
    <w:rsid w:val="00CA672E"/>
    <w:rPr>
      <w:rFonts w:ascii="Tahoma" w:hAnsi="Tahoma" w:cs="Tahoma"/>
      <w:sz w:val="16"/>
      <w:szCs w:val="16"/>
    </w:rPr>
  </w:style>
  <w:style w:type="character" w:styleId="Hyperlink">
    <w:name w:val="Hyperlink"/>
    <w:basedOn w:val="DefaultParagraphFont"/>
    <w:unhideWhenUsed/>
    <w:rsid w:val="000C4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7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SCCR/34/-- (Arabic)</vt:lpstr>
    </vt:vector>
  </TitlesOfParts>
  <Company>World Intellectual Property Organization</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 (Arabic)</dc:title>
  <dc:creator>MERZOUK Fawzi</dc:creator>
  <cp:lastModifiedBy>HAIZEL Francesca</cp:lastModifiedBy>
  <cp:revision>2</cp:revision>
  <cp:lastPrinted>2017-05-12T09:55:00Z</cp:lastPrinted>
  <dcterms:created xsi:type="dcterms:W3CDTF">2017-05-17T08:22:00Z</dcterms:created>
  <dcterms:modified xsi:type="dcterms:W3CDTF">2017-05-17T08:22:00Z</dcterms:modified>
</cp:coreProperties>
</file>