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A2663">
      <w:pPr>
        <w:pBdr>
          <w:top w:val="single" w:sz="4" w:space="10" w:color="auto"/>
        </w:pBdr>
        <w:bidi w:val="0"/>
        <w:rPr>
          <w:rFonts w:ascii="Arial Black" w:eastAsia="SimSun" w:hAnsi="Arial Black" w:cs="Arial"/>
          <w:b/>
          <w:caps/>
          <w:noProof/>
          <w:sz w:val="16"/>
          <w:szCs w:val="16"/>
          <w:rtl/>
          <w:lang w:eastAsia="zh-CN"/>
        </w:rPr>
      </w:pPr>
      <w:bookmarkStart w:id="3" w:name="Code2"/>
      <w:r w:rsidRPr="00EA2663">
        <w:rPr>
          <w:rFonts w:ascii="Arial Black" w:eastAsia="SimSun" w:hAnsi="Arial Black" w:cs="Arial"/>
          <w:b/>
          <w:caps/>
          <w:noProof/>
          <w:sz w:val="16"/>
          <w:szCs w:val="16"/>
          <w:lang w:eastAsia="zh-CN"/>
        </w:rPr>
        <w:t>SCCR/37</w:t>
      </w:r>
      <w:r w:rsidR="006230C8">
        <w:rPr>
          <w:rFonts w:ascii="Arial Black" w:eastAsia="SimSun" w:hAnsi="Arial Black" w:cs="Arial"/>
          <w:b/>
          <w:caps/>
          <w:noProof/>
          <w:sz w:val="16"/>
          <w:szCs w:val="16"/>
          <w:lang w:eastAsia="zh-CN"/>
        </w:rPr>
        <w:t>/</w:t>
      </w:r>
      <w:r w:rsidR="002D7E7B">
        <w:rPr>
          <w:rFonts w:ascii="Arial Black" w:eastAsia="SimSun" w:hAnsi="Arial Black" w:cs="Arial"/>
          <w:b/>
          <w:caps/>
          <w:noProof/>
          <w:sz w:val="16"/>
          <w:szCs w:val="16"/>
          <w:lang w:eastAsia="zh-CN"/>
        </w:rPr>
        <w:t>5</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2D7E7B">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D7E7B">
        <w:rPr>
          <w:b/>
          <w:bCs/>
          <w:sz w:val="30"/>
          <w:szCs w:val="30"/>
          <w:rtl/>
        </w:rPr>
        <w:t>14 نوفمبر 2018</w:t>
      </w:r>
    </w:p>
    <w:p w:rsidR="002E7810" w:rsidRPr="00FD6D15" w:rsidRDefault="00EA2663" w:rsidP="009B7572">
      <w:pPr>
        <w:pStyle w:val="Heading1"/>
        <w:spacing w:after="600" w:line="240" w:lineRule="auto"/>
        <w:rPr>
          <w:rtl/>
        </w:rPr>
      </w:pPr>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r w:rsidRPr="00EA2663">
        <w:rPr>
          <w:b/>
          <w:bCs/>
          <w:rtl/>
        </w:rPr>
        <w:t>جنيف، من 26 إلى 30 نوفمبر 2018</w:t>
      </w:r>
    </w:p>
    <w:p w:rsidR="002E7810" w:rsidRPr="002E7810" w:rsidRDefault="002D7E7B" w:rsidP="00144A0E">
      <w:pPr>
        <w:rPr>
          <w:rFonts w:ascii="Arial Black" w:hAnsi="Arial Black" w:cs="PT Bold Heading"/>
          <w:sz w:val="26"/>
          <w:szCs w:val="26"/>
          <w:rtl/>
        </w:rPr>
      </w:pPr>
      <w:r>
        <w:rPr>
          <w:rFonts w:ascii="Arial Black" w:hAnsi="Arial Black" w:cs="PT Bold Heading" w:hint="eastAsia"/>
          <w:sz w:val="26"/>
          <w:szCs w:val="26"/>
          <w:rtl/>
        </w:rPr>
        <w:t>فرقة</w:t>
      </w:r>
      <w:r>
        <w:rPr>
          <w:rFonts w:ascii="Arial Black" w:hAnsi="Arial Black" w:cs="PT Bold Heading"/>
          <w:sz w:val="26"/>
          <w:szCs w:val="26"/>
          <w:rtl/>
        </w:rPr>
        <w:t xml:space="preserve"> </w:t>
      </w:r>
      <w:r>
        <w:rPr>
          <w:rFonts w:ascii="Arial Black" w:hAnsi="Arial Black" w:cs="PT Bold Heading" w:hint="eastAsia"/>
          <w:sz w:val="26"/>
          <w:szCs w:val="26"/>
          <w:rtl/>
        </w:rPr>
        <w:t>العمل</w:t>
      </w:r>
      <w:r>
        <w:rPr>
          <w:rFonts w:ascii="Arial Black" w:hAnsi="Arial Black" w:cs="PT Bold Heading"/>
          <w:sz w:val="26"/>
          <w:szCs w:val="26"/>
          <w:rtl/>
        </w:rPr>
        <w:t xml:space="preserve"> </w:t>
      </w:r>
      <w:r>
        <w:rPr>
          <w:rFonts w:ascii="Arial Black" w:hAnsi="Arial Black" w:cs="PT Bold Heading" w:hint="eastAsia"/>
          <w:sz w:val="26"/>
          <w:szCs w:val="26"/>
          <w:rtl/>
        </w:rPr>
        <w:t>المعنية</w:t>
      </w:r>
      <w:r>
        <w:rPr>
          <w:rFonts w:ascii="Arial Black" w:hAnsi="Arial Black" w:cs="PT Bold Heading"/>
          <w:sz w:val="26"/>
          <w:szCs w:val="26"/>
          <w:rtl/>
        </w:rPr>
        <w:t xml:space="preserve"> </w:t>
      </w:r>
      <w:r>
        <w:rPr>
          <w:rFonts w:ascii="Arial Black" w:hAnsi="Arial Black" w:cs="PT Bold Heading" w:hint="eastAsia"/>
          <w:sz w:val="26"/>
          <w:szCs w:val="26"/>
          <w:rtl/>
        </w:rPr>
        <w:t>بحق</w:t>
      </w:r>
      <w:r>
        <w:rPr>
          <w:rFonts w:ascii="Arial Black" w:hAnsi="Arial Black" w:cs="PT Bold Heading"/>
          <w:sz w:val="26"/>
          <w:szCs w:val="26"/>
          <w:rtl/>
        </w:rPr>
        <w:t xml:space="preserve"> </w:t>
      </w:r>
      <w:r w:rsidR="00144A0E">
        <w:rPr>
          <w:rFonts w:ascii="Arial Black" w:hAnsi="Arial Black" w:cs="PT Bold Heading" w:hint="cs"/>
          <w:sz w:val="26"/>
          <w:szCs w:val="26"/>
          <w:rtl/>
        </w:rPr>
        <w:t>ال</w:t>
      </w:r>
      <w:r>
        <w:rPr>
          <w:rFonts w:ascii="Arial Black" w:hAnsi="Arial Black" w:cs="PT Bold Heading" w:hint="eastAsia"/>
          <w:sz w:val="26"/>
          <w:szCs w:val="26"/>
          <w:rtl/>
        </w:rPr>
        <w:t>تتبع</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2D7E7B">
        <w:rPr>
          <w:rFonts w:hint="eastAsia"/>
          <w:i/>
          <w:iCs/>
          <w:rtl/>
        </w:rPr>
        <w:t>الأمانة</w:t>
      </w:r>
    </w:p>
    <w:p w:rsidR="002D7E7B" w:rsidRDefault="002D7E7B">
      <w:pPr>
        <w:bidi w:val="0"/>
        <w:rPr>
          <w:rtl/>
          <w:lang w:bidi="ar-EG"/>
        </w:rPr>
      </w:pPr>
      <w:r>
        <w:rPr>
          <w:rtl/>
        </w:rPr>
        <w:br w:type="page"/>
      </w:r>
    </w:p>
    <w:p w:rsidR="00E3612C" w:rsidRPr="00FD6D15" w:rsidRDefault="005B0B86" w:rsidP="00144A0E">
      <w:pPr>
        <w:pStyle w:val="BodyText"/>
        <w:rPr>
          <w:lang w:bidi="ar-SA"/>
        </w:rPr>
      </w:pPr>
      <w:r>
        <w:rPr>
          <w:rFonts w:hint="cs"/>
          <w:rtl/>
          <w:lang w:bidi="ar-SA"/>
        </w:rPr>
        <w:lastRenderedPageBreak/>
        <w:t>في ملخص رئيس الدورة السادسة والثلاثين للجنة الدائمة المعنية بحق المؤلف والحقوق المجاورة (لحنة حق المؤلف) المعقودة في</w:t>
      </w:r>
      <w:r>
        <w:rPr>
          <w:rFonts w:hint="eastAsia"/>
          <w:rtl/>
          <w:lang w:bidi="ar-SA"/>
        </w:rPr>
        <w:t> </w:t>
      </w:r>
      <w:r>
        <w:rPr>
          <w:rFonts w:hint="cs"/>
          <w:rtl/>
          <w:lang w:bidi="ar-SA"/>
        </w:rPr>
        <w:t xml:space="preserve">مايو 2018، وافقت اللجنة، فيما يخص حق </w:t>
      </w:r>
      <w:r w:rsidR="00144A0E">
        <w:rPr>
          <w:rFonts w:hint="cs"/>
          <w:rtl/>
          <w:lang w:bidi="ar-SA"/>
        </w:rPr>
        <w:t>التتبّع</w:t>
      </w:r>
      <w:r>
        <w:rPr>
          <w:rFonts w:hint="cs"/>
          <w:rtl/>
          <w:lang w:bidi="ar-SA"/>
        </w:rPr>
        <w:t>، على إنشاء فرقة عمل مكوّنة من الأعضاء وأصحاب المصلحة كي تقدم تقريرا إلى ال</w:t>
      </w:r>
      <w:r w:rsidR="00FD38E0">
        <w:rPr>
          <w:rFonts w:hint="cs"/>
          <w:rtl/>
          <w:lang w:bidi="ar-SA"/>
        </w:rPr>
        <w:t xml:space="preserve">لجنة بشأن العناصر العملية لحق </w:t>
      </w:r>
      <w:r w:rsidR="00144A0E">
        <w:rPr>
          <w:rFonts w:hint="cs"/>
          <w:rtl/>
          <w:lang w:bidi="ar-SA"/>
        </w:rPr>
        <w:t>ال</w:t>
      </w:r>
      <w:r w:rsidR="00FD38E0">
        <w:rPr>
          <w:rFonts w:hint="cs"/>
          <w:rtl/>
          <w:lang w:bidi="ar-SA"/>
        </w:rPr>
        <w:t xml:space="preserve">تتبع </w:t>
      </w:r>
      <w:r w:rsidR="00144A0E">
        <w:rPr>
          <w:rFonts w:hint="cs"/>
          <w:rtl/>
          <w:lang w:bidi="ar-SA"/>
        </w:rPr>
        <w:t>الخاص</w:t>
      </w:r>
      <w:r w:rsidR="00FD38E0">
        <w:rPr>
          <w:rFonts w:hint="cs"/>
          <w:rtl/>
          <w:lang w:bidi="ar-SA"/>
        </w:rPr>
        <w:t xml:space="preserve"> </w:t>
      </w:r>
      <w:r w:rsidR="00144A0E">
        <w:rPr>
          <w:rFonts w:hint="cs"/>
          <w:rtl/>
          <w:lang w:bidi="ar-SA"/>
        </w:rPr>
        <w:t>ب</w:t>
      </w:r>
      <w:r w:rsidR="00FD38E0">
        <w:rPr>
          <w:rFonts w:hint="cs"/>
          <w:rtl/>
          <w:lang w:bidi="ar-SA"/>
        </w:rPr>
        <w:t>الفنانين</w:t>
      </w:r>
      <w:r>
        <w:rPr>
          <w:rFonts w:hint="cs"/>
          <w:rtl/>
          <w:lang w:bidi="ar-SA"/>
        </w:rPr>
        <w:t>. والتُمس من فرقة العمل تقديم تقرير مرحلي إلى الدورة السابعة والثلاثين للجنة حق المؤلف</w:t>
      </w:r>
      <w:r w:rsidR="00FD38E0">
        <w:rPr>
          <w:rFonts w:hint="cs"/>
          <w:rtl/>
          <w:lang w:bidi="ar-SA"/>
        </w:rPr>
        <w:t>.</w:t>
      </w:r>
    </w:p>
    <w:p w:rsidR="00C41AE0" w:rsidRDefault="005B0B86" w:rsidP="005B0B86">
      <w:pPr>
        <w:pStyle w:val="BodyText"/>
        <w:rPr>
          <w:rtl/>
        </w:rPr>
      </w:pPr>
      <w:r>
        <w:rPr>
          <w:rFonts w:hint="cs"/>
          <w:rtl/>
        </w:rPr>
        <w:t>وتورد هذه الوثيقة تقريرا عن تشكيلة فرقة العمل وطرائق عملها ونطاقها.</w:t>
      </w:r>
    </w:p>
    <w:p w:rsidR="005B0B86" w:rsidRPr="005B0B86" w:rsidRDefault="005B0B86" w:rsidP="005B0B86">
      <w:pPr>
        <w:pStyle w:val="BodyText"/>
        <w:keepNext/>
        <w:rPr>
          <w:b/>
          <w:bCs/>
          <w:rtl/>
        </w:rPr>
      </w:pPr>
      <w:r w:rsidRPr="005B0B86">
        <w:rPr>
          <w:rFonts w:hint="cs"/>
          <w:b/>
          <w:bCs/>
          <w:rtl/>
        </w:rPr>
        <w:t>التشكيلة</w:t>
      </w:r>
    </w:p>
    <w:p w:rsidR="005B0B86" w:rsidRDefault="005B0B86" w:rsidP="005B0B86">
      <w:pPr>
        <w:pStyle w:val="BodyText"/>
        <w:rPr>
          <w:rtl/>
          <w:lang w:bidi="ar-SA"/>
        </w:rPr>
      </w:pPr>
      <w:r>
        <w:rPr>
          <w:rFonts w:hint="cs"/>
          <w:rtl/>
          <w:lang w:bidi="ar-SA"/>
        </w:rPr>
        <w:t>يضمّ الخبراء الذين اختيروا لأغراض فرقة العمل ممثلا عن كل مجموعة من مجموعات أصحاب المصلحة التالية. واختير الخبراء على أساس خبراتهم الشخصية</w:t>
      </w:r>
      <w:r w:rsidR="00636B2A">
        <w:rPr>
          <w:rFonts w:hint="cs"/>
          <w:rtl/>
          <w:lang w:bidi="ar-SA"/>
        </w:rPr>
        <w:t>.</w:t>
      </w:r>
    </w:p>
    <w:p w:rsidR="00636B2A" w:rsidRDefault="00636B2A" w:rsidP="00636B2A">
      <w:pPr>
        <w:pStyle w:val="BodyText"/>
        <w:numPr>
          <w:ilvl w:val="0"/>
          <w:numId w:val="45"/>
        </w:numPr>
        <w:rPr>
          <w:lang w:bidi="ar-SA"/>
        </w:rPr>
      </w:pPr>
      <w:r>
        <w:rPr>
          <w:rFonts w:hint="cs"/>
          <w:rtl/>
          <w:lang w:bidi="ar-SA"/>
        </w:rPr>
        <w:t>الأستاذ سام ريكيستون، جامعة ملبورن، ملبورن، أستراليا؛</w:t>
      </w:r>
    </w:p>
    <w:p w:rsidR="00636B2A" w:rsidRDefault="004303EB" w:rsidP="004303EB">
      <w:pPr>
        <w:pStyle w:val="BodyText"/>
        <w:numPr>
          <w:ilvl w:val="0"/>
          <w:numId w:val="45"/>
        </w:numPr>
        <w:spacing w:before="0"/>
        <w:rPr>
          <w:lang w:bidi="ar-SA"/>
        </w:rPr>
      </w:pPr>
      <w:r>
        <w:rPr>
          <w:rFonts w:hint="cs"/>
          <w:rtl/>
          <w:lang w:bidi="ar-SA"/>
        </w:rPr>
        <w:t>و</w:t>
      </w:r>
      <w:r w:rsidR="00636B2A">
        <w:rPr>
          <w:rFonts w:hint="cs"/>
          <w:rtl/>
          <w:lang w:bidi="ar-SA"/>
        </w:rPr>
        <w:t>جوليو كاراسكو بريتون، فنان، المكسيك؛</w:t>
      </w:r>
    </w:p>
    <w:p w:rsidR="00636B2A" w:rsidRDefault="004303EB" w:rsidP="004303EB">
      <w:pPr>
        <w:pStyle w:val="BodyText"/>
        <w:numPr>
          <w:ilvl w:val="0"/>
          <w:numId w:val="45"/>
        </w:numPr>
        <w:spacing w:before="0"/>
        <w:rPr>
          <w:lang w:bidi="ar-SA"/>
        </w:rPr>
      </w:pPr>
      <w:r>
        <w:rPr>
          <w:rFonts w:hint="cs"/>
          <w:rtl/>
          <w:lang w:bidi="ar-SA"/>
        </w:rPr>
        <w:t>و</w:t>
      </w:r>
      <w:r w:rsidR="00636B2A">
        <w:rPr>
          <w:rFonts w:hint="cs"/>
          <w:rtl/>
          <w:lang w:bidi="ar-SA"/>
        </w:rPr>
        <w:t xml:space="preserve">ماري-آن فيري فول، </w:t>
      </w:r>
      <w:r w:rsidR="007D4E84">
        <w:rPr>
          <w:rFonts w:hint="cs"/>
          <w:rtl/>
          <w:lang w:bidi="ar-SA"/>
        </w:rPr>
        <w:t>ال</w:t>
      </w:r>
      <w:r w:rsidR="00636B2A">
        <w:rPr>
          <w:rFonts w:hint="cs"/>
          <w:rtl/>
          <w:lang w:bidi="ar-SA"/>
        </w:rPr>
        <w:t xml:space="preserve">مديرة </w:t>
      </w:r>
      <w:r w:rsidR="007D4E84">
        <w:rPr>
          <w:rFonts w:hint="cs"/>
          <w:rtl/>
          <w:lang w:bidi="ar-SA"/>
        </w:rPr>
        <w:t>العامة ل</w:t>
      </w:r>
      <w:r w:rsidR="00636B2A">
        <w:rPr>
          <w:rFonts w:hint="cs"/>
          <w:rtl/>
          <w:lang w:bidi="ar-SA"/>
        </w:rPr>
        <w:t xml:space="preserve">جمعية </w:t>
      </w:r>
      <w:r w:rsidR="00636B2A" w:rsidRPr="00636B2A">
        <w:rPr>
          <w:rtl/>
          <w:lang w:bidi="ar-SA"/>
        </w:rPr>
        <w:t xml:space="preserve">المؤلفين في مجال الفنون التخطيطية </w:t>
      </w:r>
      <w:r w:rsidR="005645D1">
        <w:rPr>
          <w:rFonts w:hint="cs"/>
          <w:rtl/>
          <w:lang w:bidi="ar-SA"/>
        </w:rPr>
        <w:t>والتشكيلية</w:t>
      </w:r>
      <w:r w:rsidR="00636B2A">
        <w:rPr>
          <w:rFonts w:hint="cs"/>
          <w:rtl/>
          <w:lang w:bidi="ar-SA"/>
        </w:rPr>
        <w:t xml:space="preserve"> (</w:t>
      </w:r>
      <w:r w:rsidR="00636B2A" w:rsidRPr="00636B2A">
        <w:rPr>
          <w:lang w:val="fr-FR" w:bidi="ar-SA"/>
        </w:rPr>
        <w:t>ADAGP</w:t>
      </w:r>
      <w:r w:rsidR="00636B2A">
        <w:rPr>
          <w:rFonts w:hint="cs"/>
          <w:rtl/>
          <w:lang w:bidi="ar-SA"/>
        </w:rPr>
        <w:t>)،</w:t>
      </w:r>
      <w:r w:rsidR="007D4E84">
        <w:rPr>
          <w:rFonts w:hint="cs"/>
          <w:rtl/>
          <w:lang w:bidi="ar-SA"/>
        </w:rPr>
        <w:t xml:space="preserve"> باريس،</w:t>
      </w:r>
      <w:r w:rsidR="007D4E84">
        <w:rPr>
          <w:rFonts w:hint="eastAsia"/>
          <w:rtl/>
          <w:lang w:bidi="ar-SA"/>
        </w:rPr>
        <w:t> </w:t>
      </w:r>
      <w:r w:rsidR="007D4E84">
        <w:rPr>
          <w:rFonts w:hint="cs"/>
          <w:rtl/>
          <w:lang w:bidi="ar-SA"/>
        </w:rPr>
        <w:t>فرنسا؛</w:t>
      </w:r>
    </w:p>
    <w:p w:rsidR="007D4E84" w:rsidRDefault="004303EB" w:rsidP="00447561">
      <w:pPr>
        <w:pStyle w:val="BodyText"/>
        <w:numPr>
          <w:ilvl w:val="0"/>
          <w:numId w:val="45"/>
        </w:numPr>
        <w:spacing w:before="0"/>
        <w:rPr>
          <w:lang w:bidi="ar-SA"/>
        </w:rPr>
      </w:pPr>
      <w:r>
        <w:rPr>
          <w:rFonts w:hint="cs"/>
          <w:rtl/>
          <w:lang w:bidi="ar-SA"/>
        </w:rPr>
        <w:t>و</w:t>
      </w:r>
      <w:r w:rsidR="007D4E84">
        <w:rPr>
          <w:rFonts w:hint="cs"/>
          <w:rtl/>
          <w:lang w:bidi="ar-SA"/>
        </w:rPr>
        <w:t xml:space="preserve">مارك دوجسون، الاتحاد الدولي لجمعيات تجار </w:t>
      </w:r>
      <w:r w:rsidR="00447561">
        <w:rPr>
          <w:rFonts w:hint="cs"/>
          <w:rtl/>
          <w:lang w:bidi="ar-SA"/>
        </w:rPr>
        <w:t>المصنفات</w:t>
      </w:r>
      <w:r w:rsidR="007D4E84">
        <w:rPr>
          <w:rFonts w:hint="cs"/>
          <w:rtl/>
          <w:lang w:bidi="ar-SA"/>
        </w:rPr>
        <w:t xml:space="preserve"> الفنية والعتيقة (</w:t>
      </w:r>
      <w:r w:rsidR="007D4E84" w:rsidRPr="007D4E84">
        <w:rPr>
          <w:lang w:bidi="ar-SA"/>
        </w:rPr>
        <w:t>CINOA</w:t>
      </w:r>
      <w:r w:rsidR="007D4E84">
        <w:rPr>
          <w:rFonts w:hint="cs"/>
          <w:rtl/>
          <w:lang w:bidi="ar-SA"/>
        </w:rPr>
        <w:t xml:space="preserve">)، الأمين العام للجمعية البريطانية لتجار </w:t>
      </w:r>
      <w:r w:rsidR="00447561">
        <w:rPr>
          <w:rFonts w:hint="cs"/>
          <w:rtl/>
          <w:lang w:bidi="ar-SA"/>
        </w:rPr>
        <w:t>المصنفات</w:t>
      </w:r>
      <w:r w:rsidR="007D4E84">
        <w:rPr>
          <w:rFonts w:hint="cs"/>
          <w:rtl/>
          <w:lang w:bidi="ar-SA"/>
        </w:rPr>
        <w:t xml:space="preserve"> العتيقة (</w:t>
      </w:r>
      <w:r w:rsidR="007D4E84" w:rsidRPr="007D4E84">
        <w:rPr>
          <w:lang w:bidi="ar-SA"/>
        </w:rPr>
        <w:t>BADA</w:t>
      </w:r>
      <w:r w:rsidR="007D4E84">
        <w:rPr>
          <w:rFonts w:hint="cs"/>
          <w:rtl/>
          <w:lang w:bidi="ar-SA"/>
        </w:rPr>
        <w:t>)، لندن، المملكة المتحدة؛</w:t>
      </w:r>
    </w:p>
    <w:p w:rsidR="007D4E84" w:rsidRDefault="004303EB" w:rsidP="004303EB">
      <w:pPr>
        <w:pStyle w:val="BodyText"/>
        <w:numPr>
          <w:ilvl w:val="0"/>
          <w:numId w:val="45"/>
        </w:numPr>
        <w:spacing w:before="0"/>
        <w:rPr>
          <w:lang w:bidi="ar-SA"/>
        </w:rPr>
      </w:pPr>
      <w:r>
        <w:rPr>
          <w:rFonts w:hint="cs"/>
          <w:rtl/>
          <w:lang w:bidi="ar-SA"/>
        </w:rPr>
        <w:t>و</w:t>
      </w:r>
      <w:r w:rsidR="007D4E84">
        <w:rPr>
          <w:rFonts w:hint="cs"/>
          <w:rtl/>
          <w:lang w:bidi="ar-SA"/>
        </w:rPr>
        <w:t xml:space="preserve">ممثل عن </w:t>
      </w:r>
      <w:r w:rsidR="005645D1">
        <w:rPr>
          <w:rFonts w:hint="cs"/>
          <w:rtl/>
          <w:lang w:bidi="ar-SA"/>
        </w:rPr>
        <w:t>شركة م</w:t>
      </w:r>
      <w:r w:rsidR="007D4E84">
        <w:rPr>
          <w:rFonts w:hint="cs"/>
          <w:rtl/>
          <w:lang w:bidi="ar-SA"/>
        </w:rPr>
        <w:t>زادات،</w:t>
      </w:r>
      <w:r w:rsidR="005645D1">
        <w:rPr>
          <w:rFonts w:hint="cs"/>
          <w:rtl/>
          <w:lang w:bidi="ar-SA"/>
        </w:rPr>
        <w:t xml:space="preserve"> يُحدّد لاحقا؛</w:t>
      </w:r>
    </w:p>
    <w:p w:rsidR="005645D1" w:rsidRDefault="004303EB" w:rsidP="004303EB">
      <w:pPr>
        <w:pStyle w:val="BodyText"/>
        <w:numPr>
          <w:ilvl w:val="0"/>
          <w:numId w:val="45"/>
        </w:numPr>
        <w:spacing w:before="0"/>
        <w:rPr>
          <w:lang w:bidi="ar-SA"/>
        </w:rPr>
      </w:pPr>
      <w:r>
        <w:rPr>
          <w:rFonts w:hint="cs"/>
          <w:rtl/>
          <w:lang w:bidi="ar-SA"/>
        </w:rPr>
        <w:t>و</w:t>
      </w:r>
      <w:r w:rsidR="005645D1">
        <w:rPr>
          <w:rFonts w:hint="cs"/>
          <w:rtl/>
          <w:lang w:bidi="ar-SA"/>
        </w:rPr>
        <w:t>إميلي ميرميو، شركة سيدو وشركاه للفنون الجميلة، جنيف، سويسرا</w:t>
      </w:r>
      <w:r w:rsidR="00FD38E0">
        <w:rPr>
          <w:rFonts w:hint="cs"/>
          <w:rtl/>
          <w:lang w:bidi="ar-SA"/>
        </w:rPr>
        <w:t>؛</w:t>
      </w:r>
    </w:p>
    <w:p w:rsidR="004303EB" w:rsidRDefault="004303EB" w:rsidP="004303EB">
      <w:pPr>
        <w:pStyle w:val="BodyText"/>
        <w:numPr>
          <w:ilvl w:val="0"/>
          <w:numId w:val="45"/>
        </w:numPr>
        <w:spacing w:before="0"/>
        <w:rPr>
          <w:lang w:bidi="ar-SA"/>
        </w:rPr>
      </w:pPr>
      <w:r>
        <w:rPr>
          <w:rFonts w:hint="cs"/>
          <w:rtl/>
          <w:lang w:bidi="ar-SA"/>
        </w:rPr>
        <w:t>وممثل عن رئيس لجنة حق المؤلف؛</w:t>
      </w:r>
    </w:p>
    <w:p w:rsidR="004303EB" w:rsidRDefault="004303EB" w:rsidP="004303EB">
      <w:pPr>
        <w:pStyle w:val="BodyText"/>
        <w:numPr>
          <w:ilvl w:val="0"/>
          <w:numId w:val="45"/>
        </w:numPr>
        <w:spacing w:before="0"/>
        <w:rPr>
          <w:lang w:bidi="ar-SA"/>
        </w:rPr>
      </w:pPr>
      <w:r>
        <w:rPr>
          <w:rFonts w:hint="cs"/>
          <w:rtl/>
          <w:lang w:bidi="ar-SA"/>
        </w:rPr>
        <w:lastRenderedPageBreak/>
        <w:t>ونائبين لرئيس لجنة حق المؤلف.</w:t>
      </w:r>
    </w:p>
    <w:p w:rsidR="004303EB" w:rsidRPr="005B0B86" w:rsidRDefault="004303EB" w:rsidP="004303EB">
      <w:pPr>
        <w:pStyle w:val="BodyText"/>
        <w:rPr>
          <w:rtl/>
          <w:lang w:bidi="ar-SA"/>
        </w:rPr>
      </w:pPr>
      <w:r>
        <w:rPr>
          <w:rFonts w:hint="cs"/>
          <w:rtl/>
          <w:lang w:bidi="ar-SA"/>
        </w:rPr>
        <w:t>وسيُدعى منسقو المجموعات الإقليمية للمشاركة بصفة مراقب. وس</w:t>
      </w:r>
      <w:r w:rsidR="00FD38E0">
        <w:rPr>
          <w:rFonts w:hint="cs"/>
          <w:rtl/>
          <w:lang w:bidi="ar-SA"/>
        </w:rPr>
        <w:t>تُشجّع/س</w:t>
      </w:r>
      <w:r>
        <w:rPr>
          <w:rFonts w:hint="cs"/>
          <w:rtl/>
          <w:lang w:bidi="ar-SA"/>
        </w:rPr>
        <w:t>تُحثّ فرقة العمل، عندما يقتضي استكمال التقرير ذلك، على استشارة المزيد من الخبراء، حسب الحالة، من أجل الحصول على آرائهم.</w:t>
      </w:r>
    </w:p>
    <w:p w:rsidR="000D7E81" w:rsidRPr="004303EB" w:rsidRDefault="004303EB" w:rsidP="004303EB">
      <w:pPr>
        <w:pStyle w:val="BodyText"/>
        <w:keepNext/>
        <w:rPr>
          <w:b/>
          <w:bCs/>
          <w:rtl/>
        </w:rPr>
      </w:pPr>
      <w:r w:rsidRPr="004303EB">
        <w:rPr>
          <w:rFonts w:hint="cs"/>
          <w:b/>
          <w:bCs/>
          <w:rtl/>
        </w:rPr>
        <w:t>طرائق العمل والنطاق</w:t>
      </w:r>
    </w:p>
    <w:p w:rsidR="00FD38E0" w:rsidRDefault="004303EB" w:rsidP="004303EB">
      <w:pPr>
        <w:pStyle w:val="BodyText"/>
        <w:rPr>
          <w:rtl/>
          <w:lang w:bidi="ar-SA"/>
        </w:rPr>
      </w:pPr>
      <w:r>
        <w:rPr>
          <w:rFonts w:hint="cs"/>
          <w:rtl/>
          <w:lang w:bidi="ar-SA"/>
        </w:rPr>
        <w:t>ستعقد فرقة العمل اجتماعا أولا في عام 2018. وستُنظّم عدة اجتماعات أخرى لتبادل الآراء في عام 2019، بما في ذلك عن طريق وسائل تقنية مثل المؤتمرات عبر الفيديو، قبل أن تقدم تقدم فرقة العمل تقريرها إلى لجنة حق المؤلف.</w:t>
      </w:r>
    </w:p>
    <w:p w:rsidR="00FD38E0" w:rsidRDefault="00FD38E0">
      <w:pPr>
        <w:bidi w:val="0"/>
        <w:rPr>
          <w:rtl/>
        </w:rPr>
      </w:pPr>
      <w:r>
        <w:rPr>
          <w:rtl/>
        </w:rPr>
        <w:br w:type="page"/>
      </w:r>
    </w:p>
    <w:p w:rsidR="004303EB" w:rsidRDefault="004303EB" w:rsidP="00144A0E">
      <w:pPr>
        <w:pStyle w:val="BodyText"/>
        <w:rPr>
          <w:rtl/>
          <w:lang w:bidi="ar-SA"/>
        </w:rPr>
      </w:pPr>
      <w:r>
        <w:rPr>
          <w:rFonts w:hint="cs"/>
          <w:rtl/>
          <w:lang w:bidi="ar-SA"/>
        </w:rPr>
        <w:lastRenderedPageBreak/>
        <w:t xml:space="preserve">وستتناول فرقة العمل </w:t>
      </w:r>
      <w:r w:rsidR="00144A0E">
        <w:rPr>
          <w:rFonts w:hint="cs"/>
          <w:rtl/>
          <w:lang w:bidi="ar-SA"/>
        </w:rPr>
        <w:t>العناصر الرئيسية لنظام حق التتبع</w:t>
      </w:r>
      <w:r w:rsidR="00447561">
        <w:rPr>
          <w:rFonts w:hint="cs"/>
          <w:rtl/>
          <w:lang w:bidi="ar-SA"/>
        </w:rPr>
        <w:t>، التي تُعد مشتركة بين معظم القوانين والتي تشمل بوجه خاص الموضوعات التالية:</w:t>
      </w:r>
    </w:p>
    <w:p w:rsidR="00447561" w:rsidRDefault="00447561" w:rsidP="00447561">
      <w:pPr>
        <w:pStyle w:val="BodyText"/>
        <w:numPr>
          <w:ilvl w:val="0"/>
          <w:numId w:val="45"/>
        </w:numPr>
        <w:rPr>
          <w:lang w:bidi="ar-SA"/>
        </w:rPr>
      </w:pPr>
      <w:r>
        <w:rPr>
          <w:rFonts w:hint="cs"/>
          <w:rtl/>
          <w:lang w:bidi="ar-SA"/>
        </w:rPr>
        <w:t>أساس الحق بما في ذلك الزيادة في قيمة المصنف الفني؛</w:t>
      </w:r>
    </w:p>
    <w:p w:rsidR="00447561" w:rsidRDefault="00447561" w:rsidP="00447561">
      <w:pPr>
        <w:pStyle w:val="BodyText"/>
        <w:numPr>
          <w:ilvl w:val="0"/>
          <w:numId w:val="45"/>
        </w:numPr>
        <w:spacing w:before="0"/>
        <w:rPr>
          <w:lang w:bidi="ar-SA"/>
        </w:rPr>
      </w:pPr>
      <w:r>
        <w:rPr>
          <w:rFonts w:hint="cs"/>
          <w:rtl/>
          <w:lang w:bidi="ar-SA"/>
        </w:rPr>
        <w:t>والمصنفات المشمولة بالحق؛</w:t>
      </w:r>
    </w:p>
    <w:p w:rsidR="00447561" w:rsidRDefault="00447561" w:rsidP="00447561">
      <w:pPr>
        <w:pStyle w:val="BodyText"/>
        <w:numPr>
          <w:ilvl w:val="0"/>
          <w:numId w:val="45"/>
        </w:numPr>
        <w:spacing w:before="0"/>
        <w:rPr>
          <w:lang w:bidi="ar-SA"/>
        </w:rPr>
      </w:pPr>
      <w:r>
        <w:rPr>
          <w:rFonts w:hint="cs"/>
          <w:rtl/>
          <w:lang w:bidi="ar-SA"/>
        </w:rPr>
        <w:t>وتحديد القيمة؛</w:t>
      </w:r>
    </w:p>
    <w:p w:rsidR="00447561" w:rsidRDefault="00447561" w:rsidP="00447561">
      <w:pPr>
        <w:pStyle w:val="BodyText"/>
        <w:numPr>
          <w:ilvl w:val="0"/>
          <w:numId w:val="45"/>
        </w:numPr>
        <w:spacing w:before="0"/>
        <w:rPr>
          <w:lang w:bidi="ar-SA"/>
        </w:rPr>
      </w:pPr>
      <w:r>
        <w:rPr>
          <w:rFonts w:hint="cs"/>
          <w:rtl/>
          <w:lang w:bidi="ar-SA"/>
        </w:rPr>
        <w:t>وطريقة الجمع والتوزيع؛</w:t>
      </w:r>
    </w:p>
    <w:p w:rsidR="00447561" w:rsidRDefault="00447561" w:rsidP="00447561">
      <w:pPr>
        <w:pStyle w:val="BodyText"/>
        <w:numPr>
          <w:ilvl w:val="0"/>
          <w:numId w:val="45"/>
        </w:numPr>
        <w:spacing w:before="0"/>
        <w:rPr>
          <w:lang w:bidi="ar-SA"/>
        </w:rPr>
      </w:pPr>
      <w:r>
        <w:rPr>
          <w:rFonts w:hint="cs"/>
          <w:rtl/>
          <w:lang w:bidi="ar-SA"/>
        </w:rPr>
        <w:t>والمعاملات المشمولة؛</w:t>
      </w:r>
    </w:p>
    <w:p w:rsidR="00447561" w:rsidRDefault="00447561" w:rsidP="00447561">
      <w:pPr>
        <w:pStyle w:val="BodyText"/>
        <w:numPr>
          <w:ilvl w:val="0"/>
          <w:numId w:val="45"/>
        </w:numPr>
        <w:spacing w:before="0"/>
        <w:rPr>
          <w:lang w:bidi="ar-SA"/>
        </w:rPr>
      </w:pPr>
      <w:r>
        <w:rPr>
          <w:rFonts w:hint="cs"/>
          <w:rtl/>
          <w:lang w:bidi="ar-SA"/>
        </w:rPr>
        <w:t>واِلأشخاص الذين يجوز لهم المطالبة بالحق؛</w:t>
      </w:r>
    </w:p>
    <w:p w:rsidR="00447561" w:rsidRDefault="00447561" w:rsidP="00447561">
      <w:pPr>
        <w:pStyle w:val="BodyText"/>
        <w:numPr>
          <w:ilvl w:val="0"/>
          <w:numId w:val="45"/>
        </w:numPr>
        <w:spacing w:before="0"/>
        <w:rPr>
          <w:lang w:bidi="ar-SA"/>
        </w:rPr>
      </w:pPr>
      <w:r>
        <w:rPr>
          <w:rFonts w:hint="cs"/>
          <w:rtl/>
          <w:lang w:bidi="ar-SA"/>
        </w:rPr>
        <w:t>وإدارة الحق؛</w:t>
      </w:r>
    </w:p>
    <w:p w:rsidR="00447561" w:rsidRDefault="00447561" w:rsidP="00447561">
      <w:pPr>
        <w:pStyle w:val="BodyText"/>
        <w:numPr>
          <w:ilvl w:val="0"/>
          <w:numId w:val="45"/>
        </w:numPr>
        <w:spacing w:before="0"/>
        <w:rPr>
          <w:lang w:bidi="ar-SA"/>
        </w:rPr>
      </w:pPr>
      <w:r>
        <w:rPr>
          <w:rFonts w:hint="cs"/>
          <w:rtl/>
          <w:lang w:bidi="ar-SA"/>
        </w:rPr>
        <w:t>ومسؤولية الدفع؛</w:t>
      </w:r>
    </w:p>
    <w:p w:rsidR="00447561" w:rsidRDefault="00447561" w:rsidP="00447561">
      <w:pPr>
        <w:pStyle w:val="BodyText"/>
        <w:numPr>
          <w:ilvl w:val="0"/>
          <w:numId w:val="45"/>
        </w:numPr>
        <w:spacing w:before="0"/>
        <w:rPr>
          <w:lang w:bidi="ar-SA"/>
        </w:rPr>
      </w:pPr>
      <w:r>
        <w:rPr>
          <w:rFonts w:hint="cs"/>
          <w:rtl/>
          <w:lang w:bidi="ar-SA"/>
        </w:rPr>
        <w:t>والمعلومات عن عمليات إعادة البيع؛</w:t>
      </w:r>
    </w:p>
    <w:p w:rsidR="00447561" w:rsidRPr="000D7E81" w:rsidRDefault="00447561" w:rsidP="00447561">
      <w:pPr>
        <w:pStyle w:val="BodyText"/>
        <w:numPr>
          <w:ilvl w:val="0"/>
          <w:numId w:val="45"/>
        </w:numPr>
        <w:spacing w:before="0"/>
        <w:rPr>
          <w:rtl/>
          <w:lang w:bidi="ar-SA"/>
        </w:rPr>
      </w:pPr>
      <w:r>
        <w:rPr>
          <w:rFonts w:hint="cs"/>
          <w:rtl/>
          <w:lang w:bidi="ar-SA"/>
        </w:rPr>
        <w:t>وأية مسألة أخرى توافق عليها فرقة العمل.</w:t>
      </w:r>
    </w:p>
    <w:p w:rsidR="00FD6D15" w:rsidRPr="00C41AE0" w:rsidRDefault="00FD38E0" w:rsidP="00FD38E0">
      <w:pPr>
        <w:pStyle w:val="Endofdocument-Annex"/>
        <w:spacing w:before="480"/>
        <w:ind w:left="5530"/>
        <w:rPr>
          <w:rtl/>
        </w:rPr>
      </w:pPr>
      <w:r>
        <w:rPr>
          <w:rFonts w:hint="cs"/>
          <w:rtl/>
        </w:rPr>
        <w:t>[نهاية الوثيقة]</w:t>
      </w:r>
    </w:p>
    <w:sectPr w:rsidR="00FD6D15"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7B" w:rsidRDefault="002D7E7B">
      <w:r>
        <w:separator/>
      </w:r>
    </w:p>
  </w:endnote>
  <w:endnote w:type="continuationSeparator" w:id="0">
    <w:p w:rsidR="002D7E7B" w:rsidRDefault="002D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7B" w:rsidRDefault="002D7E7B" w:rsidP="009622BF">
      <w:bookmarkStart w:id="0" w:name="OLE_LINK1"/>
      <w:bookmarkStart w:id="1" w:name="OLE_LINK2"/>
      <w:r>
        <w:separator/>
      </w:r>
      <w:bookmarkEnd w:id="0"/>
      <w:bookmarkEnd w:id="1"/>
    </w:p>
  </w:footnote>
  <w:footnote w:type="continuationSeparator" w:id="0">
    <w:p w:rsidR="002D7E7B" w:rsidRDefault="002D7E7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E7B" w:rsidRDefault="002D7E7B" w:rsidP="0023693F">
    <w:pPr>
      <w:bidi w:val="0"/>
      <w:rPr>
        <w:rFonts w:ascii="Arial" w:hAnsi="Arial" w:cs="Arial"/>
        <w:sz w:val="22"/>
        <w:szCs w:val="22"/>
      </w:rPr>
    </w:pPr>
    <w:bookmarkStart w:id="4" w:name="Code3"/>
    <w:bookmarkEnd w:id="4"/>
    <w:r>
      <w:rPr>
        <w:rFonts w:ascii="Arial" w:hAnsi="Arial" w:cs="Arial"/>
        <w:sz w:val="22"/>
        <w:szCs w:val="22"/>
      </w:rPr>
      <w:t>SCCR/37/5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66A0D">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4942B1E"/>
    <w:multiLevelType w:val="hybridMultilevel"/>
    <w:tmpl w:val="CD9ED974"/>
    <w:lvl w:ilvl="0" w:tplc="B6CC3D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7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A0E"/>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A0D"/>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3EB"/>
    <w:rsid w:val="00430D6E"/>
    <w:rsid w:val="00433C0A"/>
    <w:rsid w:val="004349FA"/>
    <w:rsid w:val="004406BD"/>
    <w:rsid w:val="00442FBE"/>
    <w:rsid w:val="004433B1"/>
    <w:rsid w:val="00443571"/>
    <w:rsid w:val="004444E3"/>
    <w:rsid w:val="004447FD"/>
    <w:rsid w:val="00445032"/>
    <w:rsid w:val="004450CB"/>
    <w:rsid w:val="00446967"/>
    <w:rsid w:val="00446AB6"/>
    <w:rsid w:val="00447561"/>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5D1"/>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0B86"/>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C5D"/>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B2A"/>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4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4"/>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1C0"/>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EDA"/>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8E0"/>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3F247DC-BC56-4799-828D-20790BF6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881D-D0E8-40F1-9B98-C65E7079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353</Words>
  <Characters>1815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SCCR/37/5_x000d_ (Arabic)</vt:lpstr>
    </vt:vector>
  </TitlesOfParts>
  <Company>World Intellectual Property Organization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SCCR/37/5_x000d_ (Arabic)</dc:title>
  <dc:creator>MERZOUK Fawzi</dc:creator>
  <cp:lastModifiedBy>HAIZEL Francesca</cp:lastModifiedBy>
  <cp:revision>2</cp:revision>
  <cp:lastPrinted>2018-11-20T09:35:00Z</cp:lastPrinted>
  <dcterms:created xsi:type="dcterms:W3CDTF">2018-11-22T13:50:00Z</dcterms:created>
  <dcterms:modified xsi:type="dcterms:W3CDTF">2018-11-22T13:50:00Z</dcterms:modified>
</cp:coreProperties>
</file>