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3B6D" w14:textId="77777777" w:rsidR="00916EFA" w:rsidRDefault="007D4A6F">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6A78039" wp14:editId="22EED82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C2841C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B268231" w14:textId="3647D826" w:rsidR="00916EFA" w:rsidRDefault="007D4A6F">
      <w:pPr>
        <w:bidi w:val="0"/>
        <w:rPr>
          <w:rFonts w:ascii="Arial Black" w:hAnsi="Arial Black"/>
          <w:caps/>
          <w:sz w:val="15"/>
          <w:szCs w:val="15"/>
        </w:rPr>
      </w:pPr>
      <w:r>
        <w:rPr>
          <w:rFonts w:ascii="Arial Black" w:hAnsi="Arial Black"/>
          <w:caps/>
          <w:sz w:val="15"/>
          <w:szCs w:val="15"/>
        </w:rPr>
        <w:t>sccr/44/</w:t>
      </w:r>
      <w:bookmarkStart w:id="0" w:name="Code"/>
      <w:bookmarkEnd w:id="0"/>
      <w:r w:rsidR="006E1F1E">
        <w:rPr>
          <w:rFonts w:ascii="Arial Black" w:hAnsi="Arial Black"/>
          <w:caps/>
          <w:sz w:val="15"/>
          <w:szCs w:val="15"/>
        </w:rPr>
        <w:t>6</w:t>
      </w:r>
      <w:r w:rsidR="00F72CBA">
        <w:rPr>
          <w:rFonts w:ascii="Arial Black" w:hAnsi="Arial Black"/>
          <w:caps/>
          <w:sz w:val="15"/>
          <w:szCs w:val="15"/>
        </w:rPr>
        <w:t xml:space="preserve"> REV.</w:t>
      </w:r>
    </w:p>
    <w:p w14:paraId="7F5D511D" w14:textId="77777777" w:rsidR="00916EFA" w:rsidRPr="006E1F1E" w:rsidRDefault="007D4A6F">
      <w:pPr>
        <w:jc w:val="right"/>
        <w:rPr>
          <w:rFonts w:asciiTheme="minorHAnsi" w:hAnsiTheme="minorHAnsi" w:cstheme="minorHAnsi"/>
          <w:b/>
          <w:bCs/>
          <w:caps/>
          <w:sz w:val="15"/>
          <w:szCs w:val="15"/>
          <w:rtl/>
          <w:lang w:val="fr-CH"/>
        </w:rPr>
      </w:pPr>
      <w:bookmarkStart w:id="1" w:name="Original"/>
      <w:r w:rsidRPr="006E1F1E">
        <w:rPr>
          <w:rFonts w:asciiTheme="minorHAnsi" w:hAnsiTheme="minorHAnsi" w:cstheme="minorHAnsi" w:hint="cs"/>
          <w:b/>
          <w:bCs/>
          <w:caps/>
          <w:sz w:val="15"/>
          <w:szCs w:val="15"/>
          <w:rtl/>
        </w:rPr>
        <w:t xml:space="preserve">الأصل: </w:t>
      </w:r>
      <w:r w:rsidR="006E1F1E" w:rsidRPr="006E1F1E">
        <w:rPr>
          <w:rFonts w:asciiTheme="minorHAnsi" w:hAnsiTheme="minorHAnsi" w:cstheme="minorHAnsi" w:hint="cs"/>
          <w:b/>
          <w:bCs/>
          <w:caps/>
          <w:sz w:val="15"/>
          <w:szCs w:val="15"/>
          <w:rtl/>
          <w:lang w:val="fr-CH"/>
        </w:rPr>
        <w:t>بالإنكليزية</w:t>
      </w:r>
    </w:p>
    <w:p w14:paraId="39FDB208" w14:textId="77777777" w:rsidR="00916EFA" w:rsidRPr="006E1F1E" w:rsidRDefault="007D4A6F">
      <w:pPr>
        <w:spacing w:after="1200"/>
        <w:jc w:val="right"/>
        <w:rPr>
          <w:rFonts w:asciiTheme="minorHAnsi" w:hAnsiTheme="minorHAnsi" w:cstheme="minorHAnsi"/>
          <w:b/>
          <w:bCs/>
          <w:caps/>
          <w:sz w:val="15"/>
          <w:szCs w:val="15"/>
        </w:rPr>
      </w:pPr>
      <w:bookmarkStart w:id="2" w:name="Date"/>
      <w:bookmarkEnd w:id="1"/>
      <w:r w:rsidRPr="006E1F1E">
        <w:rPr>
          <w:rFonts w:asciiTheme="minorHAnsi" w:hAnsiTheme="minorHAnsi" w:cstheme="minorHAnsi" w:hint="cs"/>
          <w:b/>
          <w:bCs/>
          <w:caps/>
          <w:sz w:val="15"/>
          <w:szCs w:val="15"/>
          <w:rtl/>
        </w:rPr>
        <w:t xml:space="preserve">التاريخ: </w:t>
      </w:r>
      <w:r w:rsidR="006E1F1E" w:rsidRPr="006E1F1E">
        <w:rPr>
          <w:rFonts w:asciiTheme="minorHAnsi" w:hAnsiTheme="minorHAnsi"/>
          <w:b/>
          <w:bCs/>
          <w:caps/>
          <w:sz w:val="15"/>
          <w:szCs w:val="15"/>
          <w:rtl/>
        </w:rPr>
        <w:t>3 نوفمبر 2023</w:t>
      </w:r>
    </w:p>
    <w:bookmarkEnd w:id="2"/>
    <w:p w14:paraId="54A3B758" w14:textId="77777777" w:rsidR="00916EFA" w:rsidRDefault="007D4A6F">
      <w:pPr>
        <w:pStyle w:val="Heading1"/>
      </w:pPr>
      <w:r>
        <w:rPr>
          <w:rtl/>
        </w:rPr>
        <w:t>اللجنة ال</w:t>
      </w:r>
      <w:r>
        <w:rPr>
          <w:rFonts w:hint="cs"/>
          <w:rtl/>
        </w:rPr>
        <w:t>دائمة المعنية بحق المؤلف والحقوق المجاورة</w:t>
      </w:r>
    </w:p>
    <w:p w14:paraId="27BD8E07" w14:textId="77777777" w:rsidR="00916EFA" w:rsidRDefault="007D4A6F">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الرابعة والأربعون</w:t>
      </w:r>
    </w:p>
    <w:p w14:paraId="2DFE5AF7" w14:textId="77777777" w:rsidR="00916EFA" w:rsidRDefault="007D4A6F">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6 إلى 8 نوفمبر 2023</w:t>
      </w:r>
    </w:p>
    <w:p w14:paraId="11F486F5" w14:textId="0004FE4A" w:rsidR="00916EFA" w:rsidRDefault="006E1F1E" w:rsidP="006E1F1E">
      <w:pPr>
        <w:spacing w:after="360"/>
        <w:outlineLvl w:val="0"/>
        <w:rPr>
          <w:rFonts w:asciiTheme="minorHAnsi" w:hAnsiTheme="minorHAnsi" w:cstheme="minorHAnsi"/>
          <w:caps/>
          <w:sz w:val="24"/>
        </w:rPr>
      </w:pPr>
      <w:bookmarkStart w:id="3" w:name="TitleOfDoc"/>
      <w:r w:rsidRPr="006E1F1E">
        <w:rPr>
          <w:rFonts w:asciiTheme="minorHAnsi" w:hAnsiTheme="minorHAnsi"/>
          <w:caps/>
          <w:sz w:val="28"/>
          <w:szCs w:val="24"/>
          <w:rtl/>
        </w:rPr>
        <w:t>مسودة اقتراح من المجموعة الأفريقية بخصوص تنفيذ برنامج العمل بشأن الاستثناءات والتقييدات الذي اعتمد</w:t>
      </w:r>
      <w:r w:rsidR="00F72CBA">
        <w:rPr>
          <w:rFonts w:asciiTheme="minorHAnsi" w:hAnsiTheme="minorHAnsi" w:hint="cs"/>
          <w:caps/>
          <w:sz w:val="28"/>
          <w:szCs w:val="24"/>
          <w:rtl/>
          <w:lang w:val="fr-CH" w:bidi="ar-SY"/>
        </w:rPr>
        <w:t xml:space="preserve">ته </w:t>
      </w:r>
      <w:r w:rsidRPr="006E1F1E">
        <w:rPr>
          <w:rFonts w:asciiTheme="minorHAnsi" w:hAnsiTheme="minorHAnsi"/>
          <w:caps/>
          <w:sz w:val="28"/>
          <w:szCs w:val="24"/>
          <w:rtl/>
        </w:rPr>
        <w:t>الدورة الثالثة والأربعين للجنة الويبو الدائمة المعنية بحق المؤلف والحقوق المجاورة</w:t>
      </w:r>
    </w:p>
    <w:p w14:paraId="6CEA1495" w14:textId="77777777" w:rsidR="00916EFA" w:rsidRDefault="007D4A6F">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وثيقة من إعداد</w:t>
      </w:r>
      <w:r w:rsidR="006E1F1E" w:rsidRPr="006E1F1E">
        <w:rPr>
          <w:rtl/>
        </w:rPr>
        <w:t xml:space="preserve"> </w:t>
      </w:r>
      <w:r w:rsidR="006E1F1E" w:rsidRPr="006E1F1E">
        <w:rPr>
          <w:rFonts w:asciiTheme="minorHAnsi" w:hAnsiTheme="minorHAnsi"/>
          <w:iCs/>
          <w:rtl/>
        </w:rPr>
        <w:t>المجموعة الأفريقية</w:t>
      </w:r>
    </w:p>
    <w:p w14:paraId="6B247F14" w14:textId="77777777" w:rsidR="006E1F1E" w:rsidRPr="006E1F1E" w:rsidRDefault="006E1F1E" w:rsidP="006E1F1E">
      <w:pPr>
        <w:rPr>
          <w:rFonts w:ascii="Calibri" w:hAnsi="Calibri"/>
          <w:rtl/>
          <w:lang w:bidi="ar-EG"/>
        </w:rPr>
      </w:pPr>
      <w:r>
        <w:rPr>
          <w:rtl/>
          <w:lang w:bidi="ar-EG"/>
        </w:rPr>
        <w:br w:type="page"/>
      </w:r>
    </w:p>
    <w:p w14:paraId="722C1248" w14:textId="77777777" w:rsidR="006E1F1E" w:rsidRPr="006E1F1E" w:rsidRDefault="006E1F1E" w:rsidP="006E1F1E">
      <w:pPr>
        <w:pStyle w:val="ONUMA"/>
        <w:rPr>
          <w:rFonts w:ascii="Calibri" w:hAnsi="Calibri"/>
          <w:rtl/>
        </w:rPr>
      </w:pPr>
      <w:r w:rsidRPr="006E1F1E">
        <w:rPr>
          <w:rFonts w:ascii="Calibri" w:hAnsi="Calibri"/>
          <w:rtl/>
        </w:rPr>
        <w:lastRenderedPageBreak/>
        <w:t xml:space="preserve">في الدورة الثالثة والأربعين للجنة الويبو الدائمة المعنية بحق المؤلف والحقوق المجاورة (لجنة حق المؤلف)، اعتُمد برنامج عمل جديد بشأن الاستثناءات والتقييدات يرد في الوثيقة </w:t>
      </w:r>
      <w:r w:rsidRPr="006E1F1E">
        <w:rPr>
          <w:rFonts w:ascii="Calibri" w:hAnsi="Calibri"/>
        </w:rPr>
        <w:t>SCCR/43/8</w:t>
      </w:r>
      <w:r w:rsidRPr="006E1F1E">
        <w:rPr>
          <w:rFonts w:ascii="Calibri" w:hAnsi="Calibri"/>
          <w:rtl/>
        </w:rPr>
        <w:t xml:space="preserve">. </w:t>
      </w:r>
    </w:p>
    <w:p w14:paraId="1FC64347" w14:textId="77777777" w:rsidR="006E1F1E" w:rsidRPr="006E1F1E" w:rsidRDefault="006E1F1E" w:rsidP="006E1F1E">
      <w:pPr>
        <w:pStyle w:val="ONUMA"/>
        <w:rPr>
          <w:rFonts w:ascii="Calibri" w:hAnsi="Calibri"/>
          <w:rtl/>
        </w:rPr>
      </w:pPr>
      <w:r w:rsidRPr="006E1F1E">
        <w:rPr>
          <w:rFonts w:ascii="Calibri" w:hAnsi="Calibri"/>
          <w:rtl/>
        </w:rPr>
        <w:t xml:space="preserve">ويُقدم هذا الاقتراح تعزيزاً لتنفيذ برنامج العمل، ولا سيما من حيث صلته بالمسائل الثلاث التالية ذات الأولوية بشأن الاستثناءات والتقييدات، المبيّنة في الفقرة/النقطة 2: </w:t>
      </w:r>
    </w:p>
    <w:p w14:paraId="140FBCA8" w14:textId="77777777" w:rsidR="006E1F1E" w:rsidRPr="006E1F1E" w:rsidRDefault="006E1F1E" w:rsidP="006E1F1E">
      <w:pPr>
        <w:pStyle w:val="ListParagraph"/>
        <w:numPr>
          <w:ilvl w:val="0"/>
          <w:numId w:val="9"/>
        </w:numPr>
        <w:bidi/>
        <w:spacing w:line="276" w:lineRule="auto"/>
        <w:ind w:left="985"/>
        <w:rPr>
          <w:rFonts w:ascii="Calibri" w:hAnsi="Calibri" w:cs="Calibri"/>
          <w:sz w:val="22"/>
          <w:szCs w:val="22"/>
          <w:rtl/>
        </w:rPr>
      </w:pPr>
      <w:r w:rsidRPr="006E1F1E">
        <w:rPr>
          <w:rFonts w:ascii="Calibri" w:hAnsi="Calibri" w:cs="Calibri"/>
          <w:sz w:val="22"/>
          <w:szCs w:val="22"/>
          <w:rtl/>
        </w:rPr>
        <w:t xml:space="preserve">‌تعزيز تكييف الاستثناءات والتقييدات بغية ضمان أن تسمح جميع القوانين على المستوى الوطني بأنشطة الحفظ التي تقوم بها المكتبات ودور المحفوظات والمتاحف، بما في ذلك استخدام المواد المحفوظة؛ </w:t>
      </w:r>
    </w:p>
    <w:p w14:paraId="3AC545E9" w14:textId="77777777" w:rsidR="006E1F1E" w:rsidRPr="006E1F1E" w:rsidRDefault="006E1F1E" w:rsidP="006E1F1E">
      <w:pPr>
        <w:pStyle w:val="ListParagraph"/>
        <w:numPr>
          <w:ilvl w:val="0"/>
          <w:numId w:val="9"/>
        </w:numPr>
        <w:bidi/>
        <w:spacing w:line="276" w:lineRule="auto"/>
        <w:ind w:left="985"/>
        <w:rPr>
          <w:rFonts w:ascii="Calibri" w:hAnsi="Calibri" w:cs="Calibri"/>
          <w:sz w:val="22"/>
          <w:szCs w:val="22"/>
          <w:rtl/>
        </w:rPr>
      </w:pPr>
      <w:r w:rsidRPr="006E1F1E">
        <w:rPr>
          <w:rFonts w:ascii="Calibri" w:hAnsi="Calibri" w:cs="Calibri"/>
          <w:sz w:val="22"/>
          <w:szCs w:val="22"/>
          <w:rtl/>
        </w:rPr>
        <w:t>وتعزيز تكييف الاستثناءات والتقييدات مع السياق الإلكتروني، من قبيل السماح بالتدريس والتعلم والبحث من خلال الأدوات الرقمية والإلكترونية؛</w:t>
      </w:r>
    </w:p>
    <w:p w14:paraId="3D17BD0F" w14:textId="77777777" w:rsidR="006E1F1E" w:rsidRPr="006E1F1E" w:rsidRDefault="006E1F1E" w:rsidP="006E1F1E">
      <w:pPr>
        <w:pStyle w:val="ListParagraph"/>
        <w:numPr>
          <w:ilvl w:val="0"/>
          <w:numId w:val="9"/>
        </w:numPr>
        <w:bidi/>
        <w:spacing w:line="276" w:lineRule="auto"/>
        <w:ind w:left="985"/>
        <w:rPr>
          <w:rFonts w:ascii="Calibri" w:hAnsi="Calibri" w:cs="Calibri"/>
          <w:sz w:val="22"/>
          <w:szCs w:val="22"/>
          <w:rtl/>
        </w:rPr>
      </w:pPr>
      <w:r w:rsidRPr="006E1F1E">
        <w:rPr>
          <w:rFonts w:ascii="Calibri" w:hAnsi="Calibri" w:cs="Calibri"/>
          <w:sz w:val="22"/>
          <w:szCs w:val="22"/>
          <w:rtl/>
        </w:rPr>
        <w:t>واستعراض تنفيذ معاهدة مراكش وكيفية ضمان أن الأشخاص ذوي الإعاقات الأخرى (التي تشملها أيضاً اتفاقية حقوق الأشخاص ذوي الإعاقة) يمكنهم الاستفادة من تدابير الحماية المماثلة، لا سيما من أجل الاستفادة من التكنولوجيات الجديدة.</w:t>
      </w:r>
    </w:p>
    <w:p w14:paraId="52BCB1E1" w14:textId="77777777" w:rsidR="006E1F1E" w:rsidRPr="006E1F1E" w:rsidRDefault="006E1F1E" w:rsidP="006E1F1E">
      <w:pPr>
        <w:pStyle w:val="ONUMA"/>
        <w:rPr>
          <w:rFonts w:ascii="Calibri" w:hAnsi="Calibri"/>
          <w:rtl/>
        </w:rPr>
      </w:pPr>
      <w:r w:rsidRPr="006E1F1E">
        <w:rPr>
          <w:rFonts w:ascii="Calibri" w:hAnsi="Calibri"/>
          <w:rtl/>
        </w:rPr>
        <w:t xml:space="preserve">ونودّ أن نذكّر بأن الفقرة 4 من برنامج العمل المعتمد تنص على التوجيه التالي: </w:t>
      </w:r>
    </w:p>
    <w:p w14:paraId="2C00DEE1" w14:textId="77777777" w:rsidR="006E1F1E" w:rsidRPr="006E1F1E" w:rsidRDefault="006E1F1E" w:rsidP="006E1F1E">
      <w:pPr>
        <w:pStyle w:val="ListParagraph"/>
        <w:numPr>
          <w:ilvl w:val="0"/>
          <w:numId w:val="10"/>
        </w:numPr>
        <w:bidi/>
        <w:spacing w:line="276" w:lineRule="auto"/>
        <w:ind w:left="985"/>
        <w:rPr>
          <w:rFonts w:ascii="Calibri" w:hAnsi="Calibri" w:cs="Calibri"/>
          <w:sz w:val="22"/>
          <w:szCs w:val="22"/>
          <w:rtl/>
        </w:rPr>
      </w:pPr>
      <w:r w:rsidRPr="006E1F1E">
        <w:rPr>
          <w:rFonts w:ascii="Calibri" w:hAnsi="Calibri" w:cs="Calibri"/>
          <w:sz w:val="22"/>
          <w:szCs w:val="22"/>
          <w:rtl/>
        </w:rPr>
        <w:t>ينبغي للرئيس أن يعزّز تبادل المعلومات وبناء التوافق في الآراء بشأن النقاط 1-3 فيما بين اجتماعات لجنة حق المؤلف من خلال عمليات شفافة وشاملة وفقاً لتوصية الويبو 44 من أجندة التنمية، مثل أفرقة العمل التابعة للدول الأعضاء، التي تتلقى الدعم من الخبراء حسب الاقتضاء ووفق المتفق عليه، العاملة على إعداد الأهداف والمبادئ وخيارات التنفيذ على المستوى الوطني كي تنظر فيها اللجنة.</w:t>
      </w:r>
    </w:p>
    <w:p w14:paraId="387324EC" w14:textId="77777777" w:rsidR="006E1F1E" w:rsidRPr="006E1F1E" w:rsidRDefault="006E1F1E" w:rsidP="006E1F1E">
      <w:pPr>
        <w:pStyle w:val="ONUMA"/>
        <w:rPr>
          <w:rFonts w:ascii="Calibri" w:hAnsi="Calibri"/>
          <w:rtl/>
        </w:rPr>
      </w:pPr>
      <w:r w:rsidRPr="006E1F1E">
        <w:rPr>
          <w:rFonts w:ascii="Calibri" w:hAnsi="Calibri"/>
          <w:rtl/>
        </w:rPr>
        <w:t xml:space="preserve">ويعرض هذا الاقتراح منهجية الأفرقة العاملة للدول الأعضاء، وبرنامجها، بدعم من خبراء وافقت عليهم اللجنة حسب الاقتضاء، وفقاً للفقرة 4 من برنامج العمل. </w:t>
      </w:r>
    </w:p>
    <w:p w14:paraId="345C3AA4" w14:textId="77777777" w:rsidR="006E1F1E" w:rsidRPr="006E1F1E" w:rsidRDefault="006E1F1E" w:rsidP="006E1F1E">
      <w:pPr>
        <w:pStyle w:val="ONUMA"/>
        <w:rPr>
          <w:rFonts w:ascii="Calibri" w:hAnsi="Calibri"/>
          <w:rtl/>
        </w:rPr>
      </w:pPr>
      <w:r w:rsidRPr="006E1F1E">
        <w:rPr>
          <w:rFonts w:ascii="Calibri" w:hAnsi="Calibri"/>
          <w:rtl/>
        </w:rPr>
        <w:t>ولبدء تنفيذ برنامج العمل المعتمد بالطريقة المبيّنة في الفقرة 4 من هذه الوثيقة، تُعرض الفقرات التالية على اللجنة لكي تنظر فيها:</w:t>
      </w:r>
    </w:p>
    <w:p w14:paraId="5142754D"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ينبغي للرئيس، فور اختتام الدورة الرابعة والأربعين للجنة، أن ينشئ ثلاثة أفرقة عاملة للدول الأعضاء من أجل إعداد مسودة الأهداف والمبادئ وخيارات (التنفيذ) المتعلقة بالمسائل الثلاث ذات الأولوية المحددة في الفقرة 2 من برنامج العمل، على أن يركّز كل فريق عامل على مسألة واحدة ذات أولوية؛</w:t>
      </w:r>
    </w:p>
    <w:p w14:paraId="7D9AEF00"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أن تتألف الأفرقة العاملة من ممثلين اثنين على الأقل من الدول الأعضاء الممثلة تمثيلاً متوازناً ومتنوعاً من كل إقليم، ويختارهما المنسقون الإقليميون، بمشاركة خبير واحد على الأقل من أجل دعم عمل كل فريق عامل؛</w:t>
      </w:r>
    </w:p>
    <w:p w14:paraId="3BCFBFA6"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وتنتخب الأفرقة العاملة رئيساً، وتجتمع مرتين قبل الدورة الخامسة والأربعين للجنة، وتقدّم معلومات محدّثة إلى اللجنة عن التقدم المحرز في مداولاتها؛</w:t>
      </w:r>
    </w:p>
    <w:p w14:paraId="2BF80578"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أن يبدأ الاجتماع الأول للأفرقة العاملة بعرض البحوث الخاصة بالمسائل المحورية ذات الأولوية ومبادئ العمل والأهداف وخيارات (التنفيذ) يقدمها الخبراء والمستفيدون، بالاستلالهام من العمليات المستخدمة في لجنة الويبو الحكومية الدولية المعنية بالملكية الفكرية والموارد الوراثية والمعارف التقليدية والفولكلور؛</w:t>
      </w:r>
    </w:p>
    <w:p w14:paraId="64F68EFA"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تقديم مسودات الأهداف والمبادئ وخيارات (التنفيذ) في الدورة الخامسة والأربعين للجنة لكي تنظر فيها؛</w:t>
      </w:r>
    </w:p>
    <w:p w14:paraId="61D80A79"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 xml:space="preserve">وقبل انعقاد الدورة الخامسة والأربعين، تلخّص الأمانة الأهداف والمبادئ المختلفة المتعلقة بالقضايا ذات الأولوية التي سبق تقديمها إلى اللجنة، بما في ذلك الوثائق </w:t>
      </w:r>
      <w:r w:rsidRPr="006E1F1E">
        <w:rPr>
          <w:rFonts w:ascii="Calibri" w:hAnsi="Calibri" w:cs="Calibri"/>
          <w:sz w:val="22"/>
          <w:szCs w:val="22"/>
        </w:rPr>
        <w:t>SCCR/26/8</w:t>
      </w:r>
      <w:r w:rsidRPr="006E1F1E">
        <w:rPr>
          <w:rFonts w:ascii="Calibri" w:hAnsi="Calibri" w:cs="Calibri"/>
          <w:sz w:val="22"/>
          <w:szCs w:val="22"/>
          <w:rtl/>
        </w:rPr>
        <w:t xml:space="preserve"> و</w:t>
      </w:r>
      <w:r w:rsidRPr="006E1F1E">
        <w:rPr>
          <w:rFonts w:ascii="Calibri" w:hAnsi="Calibri" w:cs="Calibri"/>
          <w:sz w:val="22"/>
          <w:szCs w:val="22"/>
        </w:rPr>
        <w:t>SCCR/27/8</w:t>
      </w:r>
      <w:r w:rsidRPr="006E1F1E">
        <w:rPr>
          <w:rFonts w:ascii="Calibri" w:hAnsi="Calibri" w:cs="Calibri"/>
          <w:sz w:val="22"/>
          <w:szCs w:val="22"/>
          <w:rtl/>
        </w:rPr>
        <w:t xml:space="preserve"> و</w:t>
      </w:r>
      <w:r w:rsidRPr="006E1F1E">
        <w:rPr>
          <w:rFonts w:ascii="Calibri" w:hAnsi="Calibri" w:cs="Calibri"/>
          <w:sz w:val="22"/>
          <w:szCs w:val="22"/>
        </w:rPr>
        <w:t>SCCR/34/5</w:t>
      </w:r>
      <w:r w:rsidRPr="006E1F1E">
        <w:rPr>
          <w:rFonts w:ascii="Calibri" w:hAnsi="Calibri" w:cs="Calibri"/>
          <w:sz w:val="22"/>
          <w:szCs w:val="22"/>
          <w:rtl/>
        </w:rPr>
        <w:t>، حسب الاقتضاء؛</w:t>
      </w:r>
    </w:p>
    <w:p w14:paraId="3816B540"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للأفرقة العاملة أن تستند إلى الأعمال السابقة للجنة والوثائق الحالية للجنة حق المؤلف بشأن التقييدات والاستثناءات، بما في ذلك الاقتراحات والتعليقات المقدمة من الدول الأعضاء، من أجل ضمان الاستمرارية وإحراز التقدم في عمل اللجنة بشأن التقييدات والاستثناءات؛ ويكمن الهدف في استخدام الوثائق الموجودة كنقاط انطلاق، بالتوازي مع التأكيد على أهمية عدم إصدار أحكام مسبقة على نتائج مداولات الأفرقة العاملة؛</w:t>
      </w:r>
    </w:p>
    <w:p w14:paraId="5A34244D"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وتباشر الأفرقة العاملة عملها بطريقة مفتوحة وشفافة وشاملة، مما يتيح فرصة للمشاركة المجدية من قبل أصحاب المصالح؛</w:t>
      </w:r>
    </w:p>
    <w:p w14:paraId="1D6185D3"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وتيسّر الأمانة عقد اجتماعات الأفرقة العاملة بنسق هجين، على أن تُعقد في الويبو وبشكل إلكتروني، ويجوز للدول الأعضاء المهتمة والمراقبون المعتمدون حضور اجتم</w:t>
      </w:r>
      <w:r>
        <w:rPr>
          <w:rFonts w:ascii="Calibri" w:hAnsi="Calibri" w:cs="Calibri"/>
          <w:sz w:val="22"/>
          <w:szCs w:val="22"/>
          <w:rtl/>
        </w:rPr>
        <w:t>اعات الأفرقة العاملة بصفة مراقب</w:t>
      </w:r>
      <w:r w:rsidRPr="006E1F1E">
        <w:rPr>
          <w:rFonts w:ascii="Calibri" w:hAnsi="Calibri" w:cs="Calibri"/>
          <w:sz w:val="22"/>
          <w:szCs w:val="22"/>
          <w:rtl/>
        </w:rPr>
        <w:t xml:space="preserve"> </w:t>
      </w:r>
    </w:p>
    <w:p w14:paraId="4157C00D" w14:textId="77777777" w:rsidR="006E1F1E" w:rsidRPr="006E1F1E" w:rsidRDefault="006E1F1E" w:rsidP="006E1F1E">
      <w:pPr>
        <w:pStyle w:val="ONUMA"/>
        <w:rPr>
          <w:rFonts w:ascii="Calibri" w:hAnsi="Calibri"/>
        </w:rPr>
      </w:pPr>
      <w:r w:rsidRPr="006E1F1E">
        <w:rPr>
          <w:rFonts w:ascii="Calibri" w:hAnsi="Calibri"/>
          <w:rtl/>
        </w:rPr>
        <w:lastRenderedPageBreak/>
        <w:t>وتماشياً مع الممارسة المتبعة، ستبقى الجلسة العامة للجنة هي هيئة التفاوض وصنع القرار. ومن المقرر أن تقوم الأفرقة العاملة التابعة للدول الأعضاء والخبراء بدعم مفاوضات اللجنة وتسهيلها من خلال تقديم المشورة والتحليل بشأن المسائل المتوخى تناولها.</w:t>
      </w:r>
    </w:p>
    <w:p w14:paraId="5E6F88BD" w14:textId="77777777" w:rsidR="006E1F1E" w:rsidRPr="006E1F1E" w:rsidRDefault="006E1F1E" w:rsidP="006E1F1E">
      <w:pPr>
        <w:pStyle w:val="ONUMA"/>
        <w:numPr>
          <w:ilvl w:val="0"/>
          <w:numId w:val="0"/>
        </w:numPr>
        <w:rPr>
          <w:rFonts w:ascii="Calibri" w:hAnsi="Calibri"/>
          <w:rtl/>
        </w:rPr>
      </w:pPr>
    </w:p>
    <w:p w14:paraId="77DDA894" w14:textId="77777777" w:rsidR="006E1F1E" w:rsidRPr="006E1F1E" w:rsidRDefault="006E1F1E" w:rsidP="006E1F1E">
      <w:pPr>
        <w:pStyle w:val="ONUMA"/>
        <w:numPr>
          <w:ilvl w:val="0"/>
          <w:numId w:val="0"/>
        </w:numPr>
        <w:rPr>
          <w:rFonts w:ascii="Calibri" w:hAnsi="Calibri"/>
          <w:rtl/>
        </w:rPr>
      </w:pPr>
    </w:p>
    <w:p w14:paraId="0D992184" w14:textId="77777777" w:rsidR="006E1F1E" w:rsidRPr="006E1F1E" w:rsidRDefault="006E1F1E" w:rsidP="006E1F1E">
      <w:pPr>
        <w:pStyle w:val="Endofdocument-Annex"/>
        <w:rPr>
          <w:rFonts w:ascii="Calibri" w:hAnsi="Calibri"/>
          <w:rtl/>
        </w:rPr>
      </w:pPr>
      <w:r w:rsidRPr="006E1F1E">
        <w:rPr>
          <w:rFonts w:ascii="Calibri" w:hAnsi="Calibri"/>
          <w:rtl/>
        </w:rPr>
        <w:t>[نهاية الوثيقة]</w:t>
      </w:r>
    </w:p>
    <w:sectPr w:rsidR="006E1F1E" w:rsidRPr="006E1F1E">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87CB" w14:textId="77777777" w:rsidR="00CB7954" w:rsidRDefault="00CB7954">
      <w:r>
        <w:separator/>
      </w:r>
    </w:p>
  </w:endnote>
  <w:endnote w:type="continuationSeparator" w:id="0">
    <w:p w14:paraId="5BE658F2" w14:textId="77777777" w:rsidR="00CB7954" w:rsidRDefault="00CB7954">
      <w:r>
        <w:separator/>
      </w:r>
    </w:p>
    <w:p w14:paraId="2EEF3380" w14:textId="77777777" w:rsidR="00CB7954" w:rsidRDefault="00CB7954">
      <w:pPr>
        <w:spacing w:after="60"/>
        <w:rPr>
          <w:sz w:val="17"/>
        </w:rPr>
      </w:pPr>
      <w:r>
        <w:rPr>
          <w:sz w:val="17"/>
        </w:rPr>
        <w:t>[Endnote continued from previous page]</w:t>
      </w:r>
    </w:p>
  </w:endnote>
  <w:endnote w:type="continuationNotice" w:id="1">
    <w:p w14:paraId="35CD5501" w14:textId="77777777" w:rsidR="00CB7954" w:rsidRDefault="00CB7954">
      <w:pPr>
        <w:spacing w:before="60"/>
        <w:jc w:val="right"/>
        <w:rPr>
          <w:sz w:val="17"/>
          <w:szCs w:val="17"/>
        </w:rPr>
      </w:pPr>
      <w:r>
        <w:rPr>
          <w:sz w:val="17"/>
          <w:szCs w:val="17"/>
        </w:rPr>
        <w:t xml:space="preserve">[Endnote </w:t>
      </w:r>
      <w:r>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647E" w14:textId="77777777" w:rsidR="00CB7954" w:rsidRDefault="00CB7954">
      <w:r>
        <w:separator/>
      </w:r>
    </w:p>
  </w:footnote>
  <w:footnote w:type="continuationSeparator" w:id="0">
    <w:p w14:paraId="4FA6ABB5" w14:textId="77777777" w:rsidR="00CB7954" w:rsidRDefault="00CB7954">
      <w:r>
        <w:separator/>
      </w:r>
    </w:p>
    <w:p w14:paraId="48162CE6" w14:textId="77777777" w:rsidR="00CB7954" w:rsidRDefault="00CB7954">
      <w:pPr>
        <w:spacing w:after="60"/>
        <w:rPr>
          <w:sz w:val="17"/>
          <w:szCs w:val="17"/>
        </w:rPr>
      </w:pPr>
      <w:r>
        <w:rPr>
          <w:sz w:val="17"/>
          <w:szCs w:val="17"/>
        </w:rPr>
        <w:t>[Footnote continued from previous page]</w:t>
      </w:r>
    </w:p>
  </w:footnote>
  <w:footnote w:type="continuationNotice" w:id="1">
    <w:p w14:paraId="4D482C96" w14:textId="77777777" w:rsidR="00CB7954" w:rsidRDefault="00CB7954">
      <w:pPr>
        <w:spacing w:before="60"/>
        <w:jc w:val="right"/>
        <w:rPr>
          <w:sz w:val="17"/>
          <w:szCs w:val="17"/>
        </w:rPr>
      </w:pPr>
      <w:r>
        <w:rPr>
          <w:sz w:val="17"/>
          <w:szCs w:val="17"/>
        </w:rPr>
        <w:t xml:space="preserve">[Footnote </w:t>
      </w:r>
      <w:r>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FE88" w14:textId="4B49403E" w:rsidR="00916EFA" w:rsidRDefault="006E1F1E">
    <w:pPr>
      <w:bidi w:val="0"/>
      <w:rPr>
        <w:caps/>
      </w:rPr>
    </w:pPr>
    <w:r>
      <w:rPr>
        <w:caps/>
      </w:rPr>
      <w:t>SCCR/44/</w:t>
    </w:r>
    <w:r>
      <w:rPr>
        <w:rFonts w:hint="cs"/>
        <w:caps/>
        <w:rtl/>
      </w:rPr>
      <w:t>6</w:t>
    </w:r>
    <w:r w:rsidR="00F72CBA">
      <w:rPr>
        <w:caps/>
      </w:rPr>
      <w:t xml:space="preserve"> </w:t>
    </w:r>
    <w:r w:rsidR="00F72CBA">
      <w:t>Rev.</w:t>
    </w:r>
  </w:p>
  <w:p w14:paraId="6A796140" w14:textId="77777777" w:rsidR="00916EFA" w:rsidRDefault="007D4A6F">
    <w:pPr>
      <w:bidi w:val="0"/>
    </w:pPr>
    <w:r>
      <w:fldChar w:fldCharType="begin"/>
    </w:r>
    <w:r>
      <w:instrText xml:space="preserve"> PAGE  \* MERGEFORMAT </w:instrText>
    </w:r>
    <w:r>
      <w:fldChar w:fldCharType="separate"/>
    </w:r>
    <w:r w:rsidR="004F058B">
      <w:rPr>
        <w:noProof/>
      </w:rPr>
      <w:t>2</w:t>
    </w:r>
    <w:r>
      <w:fldChar w:fldCharType="end"/>
    </w:r>
  </w:p>
  <w:p w14:paraId="4D94B6C8" w14:textId="77777777" w:rsidR="00916EFA" w:rsidRDefault="00916EFA">
    <w:pPr>
      <w:bidi w:val="0"/>
    </w:pPr>
  </w:p>
  <w:p w14:paraId="5D34EB06" w14:textId="77777777" w:rsidR="00916EFA" w:rsidRDefault="00916EFA">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3FF72FDF"/>
    <w:multiLevelType w:val="hybridMultilevel"/>
    <w:tmpl w:val="A6327562"/>
    <w:lvl w:ilvl="0" w:tplc="A8C073F0">
      <w:start w:val="1"/>
      <w:numFmt w:val="decimal"/>
      <w:lvlText w:val="&quot;%1&quot;"/>
      <w:lvlJc w:val="right"/>
      <w:pPr>
        <w:ind w:left="720" w:hanging="360"/>
      </w:pPr>
      <w:rPr>
        <w:rFonts w:ascii="Calibri" w:hAnsi="Calibri" w:cs="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A2CFB"/>
    <w:multiLevelType w:val="hybridMultilevel"/>
    <w:tmpl w:val="75DE6874"/>
    <w:lvl w:ilvl="0" w:tplc="A1AE3E1E">
      <w:start w:val="1"/>
      <w:numFmt w:val="arabicAbjad"/>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930482">
    <w:abstractNumId w:val="2"/>
  </w:num>
  <w:num w:numId="2" w16cid:durableId="870454081">
    <w:abstractNumId w:val="6"/>
  </w:num>
  <w:num w:numId="3" w16cid:durableId="1365524375">
    <w:abstractNumId w:val="0"/>
  </w:num>
  <w:num w:numId="4" w16cid:durableId="756367188">
    <w:abstractNumId w:val="7"/>
  </w:num>
  <w:num w:numId="5" w16cid:durableId="1752586000">
    <w:abstractNumId w:val="1"/>
  </w:num>
  <w:num w:numId="6" w16cid:durableId="1636719096">
    <w:abstractNumId w:val="3"/>
  </w:num>
  <w:num w:numId="7" w16cid:durableId="1699039864">
    <w:abstractNumId w:val="8"/>
  </w:num>
  <w:num w:numId="8" w16cid:durableId="1067647167">
    <w:abstractNumId w:val="4"/>
  </w:num>
  <w:num w:numId="9" w16cid:durableId="2044163401">
    <w:abstractNumId w:val="10"/>
  </w:num>
  <w:num w:numId="10" w16cid:durableId="1828131368">
    <w:abstractNumId w:val="9"/>
  </w:num>
  <w:num w:numId="11" w16cid:durableId="188344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6F"/>
    <w:rsid w:val="00083728"/>
    <w:rsid w:val="00362029"/>
    <w:rsid w:val="004B2C8F"/>
    <w:rsid w:val="004F058B"/>
    <w:rsid w:val="006E1F1E"/>
    <w:rsid w:val="007D4A6F"/>
    <w:rsid w:val="00916EFA"/>
    <w:rsid w:val="00CB7954"/>
    <w:rsid w:val="00F72CB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25572"/>
  <w15:docId w15:val="{4783E1E2-FB0A-4EE8-9EF3-EBD550EB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styleId="ListParagraph">
    <w:name w:val="List Paragraph"/>
    <w:basedOn w:val="Normal"/>
    <w:uiPriority w:val="34"/>
    <w:qFormat/>
    <w:rsid w:val="006E1F1E"/>
    <w:pPr>
      <w:bidi w:val="0"/>
      <w:ind w:left="720"/>
      <w:contextualSpacing/>
    </w:pPr>
    <w:rPr>
      <w:rFonts w:asciiTheme="minorHAnsi" w:eastAsiaTheme="minorHAnsi" w:hAnsiTheme="minorHAnsi" w:cstheme="minorBidi"/>
      <w:kern w:val="2"/>
      <w:sz w:val="24"/>
      <w:szCs w:val="24"/>
      <w:lang w:eastAsia="en-US" w:bidi="ar-EG"/>
      <w14:ligatures w14:val="standardContextual"/>
    </w:rPr>
  </w:style>
  <w:style w:type="paragraph" w:styleId="Revision">
    <w:name w:val="Revision"/>
    <w:hidden/>
    <w:uiPriority w:val="99"/>
    <w:semiHidden/>
    <w:rsid w:val="00F72CBA"/>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2FD4-6952-45AA-A717-DE7E6377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3546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SCCR/44/6</vt:lpstr>
    </vt:vector>
  </TitlesOfParts>
  <Company>WIPO</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dc:title>
  <dc:creator>ENDANI Ahmad</dc:creator>
  <cp:keywords>FOR OFFICIAL USE ONLY</cp:keywords>
  <cp:lastModifiedBy>HAIZEL Francesca</cp:lastModifiedBy>
  <cp:revision>2</cp:revision>
  <cp:lastPrinted>2024-04-17T13:54:00Z</cp:lastPrinted>
  <dcterms:created xsi:type="dcterms:W3CDTF">2024-04-25T13:32:00Z</dcterms:created>
  <dcterms:modified xsi:type="dcterms:W3CDTF">2024-04-25T13:32:00Z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2023-11-06T12:39:06Z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fd1972dd-9577-4205-a05d-709494bcdb3b</vt:lpwstr>
  </property>
  <property fmtid="{D5CDD505-2E9C-101B-9397-08002B2CF9AE}" pid="13" name="MSIP_Label_20773ee6-353b-4fb9-a59d-0b94c8c67bea_ContentBits">
    <vt:lpwstr>0</vt:lpwstr>
  </property>
</Properties>
</file>