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8275" w14:textId="77777777" w:rsidR="00BD0B12" w:rsidRDefault="00864C9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71A93704" wp14:editId="03B095C9">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2AEFB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1E2802C" w14:textId="43B8CCF2" w:rsidR="00BD0B12" w:rsidRDefault="00864C94">
      <w:pPr>
        <w:bidi w:val="0"/>
        <w:rPr>
          <w:rFonts w:ascii="Arial Black" w:hAnsi="Arial Black"/>
          <w:caps/>
          <w:sz w:val="15"/>
          <w:szCs w:val="15"/>
          <w:rtl/>
        </w:rPr>
      </w:pPr>
      <w:r>
        <w:rPr>
          <w:rFonts w:ascii="Arial Black" w:hAnsi="Arial Black"/>
          <w:caps/>
          <w:sz w:val="15"/>
          <w:szCs w:val="15"/>
        </w:rPr>
        <w:t>sccr/</w:t>
      </w:r>
      <w:r w:rsidR="000865DE">
        <w:rPr>
          <w:rFonts w:ascii="Arial Black" w:hAnsi="Arial Black"/>
          <w:caps/>
          <w:sz w:val="15"/>
          <w:szCs w:val="15"/>
        </w:rPr>
        <w:t>45</w:t>
      </w:r>
      <w:r>
        <w:rPr>
          <w:rFonts w:ascii="Arial Black" w:hAnsi="Arial Black"/>
          <w:caps/>
          <w:sz w:val="15"/>
          <w:szCs w:val="15"/>
        </w:rPr>
        <w:t>/</w:t>
      </w:r>
      <w:bookmarkStart w:id="0" w:name="Code"/>
      <w:bookmarkEnd w:id="0"/>
      <w:r w:rsidR="00290943">
        <w:rPr>
          <w:rFonts w:ascii="Arial Black" w:hAnsi="Arial Black"/>
          <w:caps/>
          <w:sz w:val="15"/>
          <w:szCs w:val="15"/>
        </w:rPr>
        <w:t>10 prov.</w:t>
      </w:r>
    </w:p>
    <w:p w14:paraId="595BDE44" w14:textId="77777777" w:rsidR="00BD0B12" w:rsidRPr="000865DE" w:rsidRDefault="00864C94">
      <w:pPr>
        <w:jc w:val="right"/>
        <w:rPr>
          <w:rFonts w:asciiTheme="minorHAnsi" w:hAnsiTheme="minorHAnsi" w:cstheme="minorHAnsi"/>
          <w:b/>
          <w:bCs/>
          <w:caps/>
          <w:sz w:val="15"/>
          <w:szCs w:val="15"/>
        </w:rPr>
      </w:pPr>
      <w:bookmarkStart w:id="1" w:name="Original"/>
      <w:r w:rsidRPr="000865DE">
        <w:rPr>
          <w:rFonts w:asciiTheme="minorHAnsi" w:hAnsiTheme="minorHAnsi" w:cstheme="minorHAnsi" w:hint="cs"/>
          <w:b/>
          <w:bCs/>
          <w:caps/>
          <w:sz w:val="15"/>
          <w:szCs w:val="15"/>
          <w:rtl/>
        </w:rPr>
        <w:t xml:space="preserve">الأصل: </w:t>
      </w:r>
      <w:r w:rsidR="000865DE" w:rsidRPr="000865DE">
        <w:rPr>
          <w:rFonts w:asciiTheme="minorHAnsi" w:hAnsiTheme="minorHAnsi" w:cstheme="minorHAnsi" w:hint="cs"/>
          <w:b/>
          <w:bCs/>
          <w:caps/>
          <w:sz w:val="15"/>
          <w:szCs w:val="15"/>
          <w:rtl/>
        </w:rPr>
        <w:t>بالإنكليز</w:t>
      </w:r>
      <w:r w:rsidR="000865DE">
        <w:rPr>
          <w:rFonts w:asciiTheme="minorHAnsi" w:hAnsiTheme="minorHAnsi" w:cstheme="minorHAnsi" w:hint="cs"/>
          <w:b/>
          <w:bCs/>
          <w:caps/>
          <w:sz w:val="15"/>
          <w:szCs w:val="15"/>
          <w:rtl/>
        </w:rPr>
        <w:t>ي</w:t>
      </w:r>
      <w:r w:rsidR="000865DE" w:rsidRPr="000865DE">
        <w:rPr>
          <w:rFonts w:asciiTheme="minorHAnsi" w:hAnsiTheme="minorHAnsi" w:cstheme="minorHAnsi" w:hint="cs"/>
          <w:b/>
          <w:bCs/>
          <w:caps/>
          <w:sz w:val="15"/>
          <w:szCs w:val="15"/>
          <w:rtl/>
        </w:rPr>
        <w:t>ة</w:t>
      </w:r>
    </w:p>
    <w:p w14:paraId="346ABF14" w14:textId="26E31EF0" w:rsidR="00BD0B12" w:rsidRPr="00AA704C" w:rsidRDefault="00864C94">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90943">
        <w:rPr>
          <w:rFonts w:asciiTheme="minorHAnsi" w:hAnsiTheme="minorHAnsi" w:cstheme="minorHAnsi" w:hint="cs"/>
          <w:b/>
          <w:bCs/>
          <w:caps/>
          <w:sz w:val="15"/>
          <w:szCs w:val="15"/>
          <w:rtl/>
        </w:rPr>
        <w:t>19</w:t>
      </w:r>
      <w:r w:rsidR="000865DE">
        <w:rPr>
          <w:rFonts w:asciiTheme="minorHAnsi" w:hAnsiTheme="minorHAnsi" w:cstheme="minorHAnsi" w:hint="cs"/>
          <w:b/>
          <w:bCs/>
          <w:caps/>
          <w:sz w:val="15"/>
          <w:szCs w:val="15"/>
          <w:rtl/>
        </w:rPr>
        <w:t xml:space="preserve"> أبريل 2024</w:t>
      </w:r>
    </w:p>
    <w:bookmarkEnd w:id="2"/>
    <w:p w14:paraId="7E313D13" w14:textId="77777777" w:rsidR="00BD0B12" w:rsidRDefault="00864C94">
      <w:pPr>
        <w:pStyle w:val="Heading1"/>
      </w:pPr>
      <w:r>
        <w:rPr>
          <w:rtl/>
        </w:rPr>
        <w:t>اللجنة ال</w:t>
      </w:r>
      <w:r>
        <w:rPr>
          <w:rFonts w:hint="cs"/>
          <w:rtl/>
        </w:rPr>
        <w:t>دائمة المعنية بحق المؤلف والحقوق المجاورة</w:t>
      </w:r>
    </w:p>
    <w:p w14:paraId="420107CD" w14:textId="77777777" w:rsidR="00BD0B12" w:rsidRDefault="00864C94">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sidR="005764E6">
        <w:rPr>
          <w:rFonts w:asciiTheme="minorHAnsi" w:hAnsiTheme="minorHAnsi" w:cstheme="minorHAnsi" w:hint="cs"/>
          <w:bCs/>
          <w:sz w:val="24"/>
          <w:szCs w:val="24"/>
          <w:rtl/>
        </w:rPr>
        <w:t>الخامسة</w:t>
      </w:r>
      <w:r>
        <w:rPr>
          <w:rFonts w:asciiTheme="minorHAnsi" w:hAnsiTheme="minorHAnsi" w:cstheme="minorHAnsi" w:hint="cs"/>
          <w:bCs/>
          <w:sz w:val="24"/>
          <w:szCs w:val="24"/>
          <w:rtl/>
        </w:rPr>
        <w:t xml:space="preserve"> والأربعون</w:t>
      </w:r>
    </w:p>
    <w:p w14:paraId="3C950DBA" w14:textId="77777777" w:rsidR="00BD0B12" w:rsidRDefault="00864C9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5764E6">
        <w:rPr>
          <w:rFonts w:asciiTheme="minorHAnsi" w:hAnsiTheme="minorHAnsi" w:cstheme="minorHAnsi" w:hint="cs"/>
          <w:bCs/>
          <w:sz w:val="24"/>
          <w:szCs w:val="24"/>
          <w:rtl/>
        </w:rPr>
        <w:t>15</w:t>
      </w:r>
      <w:r>
        <w:rPr>
          <w:rFonts w:asciiTheme="minorHAnsi" w:hAnsiTheme="minorHAnsi" w:cstheme="minorHAnsi" w:hint="cs"/>
          <w:bCs/>
          <w:sz w:val="24"/>
          <w:szCs w:val="24"/>
          <w:rtl/>
        </w:rPr>
        <w:t xml:space="preserve"> إلى</w:t>
      </w:r>
      <w:r w:rsidR="00593403">
        <w:rPr>
          <w:rFonts w:asciiTheme="minorHAnsi" w:hAnsiTheme="minorHAnsi" w:cstheme="minorHAnsi" w:hint="cs"/>
          <w:bCs/>
          <w:sz w:val="24"/>
          <w:szCs w:val="24"/>
          <w:rtl/>
        </w:rPr>
        <w:t xml:space="preserve"> 19</w:t>
      </w:r>
      <w:r w:rsidR="005764E6">
        <w:rPr>
          <w:rFonts w:asciiTheme="minorHAnsi" w:hAnsiTheme="minorHAnsi" w:cstheme="minorHAnsi" w:hint="cs"/>
          <w:bCs/>
          <w:sz w:val="24"/>
          <w:szCs w:val="24"/>
          <w:rtl/>
        </w:rPr>
        <w:t xml:space="preserve"> أبريل </w:t>
      </w:r>
      <w:r>
        <w:rPr>
          <w:rFonts w:asciiTheme="minorHAnsi" w:hAnsiTheme="minorHAnsi" w:cstheme="minorHAnsi" w:hint="cs"/>
          <w:bCs/>
          <w:sz w:val="24"/>
          <w:szCs w:val="24"/>
          <w:rtl/>
        </w:rPr>
        <w:t>202</w:t>
      </w:r>
      <w:r w:rsidR="005764E6">
        <w:rPr>
          <w:rFonts w:asciiTheme="minorHAnsi" w:hAnsiTheme="minorHAnsi" w:cstheme="minorHAnsi" w:hint="cs"/>
          <w:bCs/>
          <w:sz w:val="24"/>
          <w:szCs w:val="24"/>
          <w:rtl/>
        </w:rPr>
        <w:t>4</w:t>
      </w:r>
    </w:p>
    <w:p w14:paraId="3D3C72A2" w14:textId="40A9CE94" w:rsidR="00BD0B12" w:rsidRPr="00D82557" w:rsidRDefault="006705C1" w:rsidP="00D82557">
      <w:pPr>
        <w:spacing w:after="360"/>
        <w:outlineLvl w:val="0"/>
        <w:rPr>
          <w:rFonts w:asciiTheme="minorHAnsi" w:hAnsiTheme="minorHAnsi"/>
          <w:caps/>
          <w:sz w:val="28"/>
          <w:szCs w:val="24"/>
        </w:rPr>
      </w:pPr>
      <w:bookmarkStart w:id="3" w:name="TitleOfDoc"/>
      <w:r w:rsidRPr="006705C1">
        <w:rPr>
          <w:rFonts w:asciiTheme="minorHAnsi" w:hAnsiTheme="minorHAnsi"/>
          <w:caps/>
          <w:sz w:val="28"/>
          <w:szCs w:val="24"/>
          <w:rtl/>
        </w:rPr>
        <w:t xml:space="preserve">مشروع خطة تنفيذ برنامج العمل بشأن التقييدات </w:t>
      </w:r>
      <w:r w:rsidR="00290943">
        <w:rPr>
          <w:rFonts w:asciiTheme="minorHAnsi" w:hAnsiTheme="minorHAnsi" w:hint="cs"/>
          <w:caps/>
          <w:sz w:val="28"/>
          <w:szCs w:val="24"/>
          <w:rtl/>
        </w:rPr>
        <w:t>و</w:t>
      </w:r>
      <w:r w:rsidR="00290943" w:rsidRPr="006705C1">
        <w:rPr>
          <w:rFonts w:asciiTheme="minorHAnsi" w:hAnsiTheme="minorHAnsi"/>
          <w:caps/>
          <w:sz w:val="28"/>
          <w:szCs w:val="24"/>
          <w:rtl/>
        </w:rPr>
        <w:t>الاستثناءات</w:t>
      </w:r>
      <w:r w:rsidR="00D82557">
        <w:rPr>
          <w:rFonts w:asciiTheme="minorHAnsi" w:hAnsiTheme="minorHAnsi"/>
          <w:caps/>
          <w:sz w:val="28"/>
          <w:szCs w:val="24"/>
          <w:rtl/>
        </w:rPr>
        <w:br/>
      </w:r>
    </w:p>
    <w:p w14:paraId="5306976D" w14:textId="77777777" w:rsidR="00BD0B12" w:rsidRDefault="00864C94">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وثيقة من إعداد</w:t>
      </w:r>
      <w:r w:rsidR="00661D40">
        <w:rPr>
          <w:rFonts w:asciiTheme="minorHAnsi" w:hAnsiTheme="minorHAnsi" w:cstheme="minorHAnsi" w:hint="cs"/>
          <w:iCs/>
          <w:rtl/>
        </w:rPr>
        <w:t xml:space="preserve"> الأمان</w:t>
      </w:r>
      <w:r w:rsidR="003A62D5">
        <w:rPr>
          <w:rFonts w:asciiTheme="minorHAnsi" w:hAnsiTheme="minorHAnsi" w:cstheme="minorHAnsi" w:hint="cs"/>
          <w:iCs/>
          <w:rtl/>
        </w:rPr>
        <w:t>ة</w:t>
      </w:r>
    </w:p>
    <w:p w14:paraId="3EEC23FD" w14:textId="77777777" w:rsidR="006705C1" w:rsidRDefault="006705C1">
      <w:pPr>
        <w:bidi w:val="0"/>
        <w:rPr>
          <w:rtl/>
        </w:rPr>
      </w:pPr>
      <w:r>
        <w:rPr>
          <w:rtl/>
        </w:rPr>
        <w:br w:type="page"/>
      </w:r>
    </w:p>
    <w:p w14:paraId="042D7043" w14:textId="37106973" w:rsidR="006705C1" w:rsidRPr="00FE5D95" w:rsidRDefault="006705C1" w:rsidP="006705C1">
      <w:pPr>
        <w:pStyle w:val="BodyText"/>
        <w:rPr>
          <w:b/>
          <w:bCs/>
          <w:sz w:val="24"/>
          <w:szCs w:val="24"/>
          <w:u w:val="single"/>
          <w:rtl/>
          <w:lang w:bidi="ar-EG"/>
        </w:rPr>
      </w:pPr>
      <w:r w:rsidRPr="00FE5D95">
        <w:rPr>
          <w:rFonts w:hint="cs"/>
          <w:b/>
          <w:bCs/>
          <w:sz w:val="24"/>
          <w:szCs w:val="24"/>
          <w:u w:val="single"/>
          <w:rtl/>
          <w:lang w:bidi="ar-EG"/>
        </w:rPr>
        <w:lastRenderedPageBreak/>
        <w:t xml:space="preserve">مشروع خطة التنفيذ </w:t>
      </w:r>
    </w:p>
    <w:p w14:paraId="5E387B87" w14:textId="77777777" w:rsidR="006705C1" w:rsidRPr="006705C1" w:rsidRDefault="006705C1" w:rsidP="006705C1">
      <w:pPr>
        <w:pStyle w:val="BodyText"/>
        <w:rPr>
          <w:u w:val="single"/>
          <w:rtl/>
          <w:lang w:bidi="ar-EG"/>
        </w:rPr>
      </w:pPr>
      <w:r w:rsidRPr="006705C1">
        <w:rPr>
          <w:rFonts w:hint="cs"/>
          <w:u w:val="single"/>
          <w:rtl/>
          <w:lang w:bidi="ar-EG"/>
        </w:rPr>
        <w:t>معلومات أساسية</w:t>
      </w:r>
    </w:p>
    <w:p w14:paraId="6DE2FDC9" w14:textId="32A838B7" w:rsidR="006705C1" w:rsidRDefault="006705C1" w:rsidP="00BD0FB8">
      <w:pPr>
        <w:pStyle w:val="BodyText"/>
        <w:rPr>
          <w:rtl/>
          <w:lang w:bidi="ar-EG"/>
        </w:rPr>
      </w:pPr>
      <w:r w:rsidRPr="006705C1">
        <w:rPr>
          <w:rFonts w:hint="cs"/>
          <w:rtl/>
          <w:lang w:bidi="ar-EG"/>
        </w:rPr>
        <w:t xml:space="preserve">في الدورة الرابعة </w:t>
      </w:r>
      <w:r w:rsidRPr="00F40DDF">
        <w:rPr>
          <w:rFonts w:hint="cs"/>
          <w:rtl/>
          <w:lang w:bidi="ar-EG"/>
        </w:rPr>
        <w:t>والأربعين للجنة الدائمة المعنية بحق المؤلف والحقوق المجاورة (لجنة حق المؤلف)،</w:t>
      </w:r>
      <w:r w:rsidRPr="006705C1">
        <w:rPr>
          <w:rFonts w:hint="cs"/>
          <w:rtl/>
          <w:lang w:bidi="ar-EG"/>
        </w:rPr>
        <w:t xml:space="preserve"> التي عُقدت في نوفمبر 2023، كُلّفت أمانة الويبو بإعداد مشروع خطة تنفيذ لبرنامج العمل بشأن التقييدات والاستثناءات الذي اعتمدته اللجنة في الوثيقة </w:t>
      </w:r>
      <w:r w:rsidRPr="006705C1">
        <w:t>SCCR/43/8</w:t>
      </w:r>
      <w:r w:rsidR="00F40DDF">
        <w:t xml:space="preserve"> Rev)</w:t>
      </w:r>
      <w:r w:rsidRPr="006705C1">
        <w:rPr>
          <w:rFonts w:hint="cs"/>
          <w:rtl/>
          <w:lang w:bidi="ar-EG"/>
        </w:rPr>
        <w:t>).</w:t>
      </w:r>
      <w:r w:rsidR="00BC3F44">
        <w:rPr>
          <w:rFonts w:hint="cs"/>
          <w:rtl/>
          <w:lang w:bidi="ar-EG"/>
        </w:rPr>
        <w:t xml:space="preserve"> </w:t>
      </w:r>
      <w:r w:rsidRPr="006705C1">
        <w:rPr>
          <w:rFonts w:hint="cs"/>
          <w:rtl/>
          <w:lang w:bidi="ar-EG"/>
        </w:rPr>
        <w:t xml:space="preserve">وقد </w:t>
      </w:r>
      <w:r w:rsidR="00F40DDF">
        <w:rPr>
          <w:rFonts w:hint="cs"/>
          <w:rtl/>
        </w:rPr>
        <w:t xml:space="preserve">طلب </w:t>
      </w:r>
      <w:r w:rsidRPr="006705C1">
        <w:rPr>
          <w:rFonts w:hint="cs"/>
          <w:rtl/>
          <w:lang w:bidi="ar-EG"/>
        </w:rPr>
        <w:t>أن تُعمم الأمانة هذا المشروع على الدول الأعضاء من أجل إجراء مشاورات قبل الدورة الخامسة والأربعين للجنة حق المؤلف، المقرّر عقدها في أبريل 2024.</w:t>
      </w:r>
      <w:r w:rsidR="00F40DDF" w:rsidRPr="00F40DDF">
        <w:rPr>
          <w:rtl/>
        </w:rPr>
        <w:t xml:space="preserve"> </w:t>
      </w:r>
      <w:r w:rsidR="00F40DDF" w:rsidRPr="00F40DDF">
        <w:rPr>
          <w:rtl/>
          <w:lang w:bidi="ar-EG"/>
        </w:rPr>
        <w:t xml:space="preserve">وقد </w:t>
      </w:r>
      <w:r w:rsidR="00F40DDF">
        <w:rPr>
          <w:rFonts w:hint="cs"/>
          <w:rtl/>
          <w:lang w:bidi="ar-EG"/>
        </w:rPr>
        <w:t>قدم المشروع</w:t>
      </w:r>
      <w:r w:rsidR="00F40DDF" w:rsidRPr="00F40DDF">
        <w:rPr>
          <w:rtl/>
          <w:lang w:bidi="ar-EG"/>
        </w:rPr>
        <w:t xml:space="preserve">، </w:t>
      </w:r>
      <w:r w:rsidR="00F40DDF">
        <w:rPr>
          <w:rFonts w:hint="cs"/>
          <w:rtl/>
          <w:lang w:bidi="ar-EG"/>
        </w:rPr>
        <w:t>الذي</w:t>
      </w:r>
      <w:r w:rsidR="00F40DDF" w:rsidRPr="00F40DDF">
        <w:rPr>
          <w:rtl/>
          <w:lang w:bidi="ar-EG"/>
        </w:rPr>
        <w:t xml:space="preserve"> </w:t>
      </w:r>
      <w:r w:rsidR="00F40DDF">
        <w:rPr>
          <w:rFonts w:hint="cs"/>
          <w:rtl/>
          <w:lang w:bidi="ar-EG"/>
        </w:rPr>
        <w:t>ي</w:t>
      </w:r>
      <w:r w:rsidR="00F40DDF" w:rsidRPr="00F40DDF">
        <w:rPr>
          <w:rtl/>
          <w:lang w:bidi="ar-EG"/>
        </w:rPr>
        <w:t xml:space="preserve">حتوي على مرفق </w:t>
      </w:r>
      <w:r w:rsidR="00F40DDF">
        <w:rPr>
          <w:rFonts w:hint="cs"/>
          <w:rtl/>
          <w:lang w:bidi="ar-EG"/>
        </w:rPr>
        <w:t xml:space="preserve">من </w:t>
      </w:r>
      <w:r w:rsidR="00F40DDF" w:rsidRPr="00F40DDF">
        <w:rPr>
          <w:rtl/>
          <w:lang w:bidi="ar-EG"/>
        </w:rPr>
        <w:t xml:space="preserve">أربعة تعليقات </w:t>
      </w:r>
      <w:r w:rsidR="00C94D9F">
        <w:rPr>
          <w:rFonts w:hint="cs"/>
          <w:rtl/>
          <w:lang w:bidi="ar-EG"/>
        </w:rPr>
        <w:t xml:space="preserve">والذي </w:t>
      </w:r>
      <w:r w:rsidR="00F40DDF">
        <w:rPr>
          <w:rFonts w:hint="cs"/>
          <w:rtl/>
          <w:lang w:bidi="ar-EG"/>
        </w:rPr>
        <w:t>ورد</w:t>
      </w:r>
      <w:r w:rsidR="00F40DDF" w:rsidRPr="00F40DDF">
        <w:rPr>
          <w:rtl/>
          <w:lang w:bidi="ar-EG"/>
        </w:rPr>
        <w:t xml:space="preserve"> بحلول 29 مارس 2024، في الوثيقة </w:t>
      </w:r>
      <w:r w:rsidR="00F40DDF" w:rsidRPr="00F40DDF">
        <w:rPr>
          <w:lang w:bidi="ar-EG"/>
        </w:rPr>
        <w:t>SCCR/45/6</w:t>
      </w:r>
      <w:r w:rsidR="00F40DDF" w:rsidRPr="00F40DDF">
        <w:rPr>
          <w:rtl/>
          <w:lang w:bidi="ar-EG"/>
        </w:rPr>
        <w:t xml:space="preserve"> للنظر فيه.</w:t>
      </w:r>
    </w:p>
    <w:p w14:paraId="11388FFA" w14:textId="3D31B29F" w:rsidR="00BD0FB8" w:rsidRDefault="00BD0FB8" w:rsidP="00B25E38">
      <w:pPr>
        <w:pStyle w:val="BodyText"/>
        <w:rPr>
          <w:rtl/>
          <w:lang w:bidi="ar-EG"/>
        </w:rPr>
      </w:pPr>
      <w:r>
        <w:rPr>
          <w:rFonts w:hint="cs"/>
          <w:rtl/>
          <w:lang w:bidi="ar-EG"/>
        </w:rPr>
        <w:t>و</w:t>
      </w:r>
      <w:r>
        <w:rPr>
          <w:rtl/>
          <w:lang w:bidi="ar-EG"/>
        </w:rPr>
        <w:t xml:space="preserve">طلب منسقو المجموعة في 17 أبريل 2024 إعداد مشروع خطة تنفيذ جديد لتناقشه الدول الأعضاء في مشاورات غير رسمية في 18 أبريل 2024. ويتضمن هذا المشروع الجديد (المسمى "الوثيقة الحالية") الوثيقة </w:t>
      </w:r>
      <w:r>
        <w:rPr>
          <w:lang w:bidi="ar-EG"/>
        </w:rPr>
        <w:t>SCCR/45/6</w:t>
      </w:r>
      <w:r>
        <w:rPr>
          <w:rtl/>
          <w:lang w:bidi="ar-EG"/>
        </w:rPr>
        <w:t xml:space="preserve"> ومرفقها، فضلا عن المدخلات بشأن العمل الإضافي الذي قدمته المجموعة الأفريقية في اليوم</w:t>
      </w:r>
      <w:r w:rsidR="00B25E38" w:rsidRPr="00B25E38">
        <w:rPr>
          <w:rtl/>
          <w:lang w:bidi="ar-EG"/>
        </w:rPr>
        <w:t xml:space="preserve"> </w:t>
      </w:r>
      <w:r w:rsidR="00B25E38">
        <w:rPr>
          <w:rtl/>
          <w:lang w:bidi="ar-EG"/>
        </w:rPr>
        <w:t>نفس</w:t>
      </w:r>
      <w:r w:rsidR="00B25E38">
        <w:rPr>
          <w:rFonts w:hint="cs"/>
          <w:rtl/>
          <w:lang w:bidi="ar-EG"/>
        </w:rPr>
        <w:t>ه</w:t>
      </w:r>
      <w:r>
        <w:rPr>
          <w:rtl/>
          <w:lang w:bidi="ar-EG"/>
        </w:rPr>
        <w:t>.</w:t>
      </w:r>
    </w:p>
    <w:p w14:paraId="1363C6ED" w14:textId="784E3B4D" w:rsidR="00BD0FB8" w:rsidRPr="006705C1" w:rsidRDefault="00BD0FB8" w:rsidP="00BD0FB8">
      <w:pPr>
        <w:pStyle w:val="BodyText"/>
        <w:rPr>
          <w:lang w:bidi="ar-EG"/>
        </w:rPr>
      </w:pPr>
      <w:r>
        <w:rPr>
          <w:rtl/>
          <w:lang w:bidi="ar-EG"/>
        </w:rPr>
        <w:t>و</w:t>
      </w:r>
      <w:r w:rsidR="00B25E38">
        <w:rPr>
          <w:rFonts w:hint="cs"/>
          <w:rtl/>
          <w:lang w:bidi="ar-EG"/>
        </w:rPr>
        <w:t xml:space="preserve">اتفق </w:t>
      </w:r>
      <w:r>
        <w:rPr>
          <w:rtl/>
          <w:lang w:bidi="ar-EG"/>
        </w:rPr>
        <w:t>على أن تحمل الوثيقة الحالية عنوان مشروع خطة تنفيذ برنامج العمل بشأن التقييدات والاستثناءات وس</w:t>
      </w:r>
      <w:r w:rsidR="00B25E38">
        <w:rPr>
          <w:rFonts w:hint="cs"/>
          <w:rtl/>
          <w:lang w:bidi="ar-EG"/>
        </w:rPr>
        <w:t xml:space="preserve">تنشر تحت </w:t>
      </w:r>
      <w:r>
        <w:rPr>
          <w:rtl/>
          <w:lang w:bidi="ar-EG"/>
        </w:rPr>
        <w:t xml:space="preserve">الوثيقة </w:t>
      </w:r>
      <w:r>
        <w:rPr>
          <w:lang w:bidi="ar-EG"/>
        </w:rPr>
        <w:t>SCCR/45/10 PROV</w:t>
      </w:r>
      <w:r>
        <w:rPr>
          <w:rtl/>
          <w:lang w:bidi="ar-EG"/>
        </w:rPr>
        <w:t>.</w:t>
      </w:r>
    </w:p>
    <w:p w14:paraId="382F01DB" w14:textId="77777777" w:rsidR="006705C1" w:rsidRPr="006705C1" w:rsidRDefault="006705C1" w:rsidP="006705C1">
      <w:pPr>
        <w:pStyle w:val="BodyText"/>
        <w:rPr>
          <w:u w:val="single"/>
          <w:rtl/>
          <w:lang w:bidi="ar-EG"/>
        </w:rPr>
      </w:pPr>
      <w:r w:rsidRPr="006705C1">
        <w:rPr>
          <w:rFonts w:hint="cs"/>
          <w:u w:val="single"/>
          <w:rtl/>
          <w:lang w:bidi="ar-EG"/>
        </w:rPr>
        <w:t>مشروع خطة التنفيذ</w:t>
      </w:r>
    </w:p>
    <w:p w14:paraId="7E66EF85" w14:textId="77777777" w:rsidR="006705C1" w:rsidRPr="006705C1" w:rsidRDefault="006705C1" w:rsidP="006705C1">
      <w:pPr>
        <w:pStyle w:val="BodyText"/>
        <w:rPr>
          <w:i/>
          <w:iCs/>
        </w:rPr>
      </w:pPr>
    </w:p>
    <w:p w14:paraId="4DFFADAA" w14:textId="77777777" w:rsidR="006705C1" w:rsidRPr="006705C1" w:rsidRDefault="006705C1" w:rsidP="006705C1">
      <w:pPr>
        <w:pStyle w:val="BodyText"/>
        <w:rPr>
          <w:i/>
          <w:iCs/>
          <w:rtl/>
          <w:lang w:bidi="ar-EG"/>
        </w:rPr>
      </w:pPr>
      <w:r w:rsidRPr="006705C1">
        <w:rPr>
          <w:rFonts w:hint="cs"/>
          <w:i/>
          <w:iCs/>
          <w:rtl/>
          <w:lang w:bidi="ar-EG"/>
        </w:rPr>
        <w:t>أولًا. مسائل حفظ المصنفات</w:t>
      </w:r>
    </w:p>
    <w:p w14:paraId="64B61F68" w14:textId="32E3CDF7" w:rsidR="006705C1" w:rsidRPr="006705C1" w:rsidRDefault="006705C1" w:rsidP="00325CBF">
      <w:pPr>
        <w:pStyle w:val="BodyText"/>
        <w:numPr>
          <w:ilvl w:val="0"/>
          <w:numId w:val="10"/>
        </w:numPr>
        <w:ind w:left="357" w:hanging="357"/>
        <w:rPr>
          <w:rtl/>
          <w:lang w:bidi="ar-EG"/>
        </w:rPr>
      </w:pPr>
      <w:r w:rsidRPr="006705C1">
        <w:rPr>
          <w:rFonts w:hint="cs"/>
          <w:rtl/>
          <w:lang w:bidi="ar-EG"/>
        </w:rPr>
        <w:t>إطلاق مجموعة الأدوات المتعلقة بحفظ المصنفات بنسق مختلط قبل انعقاد الدورة السادسة والأربعين للجنة حق المؤلف</w:t>
      </w:r>
      <w:r w:rsidR="007E7661">
        <w:rPr>
          <w:rStyle w:val="FootnoteReference"/>
          <w:rtl/>
          <w:lang w:bidi="ar-EG"/>
        </w:rPr>
        <w:footnoteReference w:id="2"/>
      </w:r>
      <w:r w:rsidRPr="006705C1">
        <w:rPr>
          <w:rFonts w:hint="cs"/>
          <w:rtl/>
          <w:lang w:bidi="ar-EG"/>
        </w:rPr>
        <w:t>.</w:t>
      </w:r>
    </w:p>
    <w:p w14:paraId="39DFD204" w14:textId="72AF1116" w:rsidR="006705C1" w:rsidRPr="006705C1" w:rsidRDefault="007E7661" w:rsidP="00325CBF">
      <w:pPr>
        <w:pStyle w:val="BodyText"/>
        <w:numPr>
          <w:ilvl w:val="0"/>
          <w:numId w:val="10"/>
        </w:numPr>
        <w:ind w:left="357" w:hanging="357"/>
        <w:rPr>
          <w:rtl/>
          <w:lang w:bidi="ar-EG"/>
        </w:rPr>
      </w:pPr>
      <w:r>
        <w:rPr>
          <w:rStyle w:val="FootnoteReference"/>
          <w:rtl/>
          <w:lang w:bidi="ar-EG"/>
        </w:rPr>
        <w:footnoteReference w:id="3"/>
      </w:r>
      <w:r w:rsidR="006705C1" w:rsidRPr="006705C1">
        <w:rPr>
          <w:rFonts w:hint="cs"/>
          <w:rtl/>
          <w:lang w:bidi="ar-EG"/>
        </w:rPr>
        <w:t xml:space="preserve">إجراء سلسلة من الأنشطة خلال الثنائية </w:t>
      </w:r>
      <w:r w:rsidR="00143958">
        <w:rPr>
          <w:rFonts w:hint="cs"/>
          <w:rtl/>
          <w:lang w:bidi="ar-EG"/>
        </w:rPr>
        <w:t>2024/2025</w:t>
      </w:r>
      <w:r w:rsidR="006705C1" w:rsidRPr="006705C1">
        <w:rPr>
          <w:rFonts w:hint="cs"/>
          <w:rtl/>
          <w:lang w:bidi="ar-EG"/>
        </w:rPr>
        <w:t xml:space="preserve"> بناءً على محتوى مجموعة الأدوات من أجل تسهيل تنفيذ سياسات حفظ المصنفات والممارسات المتعلقة به</w:t>
      </w:r>
      <w:r>
        <w:rPr>
          <w:rFonts w:hint="cs"/>
          <w:rtl/>
          <w:lang w:bidi="ar-EG"/>
        </w:rPr>
        <w:t xml:space="preserve"> [</w:t>
      </w:r>
      <w:r w:rsidRPr="007E7661">
        <w:rPr>
          <w:rFonts w:hint="cs"/>
          <w:u w:val="single"/>
          <w:rtl/>
          <w:lang w:bidi="ar-EG"/>
        </w:rPr>
        <w:t>على مستوى وطني</w:t>
      </w:r>
      <w:r>
        <w:rPr>
          <w:rFonts w:hint="cs"/>
          <w:rtl/>
          <w:lang w:bidi="ar-EG"/>
        </w:rPr>
        <w:t>]</w:t>
      </w:r>
      <w:r>
        <w:rPr>
          <w:rStyle w:val="FootnoteReference"/>
          <w:rtl/>
          <w:lang w:bidi="ar-EG"/>
        </w:rPr>
        <w:footnoteReference w:id="4"/>
      </w:r>
      <w:r w:rsidR="006705C1" w:rsidRPr="006705C1">
        <w:rPr>
          <w:rFonts w:hint="cs"/>
          <w:rtl/>
          <w:lang w:bidi="ar-EG"/>
        </w:rPr>
        <w:t>.</w:t>
      </w:r>
      <w:r w:rsidR="00BC3F44">
        <w:rPr>
          <w:rFonts w:hint="cs"/>
          <w:rtl/>
          <w:lang w:bidi="ar-EG"/>
        </w:rPr>
        <w:t xml:space="preserve"> </w:t>
      </w:r>
      <w:r w:rsidR="006705C1" w:rsidRPr="006705C1">
        <w:rPr>
          <w:rFonts w:hint="cs"/>
          <w:rtl/>
          <w:lang w:bidi="ar-EG"/>
        </w:rPr>
        <w:t>وستشمل هذه الأنشطة صناع السياسات والمهنيين والمؤسسات وأصحاب المصلحة المعنيين، وستُعقد في عدة أقاليم.</w:t>
      </w:r>
    </w:p>
    <w:p w14:paraId="5A88B93F" w14:textId="77777777" w:rsidR="006705C1" w:rsidRPr="006705C1" w:rsidRDefault="006705C1" w:rsidP="006705C1">
      <w:pPr>
        <w:pStyle w:val="BodyText"/>
        <w:rPr>
          <w:i/>
          <w:iCs/>
        </w:rPr>
      </w:pPr>
    </w:p>
    <w:p w14:paraId="4A377EE7" w14:textId="77777777" w:rsidR="006705C1" w:rsidRPr="006705C1" w:rsidRDefault="006705C1" w:rsidP="006705C1">
      <w:pPr>
        <w:pStyle w:val="BodyText"/>
        <w:rPr>
          <w:i/>
          <w:iCs/>
          <w:rtl/>
          <w:lang w:bidi="ar-EG"/>
        </w:rPr>
      </w:pPr>
      <w:r w:rsidRPr="006705C1">
        <w:rPr>
          <w:rFonts w:hint="cs"/>
          <w:i/>
          <w:iCs/>
          <w:rtl/>
          <w:lang w:bidi="ar-EG"/>
        </w:rPr>
        <w:t>ثانياً. مسائل النفاذ إلى المصنّفات</w:t>
      </w:r>
    </w:p>
    <w:p w14:paraId="4E0C35AA" w14:textId="23AC9360" w:rsidR="00325CBF" w:rsidRDefault="006705C1" w:rsidP="00325CBF">
      <w:pPr>
        <w:pStyle w:val="BodyText"/>
        <w:numPr>
          <w:ilvl w:val="0"/>
          <w:numId w:val="13"/>
        </w:numPr>
        <w:ind w:left="424"/>
        <w:rPr>
          <w:lang w:bidi="ar-EG"/>
        </w:rPr>
      </w:pPr>
      <w:r w:rsidRPr="006705C1">
        <w:rPr>
          <w:rFonts w:hint="cs"/>
          <w:rtl/>
          <w:lang w:bidi="ar-EG"/>
        </w:rPr>
        <w:t>استكمال مجموعة أدوات</w:t>
      </w:r>
      <w:r w:rsidR="004F1932">
        <w:rPr>
          <w:rStyle w:val="FootnoteReference"/>
          <w:rtl/>
          <w:lang w:bidi="ar-EG"/>
        </w:rPr>
        <w:footnoteReference w:id="5"/>
      </w:r>
      <w:r w:rsidRPr="006705C1">
        <w:rPr>
          <w:rFonts w:hint="cs"/>
          <w:rtl/>
          <w:lang w:bidi="ar-EG"/>
        </w:rPr>
        <w:t xml:space="preserve"> النفاذ إلى المصنفات الخاصة بمؤسسات التراث الثقافي (المكتبات ودور المحفوظات والمتاحف) في عام </w:t>
      </w:r>
      <w:r w:rsidR="004F1932" w:rsidRPr="006705C1">
        <w:rPr>
          <w:rFonts w:hint="cs"/>
          <w:rtl/>
          <w:lang w:bidi="ar-EG"/>
        </w:rPr>
        <w:t>2025</w:t>
      </w:r>
      <w:r w:rsidR="004F1932">
        <w:rPr>
          <w:rFonts w:hint="cs"/>
          <w:rtl/>
          <w:lang w:bidi="ar-EG"/>
        </w:rPr>
        <w:t xml:space="preserve">. </w:t>
      </w:r>
      <w:r w:rsidR="004F1932" w:rsidRPr="00B017AD">
        <w:rPr>
          <w:u w:val="single"/>
          <w:rtl/>
          <w:lang w:bidi="ar-EG"/>
        </w:rPr>
        <w:t xml:space="preserve">[بمجرد نشر مجموعة الأدوات على الموقع الإلكتروني للجنة حق المؤلف، ستتاح للدول الأعضاء وأصحاب المصلحة فرصة تقديم تعليقات </w:t>
      </w:r>
      <w:r w:rsidR="0080362F">
        <w:rPr>
          <w:rFonts w:hint="cs"/>
          <w:u w:val="single"/>
          <w:rtl/>
          <w:lang w:bidi="ar-EG"/>
        </w:rPr>
        <w:t>بشأنها</w:t>
      </w:r>
      <w:r w:rsidR="004F1932" w:rsidRPr="00B017AD">
        <w:rPr>
          <w:u w:val="single"/>
          <w:rtl/>
          <w:lang w:bidi="ar-EG"/>
        </w:rPr>
        <w:t xml:space="preserve"> إلى الأمانة.]</w:t>
      </w:r>
      <w:r w:rsidR="004F1932">
        <w:rPr>
          <w:rStyle w:val="FootnoteReference"/>
          <w:rtl/>
          <w:lang w:bidi="ar-EG"/>
        </w:rPr>
        <w:footnoteReference w:id="6"/>
      </w:r>
    </w:p>
    <w:p w14:paraId="45739B1E" w14:textId="5F2155ED" w:rsidR="006705C1" w:rsidRPr="006705C1" w:rsidRDefault="006705C1" w:rsidP="00325CBF">
      <w:pPr>
        <w:pStyle w:val="BodyText"/>
        <w:numPr>
          <w:ilvl w:val="0"/>
          <w:numId w:val="13"/>
        </w:numPr>
        <w:ind w:left="357" w:hanging="357"/>
        <w:rPr>
          <w:rtl/>
          <w:lang w:bidi="ar-EG"/>
        </w:rPr>
      </w:pPr>
      <w:r w:rsidRPr="006705C1">
        <w:rPr>
          <w:rFonts w:hint="cs"/>
          <w:rtl/>
          <w:lang w:bidi="ar-EG"/>
        </w:rPr>
        <w:t>إطلاق مجموعة أدوات النفاذ إلى المصنفات الخاصة بمؤسسات التراث الثقافي (المكتبات ودور المحفوظات والمتاحف) بنسق مختلط بحلول نهاية عام 2025</w:t>
      </w:r>
      <w:r w:rsidR="00B017AD">
        <w:rPr>
          <w:rStyle w:val="FootnoteReference"/>
          <w:rtl/>
          <w:lang w:bidi="ar-EG"/>
        </w:rPr>
        <w:footnoteReference w:id="7"/>
      </w:r>
      <w:r w:rsidRPr="006705C1">
        <w:rPr>
          <w:rFonts w:hint="cs"/>
          <w:rtl/>
          <w:lang w:bidi="ar-EG"/>
        </w:rPr>
        <w:t>.</w:t>
      </w:r>
    </w:p>
    <w:p w14:paraId="7F129800" w14:textId="1930E747" w:rsidR="006705C1" w:rsidRPr="006705C1" w:rsidRDefault="006705C1" w:rsidP="00325CBF">
      <w:pPr>
        <w:pStyle w:val="BodyText"/>
        <w:numPr>
          <w:ilvl w:val="0"/>
          <w:numId w:val="13"/>
        </w:numPr>
        <w:ind w:left="357" w:hanging="357"/>
        <w:rPr>
          <w:rtl/>
          <w:lang w:bidi="ar-EG"/>
        </w:rPr>
      </w:pPr>
      <w:r w:rsidRPr="006705C1">
        <w:rPr>
          <w:rFonts w:hint="cs"/>
          <w:rtl/>
          <w:lang w:bidi="ar-EG"/>
        </w:rPr>
        <w:lastRenderedPageBreak/>
        <w:t>إجراء سلسلة من الأنشطة</w:t>
      </w:r>
      <w:r w:rsidR="00B35F2F">
        <w:rPr>
          <w:rStyle w:val="FootnoteReference"/>
          <w:rtl/>
          <w:lang w:bidi="ar-EG"/>
        </w:rPr>
        <w:footnoteReference w:id="8"/>
      </w:r>
      <w:r w:rsidRPr="006705C1">
        <w:rPr>
          <w:rFonts w:hint="cs"/>
          <w:rtl/>
          <w:lang w:bidi="ar-EG"/>
        </w:rPr>
        <w:t xml:space="preserve"> خلال الثنائية </w:t>
      </w:r>
      <w:r w:rsidR="00143958">
        <w:rPr>
          <w:rFonts w:hint="cs"/>
          <w:rtl/>
          <w:lang w:bidi="ar-EG"/>
        </w:rPr>
        <w:t>2024/2025</w:t>
      </w:r>
      <w:r w:rsidR="00B35F2F">
        <w:rPr>
          <w:rStyle w:val="FootnoteReference"/>
          <w:rtl/>
          <w:lang w:bidi="ar-EG"/>
        </w:rPr>
        <w:footnoteReference w:id="9"/>
      </w:r>
      <w:r w:rsidRPr="006705C1">
        <w:rPr>
          <w:rFonts w:hint="cs"/>
          <w:rtl/>
          <w:lang w:bidi="ar-EG"/>
        </w:rPr>
        <w:t xml:space="preserve"> بناءً على محتوى مجموعة الأدوات من أجل تسهيل تنفيذ السياسات والممارسات المتعلقة بالنفاذ إلى المصنّفات </w:t>
      </w:r>
      <w:r w:rsidR="0025202D">
        <w:rPr>
          <w:rFonts w:hint="cs"/>
          <w:rtl/>
          <w:lang w:bidi="ar-EG"/>
        </w:rPr>
        <w:t>[</w:t>
      </w:r>
      <w:r w:rsidR="0025202D" w:rsidRPr="0025202D">
        <w:rPr>
          <w:rtl/>
          <w:lang w:bidi="ar-EG"/>
        </w:rPr>
        <w:t>ب</w:t>
      </w:r>
      <w:r w:rsidR="0025202D" w:rsidRPr="0025202D">
        <w:rPr>
          <w:u w:val="single"/>
          <w:rtl/>
          <w:lang w:bidi="ar-EG"/>
        </w:rPr>
        <w:t xml:space="preserve">ما في ذلك من خلال </w:t>
      </w:r>
      <w:r w:rsidR="0080362F">
        <w:rPr>
          <w:rFonts w:hint="cs"/>
          <w:u w:val="single"/>
          <w:rtl/>
          <w:lang w:bidi="ar-EG"/>
        </w:rPr>
        <w:t>أنظمة</w:t>
      </w:r>
      <w:r w:rsidR="0025202D" w:rsidRPr="0025202D">
        <w:rPr>
          <w:u w:val="single"/>
          <w:rtl/>
          <w:lang w:bidi="ar-EG"/>
        </w:rPr>
        <w:t xml:space="preserve"> الترخيص</w:t>
      </w:r>
      <w:r w:rsidR="0025202D">
        <w:rPr>
          <w:rFonts w:hint="cs"/>
          <w:rtl/>
          <w:lang w:bidi="ar-EG"/>
        </w:rPr>
        <w:t>]</w:t>
      </w:r>
      <w:r w:rsidR="0025202D">
        <w:rPr>
          <w:rStyle w:val="FootnoteReference"/>
          <w:rtl/>
          <w:lang w:bidi="ar-EG"/>
        </w:rPr>
        <w:footnoteReference w:id="10"/>
      </w:r>
      <w:r w:rsidR="0025202D">
        <w:rPr>
          <w:rFonts w:hint="cs"/>
          <w:rtl/>
          <w:lang w:bidi="ar-EG"/>
        </w:rPr>
        <w:t xml:space="preserve"> </w:t>
      </w:r>
      <w:r w:rsidRPr="006705C1">
        <w:rPr>
          <w:rFonts w:hint="cs"/>
          <w:rtl/>
          <w:lang w:bidi="ar-EG"/>
        </w:rPr>
        <w:t>فيما يخص مؤسسات التراث الثقافي (المكتبات ودور المحفوظات والمتاحف)</w:t>
      </w:r>
      <w:r w:rsidR="0025202D">
        <w:rPr>
          <w:rFonts w:hint="cs"/>
          <w:rtl/>
          <w:lang w:bidi="ar-EG"/>
        </w:rPr>
        <w:t xml:space="preserve"> [</w:t>
      </w:r>
      <w:r w:rsidR="0025202D" w:rsidRPr="001A6E51">
        <w:rPr>
          <w:rFonts w:hint="cs"/>
          <w:u w:val="single"/>
          <w:rtl/>
          <w:lang w:bidi="ar-EG"/>
        </w:rPr>
        <w:t>على مستوى وطني</w:t>
      </w:r>
      <w:r w:rsidR="0025202D">
        <w:rPr>
          <w:rFonts w:hint="cs"/>
          <w:rtl/>
          <w:lang w:bidi="ar-EG"/>
        </w:rPr>
        <w:t>]</w:t>
      </w:r>
      <w:r w:rsidR="0025202D">
        <w:rPr>
          <w:rStyle w:val="FootnoteReference"/>
          <w:rtl/>
          <w:lang w:bidi="ar-EG"/>
        </w:rPr>
        <w:footnoteReference w:id="11"/>
      </w:r>
      <w:r w:rsidRPr="006705C1">
        <w:rPr>
          <w:rFonts w:hint="cs"/>
          <w:rtl/>
          <w:lang w:bidi="ar-EG"/>
        </w:rPr>
        <w:t>. وستشمل هذه الأنشطة صناع السياسات والمهنيين والمؤسسات وأصحاب المصلحة المعنيين، وستُعقد في عدة أقاليم.</w:t>
      </w:r>
    </w:p>
    <w:p w14:paraId="075E2A7F" w14:textId="315D19FC" w:rsidR="006705C1" w:rsidRPr="006705C1" w:rsidRDefault="006705C1" w:rsidP="00325CBF">
      <w:pPr>
        <w:pStyle w:val="BodyText"/>
        <w:numPr>
          <w:ilvl w:val="0"/>
          <w:numId w:val="13"/>
        </w:numPr>
        <w:ind w:left="357" w:hanging="357"/>
        <w:rPr>
          <w:rtl/>
          <w:lang w:bidi="ar-EG"/>
        </w:rPr>
      </w:pPr>
      <w:r w:rsidRPr="006705C1">
        <w:rPr>
          <w:rFonts w:hint="cs"/>
          <w:rtl/>
          <w:lang w:bidi="ar-EG"/>
        </w:rPr>
        <w:t>البدء في إعداد مجموعة أدوات بشأن النفاذ إلى المصنفات فيما يخص المؤسسات التعليمية ومؤسسات البحوث في عام 2025.</w:t>
      </w:r>
    </w:p>
    <w:p w14:paraId="066D7BB2" w14:textId="77777777" w:rsidR="00630F01" w:rsidRDefault="00630F01" w:rsidP="00630F01">
      <w:pPr>
        <w:pStyle w:val="BodyText"/>
        <w:rPr>
          <w:rtl/>
        </w:rPr>
      </w:pPr>
    </w:p>
    <w:p w14:paraId="6AF2AA5E" w14:textId="00133DBB" w:rsidR="00630F01" w:rsidRDefault="00630F01" w:rsidP="00630F01">
      <w:pPr>
        <w:pStyle w:val="BodyText"/>
        <w:rPr>
          <w:rtl/>
        </w:rPr>
      </w:pPr>
      <w:r>
        <w:rPr>
          <w:rtl/>
        </w:rPr>
        <w:t>[ثالثا. التكي</w:t>
      </w:r>
      <w:r w:rsidR="00C22484">
        <w:rPr>
          <w:rFonts w:hint="cs"/>
          <w:rtl/>
        </w:rPr>
        <w:t>ي</w:t>
      </w:r>
      <w:r>
        <w:rPr>
          <w:rtl/>
        </w:rPr>
        <w:t>ف مع بيئة الانترنت</w:t>
      </w:r>
    </w:p>
    <w:p w14:paraId="4290EC3B" w14:textId="44D65B9F" w:rsidR="006705C1" w:rsidRDefault="00630F01" w:rsidP="00630F01">
      <w:pPr>
        <w:pStyle w:val="BodyText"/>
        <w:rPr>
          <w:rtl/>
        </w:rPr>
      </w:pPr>
      <w:r>
        <w:rPr>
          <w:rtl/>
        </w:rPr>
        <w:t xml:space="preserve">تيسير المزيد من العمل لتعزيز تكييف التقييدات والاستثناءات مع البيئة الإلكترونية، </w:t>
      </w:r>
      <w:r>
        <w:rPr>
          <w:rFonts w:hint="cs"/>
          <w:rtl/>
        </w:rPr>
        <w:t>على غرار السماح</w:t>
      </w:r>
      <w:r>
        <w:rPr>
          <w:rtl/>
        </w:rPr>
        <w:t xml:space="preserve"> بالتدريس والتعلم والبحث من خلال الأدوات الرقمية وعبر الإنترنت، بسبب علاقتها باستخراج البيانات.]</w:t>
      </w:r>
      <w:r>
        <w:rPr>
          <w:rStyle w:val="FootnoteReference"/>
          <w:rtl/>
        </w:rPr>
        <w:footnoteReference w:id="12"/>
      </w:r>
    </w:p>
    <w:p w14:paraId="7598676B" w14:textId="77777777" w:rsidR="00630F01" w:rsidRPr="006705C1" w:rsidRDefault="00630F01" w:rsidP="00630F01">
      <w:pPr>
        <w:pStyle w:val="BodyText"/>
      </w:pPr>
    </w:p>
    <w:p w14:paraId="4CC35FB6" w14:textId="77777777" w:rsidR="006705C1" w:rsidRPr="006705C1" w:rsidRDefault="006705C1" w:rsidP="006705C1">
      <w:pPr>
        <w:pStyle w:val="BodyText"/>
        <w:rPr>
          <w:i/>
          <w:iCs/>
          <w:rtl/>
          <w:lang w:bidi="ar-EG"/>
        </w:rPr>
      </w:pPr>
      <w:r w:rsidRPr="006705C1">
        <w:rPr>
          <w:rFonts w:hint="cs"/>
          <w:i/>
          <w:iCs/>
          <w:rtl/>
          <w:lang w:bidi="ar-EG"/>
        </w:rPr>
        <w:t>ثالثاً. المسائل الأخرى المتعلقة بالإعاقة (غير تلك التي تغطيها معاهدة مراكش).</w:t>
      </w:r>
    </w:p>
    <w:p w14:paraId="7E3B9F82" w14:textId="6F3CCC1E" w:rsidR="006705C1" w:rsidRPr="006705C1" w:rsidRDefault="006705C1" w:rsidP="001572AD">
      <w:pPr>
        <w:pStyle w:val="BodyText"/>
        <w:numPr>
          <w:ilvl w:val="0"/>
          <w:numId w:val="14"/>
        </w:numPr>
        <w:ind w:left="424"/>
        <w:rPr>
          <w:rtl/>
          <w:lang w:bidi="ar-EG"/>
        </w:rPr>
      </w:pPr>
      <w:r w:rsidRPr="006705C1">
        <w:rPr>
          <w:rFonts w:hint="cs"/>
          <w:rtl/>
          <w:lang w:bidi="ar-EG"/>
        </w:rPr>
        <w:t xml:space="preserve">تحديث الدراسة المنقحة المعنونة "دارسة نطاق بشأن نفاذ الأشخاص ذوي الإعاقات إلى المصنفات المحمية بحق المؤلف" (الوثيقة </w:t>
      </w:r>
      <w:r w:rsidRPr="006705C1">
        <w:rPr>
          <w:lang w:bidi="ar-EG"/>
        </w:rPr>
        <w:t>SCCR/38/3)</w:t>
      </w:r>
      <w:r w:rsidRPr="006705C1">
        <w:rPr>
          <w:rFonts w:hint="cs"/>
          <w:rtl/>
          <w:lang w:bidi="ar-EG"/>
        </w:rPr>
        <w:t>، التي نُشرت في عام 2019، من أجل تقييم التكنولوجيات المساعدة فيما يتعلق بمسائل حق المؤلف.</w:t>
      </w:r>
      <w:r w:rsidR="00BC3F44">
        <w:rPr>
          <w:rFonts w:hint="cs"/>
          <w:rtl/>
          <w:lang w:bidi="ar-EG"/>
        </w:rPr>
        <w:t xml:space="preserve"> </w:t>
      </w:r>
      <w:r w:rsidRPr="006705C1">
        <w:rPr>
          <w:rFonts w:hint="cs"/>
          <w:rtl/>
          <w:lang w:bidi="ar-EG"/>
        </w:rPr>
        <w:t xml:space="preserve">وستُعرض هذه الدراسة خلال دورة للجنة حق المؤلف في عام </w:t>
      </w:r>
      <w:r w:rsidR="00630F01">
        <w:rPr>
          <w:rStyle w:val="FootnoteReference"/>
          <w:rtl/>
          <w:lang w:bidi="ar-EG"/>
        </w:rPr>
        <w:footnoteReference w:id="13"/>
      </w:r>
      <w:r w:rsidRPr="006705C1">
        <w:rPr>
          <w:rFonts w:hint="cs"/>
          <w:rtl/>
          <w:lang w:bidi="ar-EG"/>
        </w:rPr>
        <w:t xml:space="preserve">2025. </w:t>
      </w:r>
      <w:r w:rsidR="00630F01">
        <w:rPr>
          <w:rFonts w:hint="cs"/>
          <w:rtl/>
          <w:lang w:bidi="ar-EG"/>
        </w:rPr>
        <w:t>[</w:t>
      </w:r>
      <w:r w:rsidR="00630F01" w:rsidRPr="00630F01">
        <w:rPr>
          <w:u w:val="single"/>
          <w:rtl/>
          <w:lang w:bidi="ar-EG"/>
        </w:rPr>
        <w:t xml:space="preserve">وبمجرد </w:t>
      </w:r>
      <w:r w:rsidR="001A6E51">
        <w:rPr>
          <w:rFonts w:hint="cs"/>
          <w:u w:val="single"/>
          <w:rtl/>
          <w:lang w:bidi="ar-EG"/>
        </w:rPr>
        <w:t>عرض</w:t>
      </w:r>
      <w:r w:rsidR="00630F01" w:rsidRPr="00630F01">
        <w:rPr>
          <w:u w:val="single"/>
          <w:rtl/>
          <w:lang w:bidi="ar-EG"/>
        </w:rPr>
        <w:t xml:space="preserve"> الدراسة، ستتاح للدول الأعضاء</w:t>
      </w:r>
      <w:r w:rsidR="00630F01">
        <w:rPr>
          <w:rFonts w:hint="cs"/>
          <w:u w:val="single"/>
          <w:rtl/>
          <w:lang w:bidi="ar-EG"/>
        </w:rPr>
        <w:t xml:space="preserve"> </w:t>
      </w:r>
      <w:r w:rsidR="00630F01" w:rsidRPr="00630F01">
        <w:rPr>
          <w:u w:val="single"/>
          <w:rtl/>
          <w:lang w:bidi="ar-EG"/>
        </w:rPr>
        <w:t>وأصحاب المصلحة فرصة تقديم تعليقات عليها.</w:t>
      </w:r>
      <w:r w:rsidR="00630F01" w:rsidRPr="00630F01">
        <w:rPr>
          <w:rtl/>
          <w:lang w:bidi="ar-EG"/>
        </w:rPr>
        <w:t>]</w:t>
      </w:r>
      <w:r w:rsidR="00630F01">
        <w:rPr>
          <w:rStyle w:val="FootnoteReference"/>
          <w:rtl/>
          <w:lang w:bidi="ar-EG"/>
        </w:rPr>
        <w:footnoteReference w:id="14"/>
      </w:r>
    </w:p>
    <w:p w14:paraId="506328A0" w14:textId="4978AAA2" w:rsidR="006705C1" w:rsidRDefault="006705C1" w:rsidP="001572AD">
      <w:pPr>
        <w:pStyle w:val="BodyText"/>
        <w:numPr>
          <w:ilvl w:val="0"/>
          <w:numId w:val="14"/>
        </w:numPr>
        <w:ind w:left="357" w:hanging="357"/>
        <w:rPr>
          <w:lang w:bidi="ar-EG"/>
        </w:rPr>
      </w:pPr>
      <w:r w:rsidRPr="006705C1">
        <w:rPr>
          <w:rFonts w:hint="cs"/>
          <w:rtl/>
          <w:lang w:bidi="ar-EG"/>
        </w:rPr>
        <w:t xml:space="preserve">تنظيم </w:t>
      </w:r>
      <w:r w:rsidR="0063345C">
        <w:rPr>
          <w:rFonts w:hint="cs"/>
          <w:rtl/>
          <w:lang w:bidi="ar-EG"/>
        </w:rPr>
        <w:t>[</w:t>
      </w:r>
      <w:r w:rsidRPr="006705C1">
        <w:rPr>
          <w:rFonts w:hint="cs"/>
          <w:rtl/>
          <w:lang w:bidi="ar-EG"/>
        </w:rPr>
        <w:t xml:space="preserve">عرض تقديمي </w:t>
      </w:r>
      <w:r w:rsidRPr="0063345C">
        <w:rPr>
          <w:rFonts w:hint="cs"/>
          <w:strike/>
          <w:rtl/>
          <w:lang w:bidi="ar-EG"/>
        </w:rPr>
        <w:t>مختلط</w:t>
      </w:r>
      <w:r w:rsidR="0063345C">
        <w:rPr>
          <w:rFonts w:hint="cs"/>
          <w:rtl/>
          <w:lang w:bidi="ar-EG"/>
        </w:rPr>
        <w:t>]</w:t>
      </w:r>
      <w:r w:rsidR="0063345C">
        <w:rPr>
          <w:rStyle w:val="FootnoteReference"/>
          <w:rtl/>
          <w:lang w:bidi="ar-EG"/>
        </w:rPr>
        <w:footnoteReference w:id="15"/>
      </w:r>
      <w:r w:rsidRPr="006705C1">
        <w:rPr>
          <w:rFonts w:hint="cs"/>
          <w:rtl/>
          <w:lang w:bidi="ar-EG"/>
        </w:rPr>
        <w:t xml:space="preserve"> </w:t>
      </w:r>
      <w:r w:rsidR="0063345C">
        <w:rPr>
          <w:rFonts w:hint="cs"/>
          <w:rtl/>
          <w:lang w:bidi="ar-EG"/>
        </w:rPr>
        <w:t>[</w:t>
      </w:r>
      <w:r w:rsidR="0063345C" w:rsidRPr="0063345C">
        <w:rPr>
          <w:rFonts w:hint="cs"/>
          <w:u w:val="single"/>
          <w:rtl/>
          <w:lang w:bidi="ar-EG"/>
        </w:rPr>
        <w:t>في نسق مختلط</w:t>
      </w:r>
      <w:r w:rsidR="0063345C">
        <w:rPr>
          <w:rFonts w:hint="cs"/>
          <w:rtl/>
          <w:lang w:bidi="ar-EG"/>
        </w:rPr>
        <w:t>]</w:t>
      </w:r>
      <w:r w:rsidR="0063345C">
        <w:rPr>
          <w:rStyle w:val="FootnoteReference"/>
          <w:rtl/>
          <w:lang w:bidi="ar-EG"/>
        </w:rPr>
        <w:footnoteReference w:id="16"/>
      </w:r>
      <w:r w:rsidR="0063345C">
        <w:rPr>
          <w:rFonts w:hint="cs"/>
          <w:rtl/>
          <w:lang w:bidi="ar-EG"/>
        </w:rPr>
        <w:t xml:space="preserve"> </w:t>
      </w:r>
      <w:r w:rsidRPr="006705C1">
        <w:rPr>
          <w:rFonts w:hint="cs"/>
          <w:rtl/>
          <w:lang w:bidi="ar-EG"/>
        </w:rPr>
        <w:t>بشأن الوسائل الحالية لتلبية احتياجات الأشخاص ذوي الإعاقة السمعية والمعرفية فيما يتعلق بإمكانية النفاذ إلى المحتوى المحمي بموجب حق المؤلف، خلال دورة للجنة حق المؤلف في عام 2025.</w:t>
      </w:r>
    </w:p>
    <w:p w14:paraId="071A5945" w14:textId="77777777" w:rsidR="004F5F32" w:rsidRPr="006705C1" w:rsidRDefault="004F5F32" w:rsidP="002D72A2">
      <w:pPr>
        <w:pStyle w:val="BodyText"/>
        <w:rPr>
          <w:rtl/>
          <w:lang w:bidi="ar-EG"/>
        </w:rPr>
      </w:pPr>
    </w:p>
    <w:p w14:paraId="18DF6910" w14:textId="77777777" w:rsidR="006705C1" w:rsidRPr="006705C1" w:rsidRDefault="006705C1" w:rsidP="006705C1">
      <w:pPr>
        <w:pStyle w:val="BodyText"/>
        <w:rPr>
          <w:i/>
          <w:iCs/>
          <w:rtl/>
          <w:lang w:bidi="ar-EG"/>
        </w:rPr>
      </w:pPr>
      <w:r w:rsidRPr="006705C1">
        <w:rPr>
          <w:rFonts w:hint="cs"/>
          <w:i/>
          <w:iCs/>
          <w:rtl/>
          <w:lang w:bidi="ar-EG"/>
        </w:rPr>
        <w:t>رابعاً. الاضطلاع بمزيد من العمل بشأن الأهداف والمبادئ بشأن الاستثناءات والتقييدات</w:t>
      </w:r>
    </w:p>
    <w:p w14:paraId="7C22B4A5" w14:textId="77777777" w:rsidR="006705C1" w:rsidRDefault="006705C1" w:rsidP="001A6E51">
      <w:pPr>
        <w:pStyle w:val="BodyText"/>
        <w:rPr>
          <w:rtl/>
          <w:lang w:bidi="ar-EG"/>
        </w:rPr>
      </w:pPr>
      <w:r w:rsidRPr="006705C1">
        <w:rPr>
          <w:rFonts w:hint="cs"/>
          <w:rtl/>
          <w:lang w:bidi="ar-EG"/>
        </w:rPr>
        <w:t xml:space="preserve">تسهيل اضطلاع </w:t>
      </w:r>
      <w:r w:rsidR="0063345C">
        <w:rPr>
          <w:rFonts w:hint="cs"/>
          <w:rtl/>
          <w:lang w:bidi="ar-EG"/>
        </w:rPr>
        <w:t>[</w:t>
      </w:r>
      <w:r w:rsidRPr="0063345C">
        <w:rPr>
          <w:rFonts w:hint="cs"/>
          <w:strike/>
          <w:rtl/>
          <w:lang w:bidi="ar-EG"/>
        </w:rPr>
        <w:t>إحدى أفرقة المهام المكونة</w:t>
      </w:r>
      <w:r w:rsidR="0063345C">
        <w:rPr>
          <w:rFonts w:hint="cs"/>
          <w:strike/>
          <w:rtl/>
          <w:lang w:bidi="ar-EG"/>
        </w:rPr>
        <w:t xml:space="preserve"> من</w:t>
      </w:r>
      <w:r w:rsidR="0063345C">
        <w:rPr>
          <w:rFonts w:hint="cs"/>
          <w:rtl/>
          <w:lang w:bidi="ar-EG"/>
        </w:rPr>
        <w:t>]</w:t>
      </w:r>
      <w:r w:rsidRPr="006705C1">
        <w:rPr>
          <w:rFonts w:hint="cs"/>
          <w:rtl/>
          <w:lang w:bidi="ar-EG"/>
        </w:rPr>
        <w:t xml:space="preserve"> </w:t>
      </w:r>
      <w:r w:rsidR="0063345C">
        <w:rPr>
          <w:rStyle w:val="FootnoteReference"/>
          <w:rtl/>
          <w:lang w:bidi="ar-EG"/>
        </w:rPr>
        <w:footnoteReference w:id="17"/>
      </w:r>
      <w:r w:rsidRPr="006705C1">
        <w:rPr>
          <w:rFonts w:hint="cs"/>
          <w:rtl/>
          <w:lang w:bidi="ar-EG"/>
        </w:rPr>
        <w:t xml:space="preserve"> الدول الأعضاء بمزيد من العمل بشأن الأهداف والمبادئ </w:t>
      </w:r>
      <w:r w:rsidR="001B4502">
        <w:rPr>
          <w:rFonts w:hint="cs"/>
          <w:rtl/>
          <w:lang w:bidi="ar-EG"/>
        </w:rPr>
        <w:t>بشأن</w:t>
      </w:r>
      <w:r w:rsidRPr="006705C1">
        <w:rPr>
          <w:rFonts w:hint="cs"/>
          <w:rtl/>
          <w:lang w:bidi="ar-EG"/>
        </w:rPr>
        <w:t xml:space="preserve"> التقييدات والاستثناءات</w:t>
      </w:r>
      <w:r w:rsidR="001B4502">
        <w:rPr>
          <w:rFonts w:hint="cs"/>
          <w:rtl/>
          <w:lang w:bidi="ar-EG"/>
        </w:rPr>
        <w:t xml:space="preserve"> </w:t>
      </w:r>
      <w:r w:rsidR="001B4502" w:rsidRPr="001B4502">
        <w:rPr>
          <w:rtl/>
          <w:lang w:bidi="ar-EG"/>
        </w:rPr>
        <w:t>[</w:t>
      </w:r>
      <w:r w:rsidR="001B4502" w:rsidRPr="001B4502">
        <w:rPr>
          <w:u w:val="single"/>
          <w:rtl/>
          <w:lang w:bidi="ar-EG"/>
        </w:rPr>
        <w:t xml:space="preserve">من خلال </w:t>
      </w:r>
      <w:r w:rsidR="001B4502">
        <w:rPr>
          <w:rFonts w:hint="cs"/>
          <w:u w:val="single"/>
          <w:rtl/>
          <w:lang w:bidi="ar-EG"/>
        </w:rPr>
        <w:t xml:space="preserve">استهلال </w:t>
      </w:r>
      <w:r w:rsidR="001B4502" w:rsidRPr="001B4502">
        <w:rPr>
          <w:u w:val="single"/>
          <w:rtl/>
          <w:lang w:bidi="ar-EG"/>
        </w:rPr>
        <w:t>دور</w:t>
      </w:r>
      <w:r w:rsidR="001B4502">
        <w:rPr>
          <w:rFonts w:hint="cs"/>
          <w:u w:val="single"/>
          <w:rtl/>
          <w:lang w:bidi="ar-EG"/>
        </w:rPr>
        <w:t>ة لجنة حق المؤلف الخامسة والأربعين ب</w:t>
      </w:r>
      <w:r w:rsidR="001B4502" w:rsidRPr="001B4502">
        <w:rPr>
          <w:u w:val="single"/>
          <w:rtl/>
          <w:lang w:bidi="ar-EG"/>
        </w:rPr>
        <w:t xml:space="preserve">مناقشة النسخة المحدثة من </w:t>
      </w:r>
      <w:r w:rsidR="001B4502">
        <w:rPr>
          <w:rFonts w:hint="cs"/>
          <w:u w:val="single"/>
          <w:rtl/>
          <w:lang w:bidi="ar-EG"/>
        </w:rPr>
        <w:t>ال</w:t>
      </w:r>
      <w:r w:rsidR="001B4502" w:rsidRPr="001B4502">
        <w:rPr>
          <w:u w:val="single"/>
          <w:rtl/>
          <w:lang w:bidi="ar-EG"/>
        </w:rPr>
        <w:t xml:space="preserve">وثيقة "الأهداف والمبادئ </w:t>
      </w:r>
      <w:r w:rsidR="001B4502">
        <w:rPr>
          <w:rFonts w:hint="cs"/>
          <w:u w:val="single"/>
          <w:rtl/>
          <w:lang w:bidi="ar-EG"/>
        </w:rPr>
        <w:t>بشأن</w:t>
      </w:r>
      <w:r w:rsidR="001B4502" w:rsidRPr="001B4502">
        <w:rPr>
          <w:u w:val="single"/>
          <w:rtl/>
          <w:lang w:bidi="ar-EG"/>
        </w:rPr>
        <w:t xml:space="preserve"> الاستثناءات والتقييدات لفائدة المكتبات ودور المحفوظات" (الوثيقة </w:t>
      </w:r>
      <w:r w:rsidR="001B4502" w:rsidRPr="001B4502">
        <w:rPr>
          <w:u w:val="single"/>
          <w:lang w:bidi="ar-EG"/>
        </w:rPr>
        <w:t>SCCR/44/5</w:t>
      </w:r>
      <w:r w:rsidR="001B4502" w:rsidRPr="001B4502">
        <w:rPr>
          <w:u w:val="single"/>
          <w:rtl/>
          <w:lang w:bidi="ar-EG"/>
        </w:rPr>
        <w:t>)، والنظر في اعتمادها كوثيقة من وثائق لجنة حق المؤلف</w:t>
      </w:r>
      <w:r w:rsidR="001B4502" w:rsidRPr="001B4502">
        <w:rPr>
          <w:rtl/>
          <w:lang w:bidi="ar-EG"/>
        </w:rPr>
        <w:t>]</w:t>
      </w:r>
      <w:r w:rsidR="008849DD">
        <w:rPr>
          <w:rStyle w:val="FootnoteReference"/>
          <w:rtl/>
          <w:lang w:bidi="ar-EG"/>
        </w:rPr>
        <w:footnoteReference w:id="18"/>
      </w:r>
      <w:r w:rsidRPr="006705C1">
        <w:rPr>
          <w:rFonts w:hint="cs"/>
          <w:rtl/>
          <w:lang w:bidi="ar-EG"/>
        </w:rPr>
        <w:t>. و</w:t>
      </w:r>
      <w:r w:rsidR="008849DD">
        <w:rPr>
          <w:rFonts w:hint="cs"/>
          <w:rtl/>
          <w:lang w:bidi="ar-EG"/>
        </w:rPr>
        <w:t>أما ن</w:t>
      </w:r>
      <w:r w:rsidRPr="006705C1">
        <w:rPr>
          <w:rFonts w:hint="cs"/>
          <w:rtl/>
          <w:lang w:bidi="ar-EG"/>
        </w:rPr>
        <w:t xml:space="preserve">طاق العمل وطرائقه </w:t>
      </w:r>
      <w:r w:rsidR="008849DD" w:rsidRPr="008849DD">
        <w:rPr>
          <w:rtl/>
          <w:lang w:bidi="ar-EG"/>
        </w:rPr>
        <w:t>[</w:t>
      </w:r>
      <w:r w:rsidR="008849DD" w:rsidRPr="008849DD">
        <w:rPr>
          <w:u w:val="single"/>
          <w:rtl/>
          <w:lang w:bidi="ar-EG"/>
        </w:rPr>
        <w:t>بشأن البند رابع</w:t>
      </w:r>
      <w:r w:rsidR="001A6E51">
        <w:rPr>
          <w:rFonts w:hint="cs"/>
          <w:u w:val="single"/>
          <w:rtl/>
          <w:lang w:bidi="ar-EG"/>
        </w:rPr>
        <w:t>ا</w:t>
      </w:r>
      <w:r w:rsidR="008849DD" w:rsidRPr="008849DD">
        <w:rPr>
          <w:rtl/>
          <w:lang w:bidi="ar-EG"/>
        </w:rPr>
        <w:t>]</w:t>
      </w:r>
      <w:r w:rsidR="008849DD">
        <w:rPr>
          <w:rStyle w:val="FootnoteReference"/>
          <w:rtl/>
          <w:lang w:bidi="ar-EG"/>
        </w:rPr>
        <w:footnoteReference w:id="19"/>
      </w:r>
      <w:r w:rsidR="008849DD">
        <w:rPr>
          <w:rFonts w:hint="cs"/>
          <w:rtl/>
          <w:lang w:bidi="ar-EG"/>
        </w:rPr>
        <w:t xml:space="preserve"> </w:t>
      </w:r>
      <w:r w:rsidR="008849DD" w:rsidRPr="008849DD">
        <w:rPr>
          <w:rtl/>
          <w:lang w:bidi="ar-EG"/>
        </w:rPr>
        <w:t>[</w:t>
      </w:r>
      <w:r w:rsidR="008849DD">
        <w:rPr>
          <w:rFonts w:hint="cs"/>
          <w:rtl/>
          <w:lang w:bidi="ar-EG"/>
        </w:rPr>
        <w:t>سيناقش باستفاضة</w:t>
      </w:r>
      <w:r w:rsidR="008849DD" w:rsidRPr="008849DD">
        <w:rPr>
          <w:rtl/>
          <w:lang w:bidi="ar-EG"/>
        </w:rPr>
        <w:t xml:space="preserve"> من </w:t>
      </w:r>
      <w:r w:rsidR="008849DD">
        <w:rPr>
          <w:rFonts w:hint="cs"/>
          <w:rtl/>
          <w:lang w:bidi="ar-EG"/>
        </w:rPr>
        <w:t>جانب</w:t>
      </w:r>
      <w:r w:rsidR="008849DD" w:rsidRPr="008849DD">
        <w:rPr>
          <w:rtl/>
          <w:lang w:bidi="ar-EG"/>
        </w:rPr>
        <w:t xml:space="preserve"> الدول الأعضاء]</w:t>
      </w:r>
      <w:r w:rsidR="008849DD">
        <w:rPr>
          <w:rStyle w:val="FootnoteReference"/>
          <w:rtl/>
          <w:lang w:bidi="ar-EG"/>
        </w:rPr>
        <w:footnoteReference w:id="20"/>
      </w:r>
      <w:r w:rsidR="008849DD">
        <w:rPr>
          <w:rFonts w:hint="cs"/>
          <w:rtl/>
          <w:lang w:bidi="ar-EG"/>
        </w:rPr>
        <w:t xml:space="preserve"> وسيحدد </w:t>
      </w:r>
      <w:r w:rsidR="001A6E51">
        <w:rPr>
          <w:rFonts w:hint="cs"/>
          <w:rtl/>
          <w:lang w:bidi="ar-EG"/>
        </w:rPr>
        <w:t>في</w:t>
      </w:r>
      <w:r w:rsidRPr="006705C1">
        <w:rPr>
          <w:rFonts w:hint="cs"/>
          <w:rtl/>
          <w:lang w:bidi="ar-EG"/>
        </w:rPr>
        <w:t xml:space="preserve"> دورة </w:t>
      </w:r>
      <w:r w:rsidR="008849DD">
        <w:rPr>
          <w:rFonts w:hint="cs"/>
          <w:rtl/>
          <w:lang w:bidi="ar-EG"/>
        </w:rPr>
        <w:t>[</w:t>
      </w:r>
      <w:r w:rsidRPr="008849DD">
        <w:rPr>
          <w:rFonts w:hint="cs"/>
          <w:strike/>
          <w:rtl/>
          <w:lang w:bidi="ar-EG"/>
        </w:rPr>
        <w:t>السادسة والأربعين</w:t>
      </w:r>
      <w:r w:rsidR="008849DD">
        <w:rPr>
          <w:rFonts w:hint="cs"/>
          <w:strike/>
          <w:rtl/>
          <w:lang w:bidi="ar-EG"/>
        </w:rPr>
        <w:t>]</w:t>
      </w:r>
      <w:r w:rsidR="008849DD" w:rsidRPr="008849DD">
        <w:rPr>
          <w:rStyle w:val="FootnoteReference"/>
          <w:rtl/>
          <w:lang w:bidi="ar-EG"/>
        </w:rPr>
        <w:footnoteReference w:id="21"/>
      </w:r>
      <w:r w:rsidRPr="006705C1">
        <w:rPr>
          <w:rFonts w:hint="cs"/>
          <w:rtl/>
          <w:lang w:bidi="ar-EG"/>
        </w:rPr>
        <w:t xml:space="preserve"> لجنة حق المؤلف</w:t>
      </w:r>
      <w:r w:rsidR="008849DD">
        <w:rPr>
          <w:rFonts w:hint="cs"/>
          <w:rtl/>
          <w:lang w:bidi="ar-EG"/>
        </w:rPr>
        <w:t xml:space="preserve"> [</w:t>
      </w:r>
      <w:r w:rsidR="008849DD" w:rsidRPr="008849DD">
        <w:rPr>
          <w:rtl/>
          <w:lang w:bidi="ar-EG"/>
        </w:rPr>
        <w:t>بعد استكمال النقاط من 1 إلى 3 من برنامج العمل</w:t>
      </w:r>
      <w:r w:rsidR="008849DD">
        <w:rPr>
          <w:rFonts w:hint="cs"/>
          <w:rtl/>
          <w:lang w:bidi="ar-EG"/>
        </w:rPr>
        <w:t>]</w:t>
      </w:r>
      <w:r w:rsidR="008849DD">
        <w:rPr>
          <w:rStyle w:val="FootnoteReference"/>
          <w:rtl/>
          <w:lang w:bidi="ar-EG"/>
        </w:rPr>
        <w:footnoteReference w:id="22"/>
      </w:r>
      <w:r w:rsidR="008849DD">
        <w:rPr>
          <w:rFonts w:hint="cs"/>
          <w:rtl/>
          <w:lang w:bidi="ar-EG"/>
        </w:rPr>
        <w:t>.</w:t>
      </w:r>
    </w:p>
    <w:p w14:paraId="6DAB1CD1" w14:textId="77777777" w:rsidR="001A6E51" w:rsidRDefault="001A6E51" w:rsidP="001A6E51">
      <w:pPr>
        <w:pStyle w:val="BodyText"/>
        <w:rPr>
          <w:rtl/>
          <w:lang w:bidi="ar-EG"/>
        </w:rPr>
      </w:pPr>
    </w:p>
    <w:p w14:paraId="398F4FA6" w14:textId="557AC8F1" w:rsidR="00B7280D" w:rsidRDefault="00B7280D" w:rsidP="00DB705F">
      <w:pPr>
        <w:pStyle w:val="BodyText"/>
        <w:rPr>
          <w:rtl/>
          <w:lang w:bidi="ar-EG"/>
        </w:rPr>
      </w:pPr>
      <w:r>
        <w:rPr>
          <w:rtl/>
          <w:lang w:bidi="ar-EG"/>
        </w:rPr>
        <w:lastRenderedPageBreak/>
        <w:t xml:space="preserve">[وافقت اللجنة على </w:t>
      </w:r>
      <w:r w:rsidR="00945561">
        <w:rPr>
          <w:rFonts w:hint="cs"/>
          <w:rtl/>
          <w:lang w:bidi="ar-EG"/>
        </w:rPr>
        <w:t>اضطلاع الأمانة</w:t>
      </w:r>
      <w:r>
        <w:rPr>
          <w:rtl/>
          <w:lang w:bidi="ar-EG"/>
        </w:rPr>
        <w:t xml:space="preserve"> بتيسير </w:t>
      </w:r>
      <w:r w:rsidR="00945561">
        <w:rPr>
          <w:rFonts w:hint="cs"/>
          <w:rtl/>
          <w:lang w:bidi="ar-EG"/>
        </w:rPr>
        <w:t>مهمة</w:t>
      </w:r>
      <w:r>
        <w:rPr>
          <w:rtl/>
          <w:lang w:bidi="ar-EG"/>
        </w:rPr>
        <w:t xml:space="preserve"> </w:t>
      </w:r>
      <w:r w:rsidR="00945561">
        <w:rPr>
          <w:rFonts w:hint="cs"/>
          <w:rtl/>
          <w:lang w:bidi="ar-EG"/>
        </w:rPr>
        <w:t>فريقي</w:t>
      </w:r>
      <w:r>
        <w:rPr>
          <w:rtl/>
          <w:lang w:bidi="ar-EG"/>
        </w:rPr>
        <w:t xml:space="preserve"> العمل التابعتين للدول الأعضاء </w:t>
      </w:r>
      <w:r w:rsidR="00945561">
        <w:rPr>
          <w:rFonts w:hint="cs"/>
          <w:rtl/>
          <w:lang w:bidi="ar-EG"/>
        </w:rPr>
        <w:t xml:space="preserve">بصورة أكبر </w:t>
      </w:r>
      <w:r>
        <w:rPr>
          <w:rtl/>
          <w:lang w:bidi="ar-EG"/>
        </w:rPr>
        <w:t xml:space="preserve">لمناقشة الأهداف والمبادئ والخيارات بشأن التقييدات والاستثناءات </w:t>
      </w:r>
      <w:r w:rsidR="00DB705F">
        <w:rPr>
          <w:rFonts w:hint="cs"/>
          <w:rtl/>
          <w:lang w:bidi="ar-EG"/>
        </w:rPr>
        <w:t>فيما يتعلق</w:t>
      </w:r>
      <w:r>
        <w:rPr>
          <w:rtl/>
          <w:lang w:bidi="ar-EG"/>
        </w:rPr>
        <w:t xml:space="preserve"> </w:t>
      </w:r>
      <w:r w:rsidR="00DB705F">
        <w:rPr>
          <w:rFonts w:hint="cs"/>
          <w:rtl/>
          <w:lang w:bidi="ar-EG"/>
        </w:rPr>
        <w:t>ب</w:t>
      </w:r>
      <w:r>
        <w:rPr>
          <w:rtl/>
          <w:lang w:bidi="ar-EG"/>
        </w:rPr>
        <w:t>المبادئ التوجيهية التالية:</w:t>
      </w:r>
    </w:p>
    <w:p w14:paraId="7EFC0FFA" w14:textId="51953EF9" w:rsidR="00B7280D" w:rsidRDefault="00B7280D" w:rsidP="00DB705F">
      <w:pPr>
        <w:pStyle w:val="BodyText"/>
        <w:rPr>
          <w:rtl/>
          <w:lang w:bidi="ar-EG"/>
        </w:rPr>
      </w:pPr>
      <w:r>
        <w:rPr>
          <w:rtl/>
          <w:lang w:bidi="ar-EG"/>
        </w:rPr>
        <w:t xml:space="preserve">أ) دون الإخلال بالتفاوض وإبرام صك قانوني أو صك (صكوك) قانونية بشأن الاستثناءات والتقييدات </w:t>
      </w:r>
      <w:r w:rsidR="009B347D">
        <w:rPr>
          <w:rFonts w:hint="cs"/>
          <w:rtl/>
          <w:lang w:bidi="ar-EG"/>
        </w:rPr>
        <w:t>المتعلقة با</w:t>
      </w:r>
      <w:r>
        <w:rPr>
          <w:rtl/>
          <w:lang w:bidi="ar-EG"/>
        </w:rPr>
        <w:t xml:space="preserve">لتعليم والبحث، بما في ذلك الأنشطة التعليمية والبحثية الرقمية </w:t>
      </w:r>
      <w:r w:rsidR="009B347D">
        <w:rPr>
          <w:rFonts w:hint="cs"/>
          <w:rtl/>
          <w:lang w:bidi="ar-EG"/>
        </w:rPr>
        <w:t>والإلكترونية</w:t>
      </w:r>
      <w:r>
        <w:rPr>
          <w:rtl/>
          <w:lang w:bidi="ar-EG"/>
        </w:rPr>
        <w:t xml:space="preserve"> والعابرة للحدود، يجب أن يشمل نطاق العمل </w:t>
      </w:r>
      <w:r w:rsidR="009B347D">
        <w:rPr>
          <w:rFonts w:hint="cs"/>
          <w:rtl/>
          <w:lang w:bidi="ar-EG"/>
        </w:rPr>
        <w:t xml:space="preserve">المسألتين التاليتين: </w:t>
      </w:r>
    </w:p>
    <w:p w14:paraId="72FF9CD7" w14:textId="6B351263" w:rsidR="00B7280D" w:rsidRDefault="00B7280D" w:rsidP="00DB705F">
      <w:pPr>
        <w:pStyle w:val="BodyText"/>
        <w:ind w:left="715"/>
        <w:rPr>
          <w:rtl/>
          <w:lang w:bidi="ar-EG"/>
        </w:rPr>
      </w:pPr>
      <w:r>
        <w:rPr>
          <w:rtl/>
          <w:lang w:bidi="ar-EG"/>
        </w:rPr>
        <w:t xml:space="preserve">1. ينبغي لفريق العمل صياغة الأهداف والمبادئ والخيارات </w:t>
      </w:r>
      <w:r w:rsidR="002F3154">
        <w:rPr>
          <w:rFonts w:hint="cs"/>
          <w:rtl/>
          <w:lang w:bidi="ar-EG"/>
        </w:rPr>
        <w:t>المتعلقة ب</w:t>
      </w:r>
      <w:r>
        <w:rPr>
          <w:rtl/>
          <w:lang w:bidi="ar-EG"/>
        </w:rPr>
        <w:t xml:space="preserve">صك قانوني أو صك (صكوك) قانونية (سواء كان قانونًا نموذجيًا أو توصية مشتركة أو معاهدة و/أو أشكال أخرى) لتعزيز تكييف الاستثناءات والتقييدات مع بيئة الإنترنت، كما هو الحال </w:t>
      </w:r>
      <w:r w:rsidR="007B11C7">
        <w:rPr>
          <w:rFonts w:hint="cs"/>
          <w:rtl/>
          <w:lang w:bidi="ar-EG"/>
        </w:rPr>
        <w:t>في حالة</w:t>
      </w:r>
      <w:r w:rsidR="002F3154">
        <w:rPr>
          <w:rFonts w:hint="cs"/>
          <w:rtl/>
          <w:lang w:bidi="ar-EG"/>
        </w:rPr>
        <w:t xml:space="preserve"> </w:t>
      </w:r>
      <w:r>
        <w:rPr>
          <w:rtl/>
          <w:lang w:bidi="ar-EG"/>
        </w:rPr>
        <w:t xml:space="preserve">السماح بالتدريس والتعلم والبحث </w:t>
      </w:r>
      <w:r w:rsidR="00DF0443">
        <w:rPr>
          <w:rFonts w:hint="cs"/>
          <w:rtl/>
          <w:lang w:bidi="ar-EG"/>
        </w:rPr>
        <w:t>باستخدام</w:t>
      </w:r>
      <w:r>
        <w:rPr>
          <w:rtl/>
          <w:lang w:bidi="ar-EG"/>
        </w:rPr>
        <w:t xml:space="preserve"> الأدوات الرقمية و</w:t>
      </w:r>
      <w:r w:rsidR="002F3154">
        <w:rPr>
          <w:rFonts w:hint="cs"/>
          <w:rtl/>
          <w:lang w:bidi="ar-EG"/>
        </w:rPr>
        <w:t>الإلكترونية</w:t>
      </w:r>
      <w:r>
        <w:rPr>
          <w:rtl/>
          <w:lang w:bidi="ar-EG"/>
        </w:rPr>
        <w:t>.</w:t>
      </w:r>
    </w:p>
    <w:p w14:paraId="16B350DD" w14:textId="0D0F4FD4" w:rsidR="00B7280D" w:rsidRDefault="00B7280D" w:rsidP="00DB705F">
      <w:pPr>
        <w:pStyle w:val="BodyText"/>
        <w:ind w:left="715"/>
        <w:rPr>
          <w:rtl/>
          <w:lang w:bidi="ar-EG"/>
        </w:rPr>
      </w:pPr>
      <w:r>
        <w:rPr>
          <w:rtl/>
          <w:lang w:bidi="ar-EG"/>
        </w:rPr>
        <w:t xml:space="preserve">2. ينبغي لفريق العمل صياغة الأهداف والمبادئ والخيارات </w:t>
      </w:r>
      <w:r w:rsidR="002F3154">
        <w:rPr>
          <w:rFonts w:hint="cs"/>
          <w:rtl/>
          <w:lang w:bidi="ar-EG"/>
        </w:rPr>
        <w:t>المتعلقة ب</w:t>
      </w:r>
      <w:r>
        <w:rPr>
          <w:rtl/>
          <w:lang w:bidi="ar-EG"/>
        </w:rPr>
        <w:t>صك قانوني أو صك (صكوك) قانونية (سواء كان قانونًا نموذجيًا أو توصية مشتركة أو معاهدة و/أو أشكال أخرى) لتعزيز تكييف الاستثناءات والتقييدات لضمان أن القوانين على المستوى الوطني تمكن أنشطة حفظ</w:t>
      </w:r>
      <w:r w:rsidR="005A6552">
        <w:rPr>
          <w:rFonts w:hint="cs"/>
          <w:rtl/>
          <w:lang w:bidi="ar-EG"/>
        </w:rPr>
        <w:t xml:space="preserve"> المصنفات في ا</w:t>
      </w:r>
      <w:r>
        <w:rPr>
          <w:rtl/>
          <w:lang w:bidi="ar-EG"/>
        </w:rPr>
        <w:t>لمكتبات ودور المحفوظات والمتاحف، بما في ذلك استخدام المواد المحفوظة؛</w:t>
      </w:r>
    </w:p>
    <w:p w14:paraId="2F244B31" w14:textId="10FA263B" w:rsidR="00B7280D" w:rsidRDefault="00B7280D" w:rsidP="00DB705F">
      <w:pPr>
        <w:pStyle w:val="BodyText"/>
        <w:rPr>
          <w:rtl/>
          <w:lang w:bidi="ar-EG"/>
        </w:rPr>
      </w:pPr>
      <w:r>
        <w:rPr>
          <w:rtl/>
          <w:lang w:bidi="ar-EG"/>
        </w:rPr>
        <w:t>ب) يجب أن تشمل طرائق عمل كل فريق عمل ما يلي:</w:t>
      </w:r>
    </w:p>
    <w:p w14:paraId="318B78B0" w14:textId="4239B851" w:rsidR="00B7280D" w:rsidRDefault="00DB705F" w:rsidP="00DB705F">
      <w:pPr>
        <w:pStyle w:val="BodyText"/>
        <w:ind w:left="715"/>
        <w:rPr>
          <w:rtl/>
          <w:lang w:bidi="ar-EG"/>
        </w:rPr>
      </w:pPr>
      <w:r>
        <w:rPr>
          <w:rFonts w:hint="cs"/>
          <w:rtl/>
          <w:lang w:bidi="ar-EG"/>
        </w:rPr>
        <w:t xml:space="preserve">"1" </w:t>
      </w:r>
      <w:r w:rsidR="00B7280D">
        <w:rPr>
          <w:rtl/>
          <w:lang w:bidi="ar-EG"/>
        </w:rPr>
        <w:t xml:space="preserve">ينبغي للرئيس، فور اختتام الدورة </w:t>
      </w:r>
      <w:r w:rsidR="003C317A">
        <w:rPr>
          <w:rFonts w:hint="cs"/>
          <w:rtl/>
          <w:lang w:bidi="ar-EG"/>
        </w:rPr>
        <w:t>الخامسة والأربعين</w:t>
      </w:r>
      <w:r w:rsidR="00B7280D">
        <w:rPr>
          <w:rtl/>
          <w:lang w:bidi="ar-EG"/>
        </w:rPr>
        <w:t xml:space="preserve"> للجنة حق المؤلف، إنشاء فريق عمل من الدول الأعضاء التي تتطوع للمشاركة؛</w:t>
      </w:r>
    </w:p>
    <w:p w14:paraId="2DA6B73F" w14:textId="19C57545" w:rsidR="00B7280D" w:rsidRDefault="00DB705F" w:rsidP="00DB705F">
      <w:pPr>
        <w:pStyle w:val="BodyText"/>
        <w:ind w:left="715"/>
        <w:rPr>
          <w:rtl/>
          <w:lang w:bidi="ar-EG"/>
        </w:rPr>
      </w:pPr>
      <w:r>
        <w:rPr>
          <w:rFonts w:hint="cs"/>
          <w:rtl/>
          <w:lang w:bidi="ar-EG"/>
        </w:rPr>
        <w:t xml:space="preserve">"2" </w:t>
      </w:r>
      <w:r w:rsidR="00B7280D">
        <w:rPr>
          <w:rtl/>
          <w:lang w:bidi="ar-EG"/>
        </w:rPr>
        <w:t xml:space="preserve">ينبغي أن </w:t>
      </w:r>
      <w:r w:rsidR="0009748C">
        <w:rPr>
          <w:rFonts w:hint="cs"/>
          <w:rtl/>
          <w:lang w:bidi="ar-EG"/>
        </w:rPr>
        <w:t>ي</w:t>
      </w:r>
      <w:r w:rsidR="00B7280D">
        <w:rPr>
          <w:rtl/>
          <w:lang w:bidi="ar-EG"/>
        </w:rPr>
        <w:t xml:space="preserve">تكون </w:t>
      </w:r>
      <w:r w:rsidR="0009748C">
        <w:rPr>
          <w:rFonts w:hint="cs"/>
          <w:rtl/>
          <w:lang w:bidi="ar-EG"/>
        </w:rPr>
        <w:t>فريق</w:t>
      </w:r>
      <w:r w:rsidR="00B7280D">
        <w:rPr>
          <w:rtl/>
          <w:lang w:bidi="ar-EG"/>
        </w:rPr>
        <w:t xml:space="preserve"> العمل من دولتين عضوين على الأقل مع تمثيل متوازن ومتنوع من كل منطقة، يتم اختيارهما من </w:t>
      </w:r>
      <w:r w:rsidR="007D1B24">
        <w:rPr>
          <w:rFonts w:hint="cs"/>
          <w:rtl/>
          <w:lang w:bidi="ar-EG"/>
        </w:rPr>
        <w:t>جانب</w:t>
      </w:r>
      <w:r w:rsidR="00B7280D">
        <w:rPr>
          <w:rtl/>
          <w:lang w:bidi="ar-EG"/>
        </w:rPr>
        <w:t xml:space="preserve"> المنسقين الإقليميين، بمشاركة خبير واحد على الأقل لدعم </w:t>
      </w:r>
      <w:r w:rsidR="007D1B24">
        <w:rPr>
          <w:rFonts w:hint="cs"/>
          <w:rtl/>
          <w:lang w:bidi="ar-EG"/>
        </w:rPr>
        <w:t>مهمة</w:t>
      </w:r>
      <w:r w:rsidR="00B7280D">
        <w:rPr>
          <w:rtl/>
          <w:lang w:bidi="ar-EG"/>
        </w:rPr>
        <w:t xml:space="preserve"> كل فريق عمل؛</w:t>
      </w:r>
    </w:p>
    <w:p w14:paraId="36021078" w14:textId="74FCC173" w:rsidR="00B7280D" w:rsidRDefault="00DB705F" w:rsidP="00DB705F">
      <w:pPr>
        <w:pStyle w:val="BodyText"/>
        <w:ind w:left="715"/>
        <w:rPr>
          <w:rtl/>
          <w:lang w:bidi="ar-EG"/>
        </w:rPr>
      </w:pPr>
      <w:r>
        <w:rPr>
          <w:rFonts w:hint="cs"/>
          <w:rtl/>
          <w:lang w:bidi="ar-EG"/>
        </w:rPr>
        <w:t xml:space="preserve">"3" </w:t>
      </w:r>
      <w:r w:rsidR="00B7280D">
        <w:rPr>
          <w:rtl/>
          <w:lang w:bidi="ar-EG"/>
        </w:rPr>
        <w:t xml:space="preserve">يجب على الأمانة تلخيص مختلف الأهداف والمبادئ ذات الصلة بالقضايا ذات الأولوية التي سبق تقديمها إلى لجنة حق المؤلف، بما في ذلك </w:t>
      </w:r>
      <w:r w:rsidR="00B7280D">
        <w:rPr>
          <w:lang w:bidi="ar-EG"/>
        </w:rPr>
        <w:t>SCCR/26/8</w:t>
      </w:r>
      <w:r w:rsidR="00B7280D">
        <w:rPr>
          <w:rtl/>
          <w:lang w:bidi="ar-EG"/>
        </w:rPr>
        <w:t xml:space="preserve"> و</w:t>
      </w:r>
      <w:r w:rsidR="00B7280D">
        <w:rPr>
          <w:lang w:bidi="ar-EG"/>
        </w:rPr>
        <w:t>SCCR/27/8</w:t>
      </w:r>
      <w:r w:rsidR="00B7280D">
        <w:rPr>
          <w:rtl/>
          <w:lang w:bidi="ar-EG"/>
        </w:rPr>
        <w:t xml:space="preserve"> و</w:t>
      </w:r>
      <w:r w:rsidR="00B7280D">
        <w:rPr>
          <w:lang w:bidi="ar-EG"/>
        </w:rPr>
        <w:t>SCCR/34/5</w:t>
      </w:r>
      <w:r w:rsidR="00B7280D">
        <w:rPr>
          <w:rtl/>
          <w:lang w:bidi="ar-EG"/>
        </w:rPr>
        <w:t xml:space="preserve">، حسب الاقتضاء، وتدعو الأطراف إلى تقديم مقترحات </w:t>
      </w:r>
      <w:r w:rsidR="00F93624">
        <w:rPr>
          <w:rFonts w:hint="cs"/>
          <w:rtl/>
          <w:lang w:bidi="ar-EG"/>
        </w:rPr>
        <w:t>بشأن صياغة</w:t>
      </w:r>
      <w:r w:rsidR="00B7280D">
        <w:rPr>
          <w:rtl/>
          <w:lang w:bidi="ar-EG"/>
        </w:rPr>
        <w:t xml:space="preserve"> إضافية للصكوك قبل الاجتماع الأول </w:t>
      </w:r>
      <w:r w:rsidR="0009748C">
        <w:rPr>
          <w:rFonts w:hint="cs"/>
          <w:rtl/>
          <w:lang w:bidi="ar-EG"/>
        </w:rPr>
        <w:t>لفريق</w:t>
      </w:r>
      <w:r w:rsidR="00B7280D">
        <w:rPr>
          <w:rtl/>
          <w:lang w:bidi="ar-EG"/>
        </w:rPr>
        <w:t xml:space="preserve"> العمل؛</w:t>
      </w:r>
    </w:p>
    <w:p w14:paraId="653DF1ED" w14:textId="7D774080" w:rsidR="00B7280D" w:rsidRDefault="00DB705F" w:rsidP="00DB705F">
      <w:pPr>
        <w:pStyle w:val="BodyText"/>
        <w:ind w:left="715"/>
        <w:rPr>
          <w:rtl/>
          <w:lang w:bidi="ar-EG"/>
        </w:rPr>
      </w:pPr>
      <w:r>
        <w:rPr>
          <w:rFonts w:hint="cs"/>
          <w:rtl/>
          <w:lang w:bidi="ar-EG"/>
        </w:rPr>
        <w:t xml:space="preserve">"4" </w:t>
      </w:r>
      <w:r w:rsidR="00B7280D">
        <w:rPr>
          <w:rtl/>
          <w:lang w:bidi="ar-EG"/>
        </w:rPr>
        <w:t xml:space="preserve">تمشيا مع الممارسة المتبعة، ستظل الجلسة العامة للجنة حق المؤلف هي هيئة التفاوض وصنع القرار. </w:t>
      </w:r>
      <w:r w:rsidR="0009748C">
        <w:rPr>
          <w:rFonts w:hint="cs"/>
          <w:rtl/>
          <w:lang w:bidi="ar-EG"/>
        </w:rPr>
        <w:t>و</w:t>
      </w:r>
      <w:r w:rsidR="00B7280D">
        <w:rPr>
          <w:rtl/>
          <w:lang w:bidi="ar-EG"/>
        </w:rPr>
        <w:t>س</w:t>
      </w:r>
      <w:r w:rsidR="0009748C">
        <w:rPr>
          <w:rFonts w:hint="cs"/>
          <w:rtl/>
          <w:lang w:bidi="ar-EG"/>
        </w:rPr>
        <w:t>ي</w:t>
      </w:r>
      <w:r w:rsidR="00B7280D">
        <w:rPr>
          <w:rtl/>
          <w:lang w:bidi="ar-EG"/>
        </w:rPr>
        <w:t xml:space="preserve">قوم </w:t>
      </w:r>
      <w:r w:rsidR="0009748C">
        <w:rPr>
          <w:rFonts w:hint="cs"/>
          <w:rtl/>
          <w:lang w:bidi="ar-EG"/>
        </w:rPr>
        <w:t>فريق</w:t>
      </w:r>
      <w:r w:rsidR="00B7280D">
        <w:rPr>
          <w:rtl/>
          <w:lang w:bidi="ar-EG"/>
        </w:rPr>
        <w:t xml:space="preserve"> العمل المكون من الدول</w:t>
      </w:r>
      <w:r w:rsidR="0009748C">
        <w:rPr>
          <w:rFonts w:hint="cs"/>
          <w:rtl/>
          <w:lang w:bidi="ar-EG"/>
        </w:rPr>
        <w:t>تين</w:t>
      </w:r>
      <w:r w:rsidR="00B7280D">
        <w:rPr>
          <w:rtl/>
          <w:lang w:bidi="ar-EG"/>
        </w:rPr>
        <w:t xml:space="preserve"> </w:t>
      </w:r>
      <w:r w:rsidR="0009748C">
        <w:rPr>
          <w:rFonts w:hint="cs"/>
          <w:rtl/>
          <w:lang w:bidi="ar-EG"/>
        </w:rPr>
        <w:t>العضوين</w:t>
      </w:r>
      <w:r w:rsidR="00B7280D">
        <w:rPr>
          <w:rtl/>
          <w:lang w:bidi="ar-EG"/>
        </w:rPr>
        <w:t xml:space="preserve"> والخبراء بدعم وتسهيل مفاوضات لجنة حق المؤلف، من خلال تقديم المشورة والتحليل بشأن القضايا التي يتعين معالجتها.</w:t>
      </w:r>
    </w:p>
    <w:p w14:paraId="3552DA7E" w14:textId="14486DA1" w:rsidR="00B7280D" w:rsidRDefault="00DB705F" w:rsidP="00DB705F">
      <w:pPr>
        <w:pStyle w:val="BodyText"/>
        <w:ind w:left="715"/>
        <w:rPr>
          <w:rtl/>
          <w:lang w:bidi="ar-EG"/>
        </w:rPr>
      </w:pPr>
      <w:r>
        <w:rPr>
          <w:rFonts w:hint="cs"/>
          <w:rtl/>
          <w:lang w:bidi="ar-EG"/>
        </w:rPr>
        <w:t xml:space="preserve">"5" </w:t>
      </w:r>
      <w:r w:rsidR="00B7280D">
        <w:rPr>
          <w:rtl/>
          <w:lang w:bidi="ar-EG"/>
        </w:rPr>
        <w:t xml:space="preserve">يُطلب من الأمانة إعداد خطة عمل مفصلة لمجموعات الأدوات وغيرها من أشكال التوجيه والمساعدة التقنية </w:t>
      </w:r>
      <w:r w:rsidR="002942BC">
        <w:rPr>
          <w:rFonts w:hint="cs"/>
          <w:rtl/>
          <w:lang w:bidi="ar-EG"/>
        </w:rPr>
        <w:t>بقدر</w:t>
      </w:r>
      <w:r w:rsidR="00B7280D">
        <w:rPr>
          <w:rtl/>
          <w:lang w:bidi="ar-EG"/>
        </w:rPr>
        <w:t xml:space="preserve"> </w:t>
      </w:r>
      <w:r w:rsidR="002942BC">
        <w:rPr>
          <w:rFonts w:hint="cs"/>
          <w:rtl/>
          <w:lang w:bidi="ar-EG"/>
        </w:rPr>
        <w:t>ما</w:t>
      </w:r>
      <w:r w:rsidR="00B7280D">
        <w:rPr>
          <w:rtl/>
          <w:lang w:bidi="ar-EG"/>
        </w:rPr>
        <w:t xml:space="preserve"> لا يصرف الانتباه عن دعم عمل اللجنة على النحو المبين أعلاه. </w:t>
      </w:r>
      <w:r w:rsidR="002942BC">
        <w:rPr>
          <w:rFonts w:hint="cs"/>
          <w:rtl/>
          <w:lang w:bidi="ar-EG"/>
        </w:rPr>
        <w:t>و</w:t>
      </w:r>
      <w:r w:rsidR="00B7280D">
        <w:rPr>
          <w:rtl/>
          <w:lang w:bidi="ar-EG"/>
        </w:rPr>
        <w:t>قد يشمل عمل الأمانة ما يلي:</w:t>
      </w:r>
    </w:p>
    <w:p w14:paraId="59587E1F" w14:textId="631DFEE2" w:rsidR="00B7280D" w:rsidRDefault="00B7280D" w:rsidP="002942BC">
      <w:pPr>
        <w:pStyle w:val="BodyText"/>
        <w:ind w:left="1435"/>
        <w:rPr>
          <w:rtl/>
          <w:lang w:bidi="ar-EG"/>
        </w:rPr>
      </w:pPr>
      <w:r>
        <w:rPr>
          <w:rtl/>
          <w:lang w:bidi="ar-EG"/>
        </w:rPr>
        <w:t xml:space="preserve">أ) إعداد وإطلاق مجموعات الأدوات المتعلقة بحفظ </w:t>
      </w:r>
      <w:r w:rsidR="002942BC">
        <w:rPr>
          <w:rFonts w:hint="cs"/>
          <w:rtl/>
          <w:lang w:bidi="ar-EG"/>
        </w:rPr>
        <w:t>المصنفات</w:t>
      </w:r>
      <w:r>
        <w:rPr>
          <w:rtl/>
          <w:lang w:bidi="ar-EG"/>
        </w:rPr>
        <w:t xml:space="preserve"> المحفوظة و</w:t>
      </w:r>
      <w:r w:rsidR="002942BC">
        <w:rPr>
          <w:rFonts w:hint="cs"/>
          <w:rtl/>
          <w:lang w:bidi="ar-EG"/>
        </w:rPr>
        <w:t>النفاذ</w:t>
      </w:r>
      <w:r>
        <w:rPr>
          <w:rtl/>
          <w:lang w:bidi="ar-EG"/>
        </w:rPr>
        <w:t xml:space="preserve"> إليها؛</w:t>
      </w:r>
    </w:p>
    <w:p w14:paraId="0C4D87C6" w14:textId="2C3D968B" w:rsidR="00B7280D" w:rsidRDefault="00B7280D" w:rsidP="002942BC">
      <w:pPr>
        <w:pStyle w:val="BodyText"/>
        <w:ind w:left="1435"/>
        <w:rPr>
          <w:rtl/>
          <w:lang w:bidi="ar-EG"/>
        </w:rPr>
      </w:pPr>
      <w:r>
        <w:rPr>
          <w:rtl/>
          <w:lang w:bidi="ar-EG"/>
        </w:rPr>
        <w:t xml:space="preserve">ب) تحديث دراسة النطاق المنقحة بشأن نفاذ الأشخاص ذوي الإعاقة إلى المصنفات المحمية بموجب حق المؤلف (الوثيقة </w:t>
      </w:r>
      <w:r>
        <w:rPr>
          <w:lang w:bidi="ar-EG"/>
        </w:rPr>
        <w:t>SCCR/38/3</w:t>
      </w:r>
      <w:r>
        <w:rPr>
          <w:rtl/>
          <w:lang w:bidi="ar-EG"/>
        </w:rPr>
        <w:t>)، المنشورة في عام 2019، لتقييم التكنولوجيات المساعدة فيما يتعلق بمسائل حق المؤلف.]</w:t>
      </w:r>
      <w:r w:rsidR="00A67682">
        <w:rPr>
          <w:rStyle w:val="FootnoteReference"/>
          <w:rtl/>
          <w:lang w:bidi="ar-EG"/>
        </w:rPr>
        <w:footnoteReference w:id="23"/>
      </w:r>
    </w:p>
    <w:p w14:paraId="04D8D641" w14:textId="77777777" w:rsidR="00B7280D" w:rsidRDefault="00B7280D" w:rsidP="00B7280D">
      <w:pPr>
        <w:pStyle w:val="BodyText"/>
        <w:rPr>
          <w:rtl/>
          <w:lang w:bidi="ar-EG"/>
        </w:rPr>
      </w:pPr>
    </w:p>
    <w:p w14:paraId="3C14E359" w14:textId="77777777" w:rsidR="00B7280D" w:rsidRPr="006705C1" w:rsidRDefault="00B7280D" w:rsidP="00B7280D">
      <w:pPr>
        <w:pStyle w:val="BodyText"/>
        <w:rPr>
          <w:b/>
          <w:bCs/>
          <w:i/>
          <w:iCs/>
          <w:rtl/>
          <w:lang w:bidi="ar-EG"/>
        </w:rPr>
      </w:pPr>
      <w:r>
        <w:rPr>
          <w:rFonts w:hint="cs"/>
          <w:b/>
          <w:bCs/>
          <w:i/>
          <w:iCs/>
          <w:rtl/>
          <w:lang w:bidi="ar-EG"/>
        </w:rPr>
        <w:t xml:space="preserve">خامسا.   اعتبارات </w:t>
      </w:r>
      <w:r w:rsidRPr="006705C1">
        <w:rPr>
          <w:rFonts w:hint="cs"/>
          <w:b/>
          <w:bCs/>
          <w:i/>
          <w:iCs/>
          <w:rtl/>
          <w:lang w:bidi="ar-EG"/>
        </w:rPr>
        <w:t>أخرى</w:t>
      </w:r>
    </w:p>
    <w:p w14:paraId="0862B26A" w14:textId="78EDA0B9" w:rsidR="00B7280D" w:rsidRPr="006705C1" w:rsidRDefault="00B7280D" w:rsidP="00B7280D">
      <w:pPr>
        <w:pStyle w:val="BodyText"/>
        <w:ind w:left="-5"/>
        <w:rPr>
          <w:rtl/>
          <w:lang w:bidi="ar-EG"/>
        </w:rPr>
      </w:pPr>
      <w:r>
        <w:rPr>
          <w:rFonts w:hint="cs"/>
          <w:rtl/>
          <w:lang w:bidi="ar-EG"/>
        </w:rPr>
        <w:t xml:space="preserve">[أ) </w:t>
      </w:r>
      <w:r w:rsidRPr="006705C1">
        <w:rPr>
          <w:rFonts w:hint="cs"/>
          <w:rtl/>
          <w:lang w:bidi="ar-EG"/>
        </w:rPr>
        <w:t xml:space="preserve">خلال الدورة الرابعة والأربعين للجنة حق المؤلف، قدمت المجموعة الأفريقية "مسودة اقتراح من المجموعة الأفريقية بخصوص تنفيذ برنامج العمل بشأن الاستثناءات والتقييدات" (الوثيقة </w:t>
      </w:r>
      <w:r w:rsidRPr="006705C1">
        <w:t>SCCR/44/6</w:t>
      </w:r>
      <w:r w:rsidRPr="006705C1">
        <w:rPr>
          <w:rFonts w:hint="cs"/>
          <w:rtl/>
          <w:lang w:bidi="ar-EG"/>
        </w:rPr>
        <w:t xml:space="preserve">). ويهدف هذا الاقتراح إلى إنشاء عملية محددة لوضع صك دولي يتناول الاستثناءات والتقييدات على قوانين حق المؤلف. ووفقاً لملخص الرئيس المعتمد في نهاية الدورة الرابعة والأربعين، يتعين على الأمانة أن تقدم إلى الدورة المقبلة للجنة "خطة تنفيذ مفصلة" بشأن "برنامج العمل بشأن الاستثناءات والتقييدات" مع مراعاة "تعليقات الدول التي أبديت في هذه الدورة للجنة". </w:t>
      </w:r>
    </w:p>
    <w:p w14:paraId="4D634142" w14:textId="77777777" w:rsidR="00B7280D" w:rsidRPr="006705C1" w:rsidRDefault="00B7280D" w:rsidP="00B7280D">
      <w:pPr>
        <w:pStyle w:val="BodyText"/>
        <w:rPr>
          <w:rtl/>
          <w:lang w:bidi="ar-EG"/>
        </w:rPr>
      </w:pPr>
      <w:r w:rsidRPr="006705C1">
        <w:rPr>
          <w:rFonts w:hint="cs"/>
          <w:rtl/>
          <w:lang w:bidi="ar-EG"/>
        </w:rPr>
        <w:t>وتُقدم التعليقات التالية كمساهمة في عمل لجنة حق المؤلف في مجال تنفيذ خطة العمل بشأن الاستثناءات والتقييدات.</w:t>
      </w:r>
    </w:p>
    <w:p w14:paraId="73CB5604" w14:textId="77777777" w:rsidR="00B7280D" w:rsidRPr="006705C1" w:rsidRDefault="00B7280D" w:rsidP="00B7280D">
      <w:pPr>
        <w:pStyle w:val="BodyText"/>
        <w:rPr>
          <w:rtl/>
          <w:lang w:bidi="ar-EG"/>
        </w:rPr>
      </w:pPr>
      <w:r w:rsidRPr="006705C1">
        <w:rPr>
          <w:rFonts w:hint="cs"/>
          <w:rtl/>
          <w:lang w:bidi="ar-EG"/>
        </w:rPr>
        <w:lastRenderedPageBreak/>
        <w:t xml:space="preserve">ويؤيّد وفد بلدي بشكل كامل الاقتراح المعنون "مسودة اقتراح من المجموعة الأفريقية بخصوص تنفيذ برنامج العمل بشأن الاستثناءات والتقييدات"، على النحو الوارد في الوثيقة </w:t>
      </w:r>
      <w:r w:rsidRPr="006705C1">
        <w:t>SCCR/44/6</w:t>
      </w:r>
      <w:r w:rsidRPr="006705C1">
        <w:rPr>
          <w:rFonts w:hint="cs"/>
          <w:rtl/>
          <w:lang w:bidi="ar-EG"/>
        </w:rPr>
        <w:t>. ونرى أن الاقتراح يمكن أن يكون بمثابة أساس مناسب للاهتمام المتعلق بتنفيذ برنامج العمل بشأن الاستثناءات والتقييدات، الذي اعتمدته اللجنة برمته في دورتها الرابعة والأربعين.</w:t>
      </w:r>
      <w:r>
        <w:rPr>
          <w:rFonts w:hint="cs"/>
          <w:rtl/>
          <w:lang w:bidi="ar-EG"/>
        </w:rPr>
        <w:t xml:space="preserve"> </w:t>
      </w:r>
      <w:r w:rsidRPr="006705C1">
        <w:rPr>
          <w:rFonts w:hint="cs"/>
          <w:rtl/>
          <w:lang w:bidi="ar-EG"/>
        </w:rPr>
        <w:t xml:space="preserve">ويعرض الاقتراح ثلاثة مجالات ذات أولوية حددتها اللجنة. وقدم الاقتراح إطاراً شاملاً للمناقشات بشأن طريقة المضي قدماً في برنامج العمل بشأن الاستثناءات والتقييدات داخل لجنة حق المؤلف. ويقترح اتباع نهج تدريجي لتطوير الصك، بدءاً من الاتفاق على الأهداف والمبادئ قبل الانتقال إلى النظر في خيارات محددة من أجل إدراجها في الصك. ووفقاً لمشروع الاقتراح بشأن تنفيذ برنامج العمل بشأن الاستثناءات والتقييدات، "ينبغي تقديم مسودات الأهداف والمبادئ وخيارات (التنفيذ) في الدورة الخامسة والأربعين للجنة لكي تنظر فيها". (انظر الوثيقة </w:t>
      </w:r>
      <w:r w:rsidRPr="006705C1">
        <w:t>SCCR/44/6</w:t>
      </w:r>
      <w:r>
        <w:rPr>
          <w:rFonts w:hint="cs"/>
          <w:rtl/>
        </w:rPr>
        <w:t>)</w:t>
      </w:r>
      <w:r w:rsidRPr="006705C1">
        <w:t>.</w:t>
      </w:r>
    </w:p>
    <w:p w14:paraId="5AAFDDE0" w14:textId="77777777" w:rsidR="00B7280D" w:rsidRPr="006705C1" w:rsidRDefault="00B7280D" w:rsidP="00B7280D">
      <w:pPr>
        <w:pStyle w:val="BodyText"/>
        <w:rPr>
          <w:rtl/>
          <w:lang w:bidi="ar-EG"/>
        </w:rPr>
      </w:pPr>
      <w:r w:rsidRPr="006705C1">
        <w:rPr>
          <w:rFonts w:hint="cs"/>
          <w:rtl/>
          <w:lang w:bidi="ar-EG"/>
        </w:rPr>
        <w:t>ونعتقد أن برنامج العمل الشامل هذا (القائم على اقتراح المجموعة الأفريقية) يمكن أن يكون بمثابة أساس لمزيد من المداولات في الدورة الخامسة والأربعين للجنة، إذ يمكن للدول الأعضاء مناقشة العملية المقترحة وتنقيحها من أجل تطوير الصك الدولي بشأن الاستثناءات والتقييدات. وإضافة إلى ذلك، فإن إنشاء فرقة مهام خلال الدورة الخامسة والأربعين للجنة يمكن أن يساعد في تعزيز العمل في هذا المجال فيما بين الدورات، ممّا قد يؤدي إلى تحقيق نتائج ملموسة يمكن عرضها ومناقشتها في الدورة السادسة والأربعين للجنة. ومن خلال الاستفادة من الاقتراح المقدم في الدورة الرابعة والأربعين للجنة حق المؤلف والمشاركة في مناقشات موضوعية خلال الدورة الخامسة والأربعين للجنة، يمكن للجنة إحراز تقدم كبير نحو تحقيق هدفها المتمثل في تحسين النفاذ إلى المعارف وتعزيز الشفافية من خلال أُطر متوازنة لحق المؤلف.</w:t>
      </w:r>
    </w:p>
    <w:p w14:paraId="27DFAF1F" w14:textId="4F3BD91C" w:rsidR="00B7280D" w:rsidRPr="006705C1" w:rsidRDefault="00B7280D" w:rsidP="00B7280D">
      <w:pPr>
        <w:pStyle w:val="BodyText"/>
        <w:rPr>
          <w:rtl/>
          <w:lang w:bidi="ar-EG"/>
        </w:rPr>
      </w:pPr>
      <w:r w:rsidRPr="006705C1">
        <w:rPr>
          <w:rFonts w:hint="cs"/>
          <w:rtl/>
          <w:lang w:bidi="ar-EG"/>
        </w:rPr>
        <w:t>وتشكّل الاستثناءات والتقييدات البند الوحيد في مشروع خطة التنفيذ الذي يتطلّب مناقشة مستفيضة. ونظرًا إلى أن الجدول الزمني للدورة السادسة والأربعين للجنة قد يتأخر وقد لا تُعقد الدورة حتى ربيع عام 2025، أو حتى تاريخ أبعد، يقترح وفد بلدي أن يجري التداول بشأن النطاق والطرائق خلال الدورة الخامسة والأربعين للجنة، مع تعيين فرقة مهام أيضاً في تلك الدورة. ومن شأن هذا النهج أن يمكّن فرقة المهام من المضي قدماً في العمل "خلال الفترة الفاصلة بين الدورات"، ويمكن عرض نتيجة هذا العمل في الدورة السادسة والأربعين للجنة.</w:t>
      </w:r>
      <w:r>
        <w:rPr>
          <w:rFonts w:hint="cs"/>
          <w:rtl/>
          <w:lang w:bidi="ar-EG"/>
        </w:rPr>
        <w:t xml:space="preserve"> </w:t>
      </w:r>
      <w:r w:rsidRPr="006705C1">
        <w:rPr>
          <w:rFonts w:hint="cs"/>
          <w:rtl/>
          <w:lang w:bidi="ar-EG"/>
        </w:rPr>
        <w:t>وعلى النحو المذكور أعلاه، نعتقد أن مشروع خطة تنفيذ برنامج العمل بشأن الاستثناءات والتقييدات الذي أعدته الأمانة ينبغي أن يخضع لمزيد من التفاوض من قبل اللجنة في دورتها القادمة (الدورة الخامسة والأربعين).</w:t>
      </w:r>
      <w:r>
        <w:rPr>
          <w:rFonts w:hint="cs"/>
          <w:rtl/>
          <w:lang w:bidi="ar-EG"/>
        </w:rPr>
        <w:t>]</w:t>
      </w:r>
      <w:r w:rsidR="00A67682">
        <w:rPr>
          <w:rStyle w:val="FootnoteReference"/>
          <w:rtl/>
          <w:lang w:bidi="ar-EG"/>
        </w:rPr>
        <w:footnoteReference w:id="24"/>
      </w:r>
    </w:p>
    <w:p w14:paraId="4B4DFC72" w14:textId="77777777" w:rsidR="00B7280D" w:rsidRPr="006705C1" w:rsidRDefault="00B7280D" w:rsidP="00B7280D">
      <w:pPr>
        <w:pStyle w:val="BodyText"/>
        <w:rPr>
          <w:rtl/>
          <w:lang w:bidi="ar-EG"/>
        </w:rPr>
      </w:pPr>
      <w:r>
        <w:rPr>
          <w:rFonts w:hint="cs"/>
          <w:rtl/>
          <w:lang w:bidi="ar-EG"/>
        </w:rPr>
        <w:t>[</w:t>
      </w:r>
      <w:r w:rsidRPr="00954E09">
        <w:rPr>
          <w:rFonts w:hint="cs"/>
          <w:rtl/>
          <w:lang w:bidi="ar-EG"/>
        </w:rPr>
        <w:t>ب)</w:t>
      </w:r>
      <w:r>
        <w:rPr>
          <w:rFonts w:hint="cs"/>
          <w:rtl/>
          <w:lang w:bidi="ar-EG"/>
        </w:rPr>
        <w:t xml:space="preserve"> </w:t>
      </w:r>
      <w:r w:rsidRPr="00954E09">
        <w:rPr>
          <w:rFonts w:hint="cs"/>
          <w:rtl/>
          <w:lang w:bidi="ar-EG"/>
        </w:rPr>
        <w:t>إننا</w:t>
      </w:r>
      <w:r w:rsidRPr="006705C1">
        <w:rPr>
          <w:rFonts w:hint="cs"/>
          <w:rtl/>
          <w:lang w:bidi="ar-EG"/>
        </w:rPr>
        <w:t xml:space="preserve"> نتساءل عن العلاقة المحتملة بين مجموعة الأدوات المقترحة بشأن حفظ المصنفات، المحددة في الفقرة</w:t>
      </w:r>
      <w:r w:rsidRPr="006705C1">
        <w:rPr>
          <w:rFonts w:hint="cs"/>
          <w:i/>
          <w:iCs/>
          <w:rtl/>
          <w:lang w:bidi="ar-EG"/>
        </w:rPr>
        <w:t xml:space="preserve"> أولاً. مسائل حفظ المصنفات</w:t>
      </w:r>
      <w:r w:rsidRPr="006705C1">
        <w:rPr>
          <w:rFonts w:hint="cs"/>
          <w:rtl/>
          <w:lang w:bidi="ar-EG"/>
        </w:rPr>
        <w:t xml:space="preserve">، ومجموعة الأدوات بشأن حفظ المصنفات، التي أعدتها رينا إلستر بانتالوني، وكينيث د. كروز، وديفيد سوتون للدورة الثالثة والأربعين للجنة حق المؤلف (الوثيقة </w:t>
      </w:r>
      <w:r w:rsidRPr="006705C1">
        <w:t>SCCR/43/4</w:t>
      </w:r>
      <w:r w:rsidRPr="006705C1">
        <w:rPr>
          <w:rFonts w:hint="cs"/>
          <w:rtl/>
          <w:lang w:bidi="ar-EG"/>
        </w:rPr>
        <w:t>).</w:t>
      </w:r>
    </w:p>
    <w:p w14:paraId="09DA867F" w14:textId="0712FF27" w:rsidR="00B7280D" w:rsidRDefault="00B7280D" w:rsidP="00B7280D">
      <w:pPr>
        <w:pStyle w:val="BodyText"/>
        <w:rPr>
          <w:rtl/>
          <w:lang w:bidi="ar-EG"/>
        </w:rPr>
      </w:pPr>
      <w:r w:rsidRPr="006705C1">
        <w:rPr>
          <w:rFonts w:hint="cs"/>
          <w:rtl/>
          <w:lang w:bidi="ar-EG"/>
        </w:rPr>
        <w:t>وعلاوة على ذلك، أشارت الأمانة في الدورة الثالثة والأربعين للجنة إلى أنه سيتم إعداد مجموعات الأدوات بشأن نفاذ المكتبات والمتاحف ودور المحفوظات إلى المصنفات، وبشأن نفاذ المؤسسات التعليمية ومؤسسات البحوث إلى المصنفات.</w:t>
      </w:r>
      <w:r>
        <w:rPr>
          <w:rFonts w:hint="cs"/>
          <w:rtl/>
          <w:lang w:bidi="ar-EG"/>
        </w:rPr>
        <w:t xml:space="preserve"> </w:t>
      </w:r>
      <w:r w:rsidRPr="006705C1">
        <w:rPr>
          <w:rFonts w:hint="cs"/>
          <w:rtl/>
          <w:lang w:bidi="ar-EG"/>
        </w:rPr>
        <w:t xml:space="preserve">ولذلك، فإننا نتساءل عما إذا كان إنجاز مجموعة أدوات النفاذ إلى المصنفات الخاصة بمؤسسات التراث الثقافي (المكتبات ودور المحفوظات والمتاحف)، وإطلاق مجموعة الأدوات النفاذ إلى المصنفات الخاصة بالمؤسسات التعليمية ومؤسسات البحوث، المحددة في الفقرة </w:t>
      </w:r>
      <w:r w:rsidRPr="006705C1">
        <w:rPr>
          <w:rFonts w:hint="cs"/>
          <w:i/>
          <w:iCs/>
          <w:rtl/>
          <w:lang w:bidi="ar-EG"/>
        </w:rPr>
        <w:t>ثانياً</w:t>
      </w:r>
      <w:r>
        <w:rPr>
          <w:rFonts w:hint="cs"/>
          <w:i/>
          <w:iCs/>
          <w:rtl/>
          <w:lang w:bidi="ar-EG"/>
        </w:rPr>
        <w:t xml:space="preserve">. </w:t>
      </w:r>
      <w:r w:rsidRPr="006705C1">
        <w:rPr>
          <w:rFonts w:hint="cs"/>
          <w:i/>
          <w:iCs/>
          <w:rtl/>
          <w:lang w:bidi="ar-EG"/>
        </w:rPr>
        <w:t>مسائل النفاذ إلى المصنّفات</w:t>
      </w:r>
      <w:r w:rsidRPr="006705C1">
        <w:rPr>
          <w:rFonts w:hint="cs"/>
          <w:rtl/>
          <w:lang w:bidi="ar-EG"/>
        </w:rPr>
        <w:t xml:space="preserve"> من الخطة، يعني مواصلة ذلك العمل أو القيام بعمل آخر. </w:t>
      </w:r>
      <w:r>
        <w:rPr>
          <w:rFonts w:hint="cs"/>
          <w:rtl/>
          <w:lang w:bidi="ar-EG"/>
        </w:rPr>
        <w:t>]</w:t>
      </w:r>
      <w:r w:rsidR="00A67682">
        <w:rPr>
          <w:rStyle w:val="FootnoteReference"/>
          <w:rtl/>
          <w:lang w:bidi="ar-EG"/>
        </w:rPr>
        <w:footnoteReference w:id="25"/>
      </w:r>
    </w:p>
    <w:p w14:paraId="1F666AE3" w14:textId="77777777" w:rsidR="00B7280D" w:rsidRDefault="00B7280D" w:rsidP="00B7280D">
      <w:pPr>
        <w:pStyle w:val="BodyText"/>
        <w:rPr>
          <w:rtl/>
          <w:lang w:bidi="ar-EG"/>
        </w:rPr>
      </w:pPr>
    </w:p>
    <w:p w14:paraId="371F5B82" w14:textId="77777777" w:rsidR="00B7280D" w:rsidRPr="006705C1" w:rsidRDefault="00B7280D" w:rsidP="00B7280D">
      <w:pPr>
        <w:pStyle w:val="BodyText"/>
        <w:rPr>
          <w:rtl/>
          <w:lang w:bidi="ar-EG"/>
        </w:rPr>
      </w:pPr>
    </w:p>
    <w:p w14:paraId="2DCE5F5E" w14:textId="77777777" w:rsidR="00B7280D" w:rsidRDefault="00B7280D" w:rsidP="00DB705F">
      <w:pPr>
        <w:pStyle w:val="Endofdocument-Annex"/>
        <w:rPr>
          <w:lang w:bidi="ar-EG"/>
        </w:rPr>
      </w:pPr>
      <w:r w:rsidRPr="006705C1">
        <w:rPr>
          <w:rFonts w:hint="cs"/>
          <w:rtl/>
          <w:lang w:bidi="ar-EG"/>
        </w:rPr>
        <w:t>‏[نهاية الوثيق</w:t>
      </w:r>
      <w:r w:rsidR="00DB705F">
        <w:rPr>
          <w:rFonts w:hint="cs"/>
          <w:rtl/>
          <w:lang w:bidi="ar-EG"/>
        </w:rPr>
        <w:t>ة]</w:t>
      </w:r>
    </w:p>
    <w:p w14:paraId="37D496C8" w14:textId="30620D7B" w:rsidR="006705C1" w:rsidRPr="006705C1" w:rsidRDefault="006705C1" w:rsidP="000524EB">
      <w:pPr>
        <w:pStyle w:val="BodyText"/>
        <w:rPr>
          <w:rtl/>
          <w:lang w:bidi="ar-EG"/>
        </w:rPr>
      </w:pPr>
    </w:p>
    <w:sectPr w:rsidR="006705C1" w:rsidRPr="006705C1" w:rsidSect="0084042A">
      <w:headerReference w:type="even" r:id="rId12"/>
      <w:headerReference w:type="default" r:id="rId13"/>
      <w:footerReference w:type="even" r:id="rId14"/>
      <w:footerReference w:type="default" r:id="rId15"/>
      <w:headerReference w:type="first" r:id="rId16"/>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92A3" w14:textId="77777777" w:rsidR="007D1479" w:rsidRDefault="007D1479">
      <w:r>
        <w:separator/>
      </w:r>
    </w:p>
  </w:endnote>
  <w:endnote w:type="continuationSeparator" w:id="0">
    <w:p w14:paraId="733E2C30" w14:textId="77777777" w:rsidR="007D1479" w:rsidRDefault="007D1479">
      <w:r>
        <w:separator/>
      </w:r>
    </w:p>
    <w:p w14:paraId="33322C24" w14:textId="77777777" w:rsidR="007D1479" w:rsidRDefault="007D1479">
      <w:pPr>
        <w:spacing w:after="60"/>
        <w:rPr>
          <w:sz w:val="17"/>
        </w:rPr>
      </w:pPr>
      <w:r>
        <w:rPr>
          <w:sz w:val="17"/>
        </w:rPr>
        <w:t>[Endnote continued from previous page]</w:t>
      </w:r>
    </w:p>
  </w:endnote>
  <w:endnote w:type="continuationNotice" w:id="1">
    <w:p w14:paraId="37CB10B3" w14:textId="77777777" w:rsidR="007D1479" w:rsidRDefault="007D1479">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429D" w14:textId="676BB608" w:rsidR="00DC6B3D" w:rsidRDefault="00290943">
    <w:pPr>
      <w:pStyle w:val="Footer"/>
    </w:pPr>
    <w:r>
      <w:rPr>
        <w:noProof/>
      </w:rPr>
      <mc:AlternateContent>
        <mc:Choice Requires="wps">
          <w:drawing>
            <wp:anchor distT="0" distB="0" distL="0" distR="0" simplePos="0" relativeHeight="251662336" behindDoc="0" locked="0" layoutInCell="1" allowOverlap="1" wp14:anchorId="2A334FFC" wp14:editId="3D5FAC62">
              <wp:simplePos x="635" y="635"/>
              <wp:positionH relativeFrom="page">
                <wp:align>center</wp:align>
              </wp:positionH>
              <wp:positionV relativeFrom="page">
                <wp:align>bottom</wp:align>
              </wp:positionV>
              <wp:extent cx="443865" cy="443865"/>
              <wp:effectExtent l="0" t="0" r="17145" b="0"/>
              <wp:wrapNone/>
              <wp:docPr id="8" name="Text Box 8"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6FE1B" w14:textId="27EF2C19" w:rsidR="00290943" w:rsidRPr="00290943" w:rsidRDefault="00290943" w:rsidP="00290943">
                          <w:pPr>
                            <w:rPr>
                              <w:rFonts w:ascii="Calibri" w:eastAsia="Calibri" w:hAnsi="Calibri"/>
                              <w:noProof/>
                              <w:color w:val="000000"/>
                              <w:sz w:val="20"/>
                              <w:szCs w:val="20"/>
                            </w:rPr>
                          </w:pPr>
                          <w:r w:rsidRPr="00290943">
                            <w:rPr>
                              <w:rFonts w:ascii="Calibri" w:eastAsia="Calibri" w:hAnsi="Calibri"/>
                              <w:noProof/>
                              <w:color w:val="000000"/>
                              <w:sz w:val="20"/>
                              <w:szCs w:val="20"/>
                            </w:rPr>
                            <w:t>WIPO FOR OFFICIAL USE ONLY</w:t>
                          </w:r>
                          <w:r w:rsidRPr="00290943">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34FFC" id="_x0000_t202" coordsize="21600,21600" o:spt="202" path="m,l,21600r21600,l21600,xe">
              <v:stroke joinstyle="miter"/>
              <v:path gradientshapeok="t" o:connecttype="rect"/>
            </v:shapetype>
            <v:shape id="Text Box 8" o:spid="_x0000_s1026" type="#_x0000_t202" alt="WIPO FOR OFFICIAL USE ONLY "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926FE1B" w14:textId="27EF2C19" w:rsidR="00290943" w:rsidRPr="00290943" w:rsidRDefault="00290943" w:rsidP="00290943">
                    <w:pPr>
                      <w:rPr>
                        <w:rFonts w:ascii="Calibri" w:eastAsia="Calibri" w:hAnsi="Calibri"/>
                        <w:noProof/>
                        <w:color w:val="000000"/>
                        <w:sz w:val="20"/>
                        <w:szCs w:val="20"/>
                      </w:rPr>
                    </w:pPr>
                    <w:r w:rsidRPr="00290943">
                      <w:rPr>
                        <w:rFonts w:ascii="Calibri" w:eastAsia="Calibri" w:hAnsi="Calibri"/>
                        <w:noProof/>
                        <w:color w:val="000000"/>
                        <w:sz w:val="20"/>
                        <w:szCs w:val="20"/>
                      </w:rPr>
                      <w:t>WIPO FOR OFFICIAL USE ONLY</w:t>
                    </w:r>
                    <w:r w:rsidRPr="00290943">
                      <w:rPr>
                        <w:rFonts w:ascii="Calibri" w:eastAsia="Calibri" w:hAnsi="Calibri"/>
                        <w:noProof/>
                        <w:color w:val="000000"/>
                        <w:sz w:val="20"/>
                        <w:szCs w:val="20"/>
                        <w:rtl/>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A1624" w14:textId="312F8A7B" w:rsidR="00DC6B3D" w:rsidRDefault="00290943">
    <w:pPr>
      <w:pStyle w:val="Footer"/>
    </w:pPr>
    <w:r>
      <w:rPr>
        <w:noProof/>
      </w:rPr>
      <mc:AlternateContent>
        <mc:Choice Requires="wps">
          <w:drawing>
            <wp:anchor distT="0" distB="0" distL="0" distR="0" simplePos="0" relativeHeight="251663360" behindDoc="0" locked="0" layoutInCell="1" allowOverlap="1" wp14:anchorId="07E0697A" wp14:editId="04D99FEB">
              <wp:simplePos x="635" y="635"/>
              <wp:positionH relativeFrom="page">
                <wp:align>center</wp:align>
              </wp:positionH>
              <wp:positionV relativeFrom="page">
                <wp:align>bottom</wp:align>
              </wp:positionV>
              <wp:extent cx="443865" cy="443865"/>
              <wp:effectExtent l="0" t="0" r="17145" b="0"/>
              <wp:wrapNone/>
              <wp:docPr id="9" name="Text Box 9"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D9D61" w14:textId="205B68EF" w:rsidR="00290943" w:rsidRPr="00290943" w:rsidRDefault="00290943" w:rsidP="00290943">
                          <w:pPr>
                            <w:rPr>
                              <w:rFonts w:ascii="Calibri" w:eastAsia="Calibri" w:hAnsi="Calibri"/>
                              <w:noProof/>
                              <w:color w:val="000000"/>
                              <w:sz w:val="20"/>
                              <w:szCs w:val="20"/>
                            </w:rPr>
                          </w:pPr>
                          <w:r w:rsidRPr="00290943">
                            <w:rPr>
                              <w:rFonts w:ascii="Calibri" w:eastAsia="Calibri" w:hAnsi="Calibri"/>
                              <w:noProof/>
                              <w:color w:val="000000"/>
                              <w:sz w:val="20"/>
                              <w:szCs w:val="20"/>
                            </w:rPr>
                            <w:t>WIPO FOR OFFICIAL USE ONLY</w:t>
                          </w:r>
                          <w:r w:rsidRPr="00290943">
                            <w:rPr>
                              <w:rFonts w:ascii="Calibri" w:eastAsia="Calibri" w:hAnsi="Calibri"/>
                              <w:noProof/>
                              <w:color w:val="000000"/>
                              <w:sz w:val="20"/>
                              <w:szCs w:val="20"/>
                              <w:rtl/>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0697A" id="_x0000_t202" coordsize="21600,21600" o:spt="202" path="m,l,21600r21600,l21600,xe">
              <v:stroke joinstyle="miter"/>
              <v:path gradientshapeok="t" o:connecttype="rect"/>
            </v:shapetype>
            <v:shape id="Text Box 9" o:spid="_x0000_s1027" type="#_x0000_t202" alt="WIPO FOR OFFICIAL USE ONLY "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70D9D61" w14:textId="205B68EF" w:rsidR="00290943" w:rsidRPr="00290943" w:rsidRDefault="00290943" w:rsidP="00290943">
                    <w:pPr>
                      <w:rPr>
                        <w:rFonts w:ascii="Calibri" w:eastAsia="Calibri" w:hAnsi="Calibri"/>
                        <w:noProof/>
                        <w:color w:val="000000"/>
                        <w:sz w:val="20"/>
                        <w:szCs w:val="20"/>
                      </w:rPr>
                    </w:pPr>
                    <w:r w:rsidRPr="00290943">
                      <w:rPr>
                        <w:rFonts w:ascii="Calibri" w:eastAsia="Calibri" w:hAnsi="Calibri"/>
                        <w:noProof/>
                        <w:color w:val="000000"/>
                        <w:sz w:val="20"/>
                        <w:szCs w:val="20"/>
                      </w:rPr>
                      <w:t>WIPO FOR OFFICIAL USE ONLY</w:t>
                    </w:r>
                    <w:r w:rsidRPr="00290943">
                      <w:rPr>
                        <w:rFonts w:ascii="Calibri" w:eastAsia="Calibri" w:hAnsi="Calibri"/>
                        <w:noProof/>
                        <w:color w:val="000000"/>
                        <w:sz w:val="20"/>
                        <w:szCs w:val="20"/>
                        <w:rtl/>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EE0EA" w14:textId="77777777" w:rsidR="007D1479" w:rsidRDefault="007D1479">
      <w:r>
        <w:separator/>
      </w:r>
    </w:p>
  </w:footnote>
  <w:footnote w:type="continuationSeparator" w:id="0">
    <w:p w14:paraId="5140E9B4" w14:textId="77777777" w:rsidR="007D1479" w:rsidRDefault="007D1479">
      <w:r>
        <w:separator/>
      </w:r>
    </w:p>
    <w:p w14:paraId="425282CB" w14:textId="77777777" w:rsidR="007D1479" w:rsidRDefault="007D1479">
      <w:pPr>
        <w:spacing w:after="60"/>
        <w:rPr>
          <w:sz w:val="17"/>
          <w:szCs w:val="17"/>
        </w:rPr>
      </w:pPr>
      <w:r>
        <w:rPr>
          <w:sz w:val="17"/>
          <w:szCs w:val="17"/>
        </w:rPr>
        <w:t>[Footnote continued from previous page]</w:t>
      </w:r>
    </w:p>
  </w:footnote>
  <w:footnote w:type="continuationNotice" w:id="1">
    <w:p w14:paraId="6325D4C8" w14:textId="77777777" w:rsidR="007D1479" w:rsidRDefault="007D1479">
      <w:pPr>
        <w:spacing w:before="60"/>
        <w:jc w:val="right"/>
        <w:rPr>
          <w:sz w:val="17"/>
          <w:szCs w:val="17"/>
        </w:rPr>
      </w:pPr>
    </w:p>
  </w:footnote>
  <w:footnote w:id="2">
    <w:p w14:paraId="68613DFE" w14:textId="4F0245FA" w:rsidR="007E7661" w:rsidRDefault="007E7661">
      <w:pPr>
        <w:pStyle w:val="FootnoteText"/>
      </w:pPr>
      <w:r>
        <w:rPr>
          <w:rStyle w:val="FootnoteReference"/>
        </w:rPr>
        <w:footnoteRef/>
      </w:r>
      <w:r>
        <w:rPr>
          <w:rtl/>
        </w:rPr>
        <w:t xml:space="preserve"> </w:t>
      </w:r>
      <w:r w:rsidR="00191B95" w:rsidRPr="00191B95">
        <w:rPr>
          <w:rtl/>
        </w:rPr>
        <w:t>المجموعة ب</w:t>
      </w:r>
      <w:r w:rsidR="00191B95">
        <w:rPr>
          <w:rFonts w:hint="cs"/>
          <w:rtl/>
        </w:rPr>
        <w:t>اء</w:t>
      </w:r>
      <w:r w:rsidR="00191B95" w:rsidRPr="00191B95">
        <w:rPr>
          <w:rtl/>
        </w:rPr>
        <w:t xml:space="preserve">: نقترح أن </w:t>
      </w:r>
      <w:r w:rsidR="00191B95">
        <w:rPr>
          <w:rFonts w:hint="cs"/>
          <w:rtl/>
        </w:rPr>
        <w:t>تطلق</w:t>
      </w:r>
      <w:r w:rsidR="00191B95" w:rsidRPr="00191B95">
        <w:rPr>
          <w:rtl/>
        </w:rPr>
        <w:t xml:space="preserve"> مجموعة الأدوات خلال اجتماع حق المؤلف لضمان مشاركة أوسع من الدول الأعضاء وأصحاب المصلحة/المراقبين، وكذلك لتسليط الضوء على العمل المنجز في هذا المشروع.</w:t>
      </w:r>
    </w:p>
  </w:footnote>
  <w:footnote w:id="3">
    <w:p w14:paraId="0F770081" w14:textId="25FAB713" w:rsidR="00191B95" w:rsidRDefault="007E7661" w:rsidP="00191B95">
      <w:pPr>
        <w:pStyle w:val="FootnoteText"/>
        <w:rPr>
          <w:rtl/>
        </w:rPr>
      </w:pPr>
      <w:r>
        <w:rPr>
          <w:rStyle w:val="FootnoteReference"/>
        </w:rPr>
        <w:footnoteRef/>
      </w:r>
      <w:r>
        <w:rPr>
          <w:rtl/>
        </w:rPr>
        <w:t xml:space="preserve"> </w:t>
      </w:r>
      <w:r w:rsidR="00191B95">
        <w:rPr>
          <w:rtl/>
        </w:rPr>
        <w:t>المجموعة ب</w:t>
      </w:r>
      <w:r w:rsidR="00191B95">
        <w:rPr>
          <w:rFonts w:hint="cs"/>
          <w:rtl/>
        </w:rPr>
        <w:t>اء</w:t>
      </w:r>
      <w:r w:rsidR="00191B95">
        <w:rPr>
          <w:rtl/>
        </w:rPr>
        <w:t>: نود الحصول على توضيح بشأن ما يلي:</w:t>
      </w:r>
    </w:p>
    <w:p w14:paraId="635B0D35" w14:textId="77777777" w:rsidR="00191B95" w:rsidRDefault="00191B95" w:rsidP="00191B95">
      <w:pPr>
        <w:pStyle w:val="FootnoteText"/>
        <w:ind w:firstLine="445"/>
        <w:rPr>
          <w:rtl/>
        </w:rPr>
      </w:pPr>
      <w:r>
        <w:rPr>
          <w:rtl/>
        </w:rPr>
        <w:t>• ما هو نوع/طبيعة هذه الأنشطة؟ (على سبيل المثال، العرض التقديمي، وحلقات النقاش، وما إلى ذلك)</w:t>
      </w:r>
    </w:p>
    <w:p w14:paraId="37169ADF" w14:textId="53753220" w:rsidR="00191B95" w:rsidRDefault="00191B95" w:rsidP="00191B95">
      <w:pPr>
        <w:pStyle w:val="FootnoteText"/>
        <w:ind w:firstLine="445"/>
        <w:rPr>
          <w:rtl/>
        </w:rPr>
      </w:pPr>
      <w:r>
        <w:rPr>
          <w:rtl/>
        </w:rPr>
        <w:t>• هل سيكون النسق المختلط متاحًا؟</w:t>
      </w:r>
    </w:p>
    <w:p w14:paraId="79403713" w14:textId="41C7C141" w:rsidR="00191B95" w:rsidRDefault="00191B95" w:rsidP="00191B95">
      <w:pPr>
        <w:pStyle w:val="FootnoteText"/>
        <w:ind w:firstLine="445"/>
        <w:rPr>
          <w:rtl/>
        </w:rPr>
      </w:pPr>
      <w:r>
        <w:rPr>
          <w:rtl/>
        </w:rPr>
        <w:t xml:space="preserve">• ما هو عدد الأنشطة وما هي المناطق التي </w:t>
      </w:r>
      <w:r>
        <w:rPr>
          <w:rFonts w:hint="cs"/>
          <w:rtl/>
        </w:rPr>
        <w:t>تتوخاها</w:t>
      </w:r>
      <w:r>
        <w:rPr>
          <w:rtl/>
        </w:rPr>
        <w:t xml:space="preserve"> الأمانة خلال الفترة 2024/2025؟</w:t>
      </w:r>
    </w:p>
    <w:p w14:paraId="2F8DBA7B" w14:textId="77777777" w:rsidR="00191B95" w:rsidRDefault="00191B95" w:rsidP="00191B95">
      <w:pPr>
        <w:pStyle w:val="FootnoteText"/>
        <w:ind w:firstLine="445"/>
        <w:rPr>
          <w:rtl/>
        </w:rPr>
      </w:pPr>
      <w:r>
        <w:rPr>
          <w:rtl/>
        </w:rPr>
        <w:t>• هل ستقرر الأمانة المناطق التي ستغطيها أم سيتم ذلك بناء على طلب من الدول الأعضاء في المنطقة؟</w:t>
      </w:r>
    </w:p>
    <w:p w14:paraId="6D2B3353" w14:textId="4B9A2E6E" w:rsidR="007E7661" w:rsidRDefault="00191B95" w:rsidP="00191B95">
      <w:pPr>
        <w:pStyle w:val="FootnoteText"/>
        <w:ind w:firstLine="445"/>
      </w:pPr>
      <w:r>
        <w:rPr>
          <w:rtl/>
        </w:rPr>
        <w:t xml:space="preserve">• هل </w:t>
      </w:r>
      <w:r>
        <w:rPr>
          <w:rFonts w:hint="cs"/>
          <w:rtl/>
        </w:rPr>
        <w:t>ستوجه</w:t>
      </w:r>
      <w:r>
        <w:rPr>
          <w:rtl/>
        </w:rPr>
        <w:t xml:space="preserve"> دعوة </w:t>
      </w:r>
      <w:r>
        <w:rPr>
          <w:rFonts w:hint="cs"/>
          <w:rtl/>
        </w:rPr>
        <w:t xml:space="preserve">إلى </w:t>
      </w:r>
      <w:r>
        <w:rPr>
          <w:rtl/>
        </w:rPr>
        <w:t>جميع الدول الأعضاء للمشاركة في مثل هذه الأنشطة في كل منطقة؟</w:t>
      </w:r>
    </w:p>
  </w:footnote>
  <w:footnote w:id="4">
    <w:p w14:paraId="412F8063" w14:textId="68ABDCB7" w:rsidR="007E7661" w:rsidRDefault="007E7661">
      <w:pPr>
        <w:pStyle w:val="FootnoteText"/>
      </w:pPr>
      <w:r>
        <w:rPr>
          <w:rStyle w:val="FootnoteReference"/>
        </w:rPr>
        <w:footnoteRef/>
      </w:r>
      <w:r>
        <w:rPr>
          <w:rtl/>
        </w:rPr>
        <w:t xml:space="preserve"> </w:t>
      </w:r>
      <w:r w:rsidR="00191B95" w:rsidRPr="00191B95">
        <w:rPr>
          <w:rtl/>
        </w:rPr>
        <w:t>المجموعة ب</w:t>
      </w:r>
      <w:r w:rsidR="00191B95">
        <w:rPr>
          <w:rFonts w:hint="cs"/>
          <w:rtl/>
        </w:rPr>
        <w:t>اء</w:t>
      </w:r>
    </w:p>
  </w:footnote>
  <w:footnote w:id="5">
    <w:p w14:paraId="42081732" w14:textId="60F9A6D9" w:rsidR="004F1932" w:rsidRDefault="004F1932">
      <w:pPr>
        <w:pStyle w:val="FootnoteText"/>
      </w:pPr>
      <w:r>
        <w:rPr>
          <w:rStyle w:val="FootnoteReference"/>
        </w:rPr>
        <w:footnoteRef/>
      </w:r>
      <w:r>
        <w:rPr>
          <w:rtl/>
        </w:rPr>
        <w:t xml:space="preserve"> </w:t>
      </w:r>
      <w:r w:rsidRPr="004F1932">
        <w:rPr>
          <w:rtl/>
        </w:rPr>
        <w:t>المجموعة ب</w:t>
      </w:r>
      <w:r>
        <w:rPr>
          <w:rFonts w:hint="cs"/>
          <w:rtl/>
        </w:rPr>
        <w:t>اء</w:t>
      </w:r>
      <w:r w:rsidRPr="004F1932">
        <w:rPr>
          <w:rtl/>
        </w:rPr>
        <w:t>: كما هو الحال مع مجموعة الأدوات المتعلقة بحفظ</w:t>
      </w:r>
      <w:r>
        <w:rPr>
          <w:rFonts w:hint="cs"/>
          <w:rtl/>
        </w:rPr>
        <w:t xml:space="preserve"> المصنفات</w:t>
      </w:r>
      <w:r w:rsidRPr="004F1932">
        <w:rPr>
          <w:rtl/>
        </w:rPr>
        <w:t xml:space="preserve"> (</w:t>
      </w:r>
      <w:r w:rsidRPr="004F1932">
        <w:t>SCCR/43/4</w:t>
      </w:r>
      <w:r w:rsidRPr="004F1932">
        <w:rPr>
          <w:rtl/>
        </w:rPr>
        <w:t>)، فإننا نقدر أن تتيح الأمانة فرصة للدول الأعضاء وأصحاب المصلحة لتقديم تعليقات على مجموعة الأدوات هذه أيضًا.</w:t>
      </w:r>
    </w:p>
  </w:footnote>
  <w:footnote w:id="6">
    <w:p w14:paraId="2EB8CCE8" w14:textId="00EBBF1C" w:rsidR="004F1932" w:rsidRDefault="004F1932">
      <w:pPr>
        <w:pStyle w:val="FootnoteText"/>
      </w:pPr>
      <w:r>
        <w:rPr>
          <w:rStyle w:val="FootnoteReference"/>
        </w:rPr>
        <w:footnoteRef/>
      </w:r>
      <w:r>
        <w:rPr>
          <w:rtl/>
        </w:rPr>
        <w:t xml:space="preserve"> </w:t>
      </w:r>
      <w:r w:rsidRPr="004F1932">
        <w:rPr>
          <w:rtl/>
        </w:rPr>
        <w:t>المجموعة ب</w:t>
      </w:r>
      <w:r>
        <w:rPr>
          <w:rFonts w:hint="cs"/>
          <w:rtl/>
        </w:rPr>
        <w:t>اء</w:t>
      </w:r>
    </w:p>
  </w:footnote>
  <w:footnote w:id="7">
    <w:p w14:paraId="1CEA3EA4" w14:textId="0D9F1D68" w:rsidR="00B017AD" w:rsidRDefault="00B017AD">
      <w:pPr>
        <w:pStyle w:val="FootnoteText"/>
      </w:pPr>
      <w:r>
        <w:rPr>
          <w:rStyle w:val="FootnoteReference"/>
        </w:rPr>
        <w:footnoteRef/>
      </w:r>
      <w:r>
        <w:rPr>
          <w:rtl/>
        </w:rPr>
        <w:t xml:space="preserve"> </w:t>
      </w:r>
      <w:r w:rsidRPr="00B017AD">
        <w:rPr>
          <w:rtl/>
        </w:rPr>
        <w:t>المجموعة ب</w:t>
      </w:r>
      <w:r>
        <w:rPr>
          <w:rFonts w:hint="cs"/>
          <w:rtl/>
        </w:rPr>
        <w:t>اء</w:t>
      </w:r>
      <w:r w:rsidRPr="00B017AD">
        <w:rPr>
          <w:rtl/>
        </w:rPr>
        <w:t>: الاقتراح نفس</w:t>
      </w:r>
      <w:r>
        <w:rPr>
          <w:rFonts w:hint="cs"/>
          <w:rtl/>
        </w:rPr>
        <w:t>ه</w:t>
      </w:r>
      <w:r w:rsidRPr="00B017AD">
        <w:rPr>
          <w:rtl/>
        </w:rPr>
        <w:t xml:space="preserve"> المتعلق بالنقطة </w:t>
      </w:r>
      <w:r>
        <w:rPr>
          <w:rFonts w:hint="cs"/>
          <w:rtl/>
        </w:rPr>
        <w:t xml:space="preserve">أولا </w:t>
      </w:r>
      <w:r w:rsidRPr="00B017AD">
        <w:rPr>
          <w:rtl/>
        </w:rPr>
        <w:t>.أ) أعلاه: إطلاق مجموعة الأدوات خلال اجتماع لجنة حق المؤلف.</w:t>
      </w:r>
    </w:p>
  </w:footnote>
  <w:footnote w:id="8">
    <w:p w14:paraId="2EF859B0" w14:textId="4EF02178" w:rsidR="00B35F2F" w:rsidRDefault="00B35F2F">
      <w:pPr>
        <w:pStyle w:val="FootnoteText"/>
      </w:pPr>
      <w:r>
        <w:rPr>
          <w:rStyle w:val="FootnoteReference"/>
        </w:rPr>
        <w:footnoteRef/>
      </w:r>
      <w:r>
        <w:rPr>
          <w:rtl/>
        </w:rPr>
        <w:t xml:space="preserve"> </w:t>
      </w:r>
      <w:r w:rsidRPr="00B35F2F">
        <w:rPr>
          <w:rtl/>
        </w:rPr>
        <w:t>المجموعة ب</w:t>
      </w:r>
      <w:r>
        <w:rPr>
          <w:rFonts w:hint="cs"/>
          <w:rtl/>
        </w:rPr>
        <w:t>اء</w:t>
      </w:r>
      <w:r w:rsidRPr="00B35F2F">
        <w:rPr>
          <w:rtl/>
        </w:rPr>
        <w:t xml:space="preserve">: نود الحصول على توضيح بشأن الكيفية التي </w:t>
      </w:r>
      <w:r>
        <w:rPr>
          <w:rFonts w:hint="cs"/>
          <w:rtl/>
        </w:rPr>
        <w:t>تعتزم</w:t>
      </w:r>
      <w:r w:rsidRPr="00B35F2F">
        <w:rPr>
          <w:rtl/>
        </w:rPr>
        <w:t xml:space="preserve"> بها الأمانة العامة إجراء هذه الأنشطة في عام 2024 </w:t>
      </w:r>
      <w:r>
        <w:rPr>
          <w:rFonts w:hint="cs"/>
          <w:rtl/>
        </w:rPr>
        <w:t>بشأن</w:t>
      </w:r>
      <w:r w:rsidRPr="00B35F2F">
        <w:rPr>
          <w:rtl/>
        </w:rPr>
        <w:t xml:space="preserve"> مجموعة أدوات من المتوقع أن تكتمل في عام 2025 و</w:t>
      </w:r>
      <w:r>
        <w:rPr>
          <w:rFonts w:hint="cs"/>
          <w:rtl/>
        </w:rPr>
        <w:t>تطلق</w:t>
      </w:r>
      <w:r w:rsidRPr="00B35F2F">
        <w:rPr>
          <w:rtl/>
        </w:rPr>
        <w:t xml:space="preserve"> بحلول نهاية عام 2025؟</w:t>
      </w:r>
    </w:p>
  </w:footnote>
  <w:footnote w:id="9">
    <w:p w14:paraId="40C20563" w14:textId="69CC9940" w:rsidR="00B35F2F" w:rsidRDefault="00B35F2F">
      <w:pPr>
        <w:pStyle w:val="FootnoteText"/>
      </w:pPr>
      <w:r>
        <w:rPr>
          <w:rStyle w:val="FootnoteReference"/>
        </w:rPr>
        <w:footnoteRef/>
      </w:r>
      <w:r>
        <w:rPr>
          <w:rtl/>
        </w:rPr>
        <w:t xml:space="preserve"> </w:t>
      </w:r>
      <w:r w:rsidR="00AA2736" w:rsidRPr="00AA2736">
        <w:rPr>
          <w:rtl/>
        </w:rPr>
        <w:t>المجموعة ب</w:t>
      </w:r>
      <w:r w:rsidR="00AA2736">
        <w:rPr>
          <w:rFonts w:hint="cs"/>
          <w:rtl/>
        </w:rPr>
        <w:t>اء</w:t>
      </w:r>
      <w:r w:rsidR="00AA2736" w:rsidRPr="00AA2736">
        <w:rPr>
          <w:rtl/>
        </w:rPr>
        <w:t>: التعليق نفس</w:t>
      </w:r>
      <w:r w:rsidR="00AA2736">
        <w:rPr>
          <w:rFonts w:hint="cs"/>
          <w:rtl/>
        </w:rPr>
        <w:t>ه</w:t>
      </w:r>
      <w:r w:rsidR="00AA2736" w:rsidRPr="00AA2736">
        <w:rPr>
          <w:rtl/>
        </w:rPr>
        <w:t xml:space="preserve"> على النقطة </w:t>
      </w:r>
      <w:r w:rsidR="00AA2736">
        <w:rPr>
          <w:rFonts w:hint="cs"/>
          <w:rtl/>
        </w:rPr>
        <w:t xml:space="preserve">أولا </w:t>
      </w:r>
      <w:r w:rsidR="00AA2736" w:rsidRPr="00AA2736">
        <w:rPr>
          <w:rtl/>
        </w:rPr>
        <w:t>.ب) أعلاه.</w:t>
      </w:r>
    </w:p>
  </w:footnote>
  <w:footnote w:id="10">
    <w:p w14:paraId="1F43BCD9" w14:textId="3724CD7D" w:rsidR="0025202D" w:rsidRDefault="0025202D">
      <w:pPr>
        <w:pStyle w:val="FootnoteText"/>
      </w:pPr>
      <w:r>
        <w:rPr>
          <w:rStyle w:val="FootnoteReference"/>
        </w:rPr>
        <w:footnoteRef/>
      </w:r>
      <w:r>
        <w:rPr>
          <w:rtl/>
        </w:rPr>
        <w:t xml:space="preserve"> </w:t>
      </w:r>
      <w:bookmarkStart w:id="5" w:name="_Hlk164782066"/>
      <w:r w:rsidR="008849DD">
        <w:rPr>
          <w:rFonts w:hint="cs"/>
          <w:rtl/>
        </w:rPr>
        <w:t>ال</w:t>
      </w:r>
      <w:r w:rsidR="008849DD" w:rsidRPr="008849DD">
        <w:rPr>
          <w:rtl/>
        </w:rPr>
        <w:t>مجموعة ب</w:t>
      </w:r>
      <w:r w:rsidR="008849DD">
        <w:rPr>
          <w:rFonts w:hint="cs"/>
          <w:rtl/>
        </w:rPr>
        <w:t>اء</w:t>
      </w:r>
      <w:bookmarkEnd w:id="5"/>
    </w:p>
  </w:footnote>
  <w:footnote w:id="11">
    <w:p w14:paraId="46891FC3" w14:textId="7144F25D" w:rsidR="0025202D" w:rsidRDefault="0025202D">
      <w:pPr>
        <w:pStyle w:val="FootnoteText"/>
      </w:pPr>
      <w:r>
        <w:rPr>
          <w:rStyle w:val="FootnoteReference"/>
        </w:rPr>
        <w:footnoteRef/>
      </w:r>
      <w:r>
        <w:rPr>
          <w:rtl/>
        </w:rPr>
        <w:t xml:space="preserve"> </w:t>
      </w:r>
      <w:bookmarkStart w:id="6" w:name="_Hlk164782213"/>
      <w:r w:rsidR="008849DD">
        <w:rPr>
          <w:rFonts w:hint="cs"/>
          <w:rtl/>
        </w:rPr>
        <w:t>ال</w:t>
      </w:r>
      <w:r w:rsidR="008849DD" w:rsidRPr="008849DD">
        <w:rPr>
          <w:rtl/>
        </w:rPr>
        <w:t>مجموعة ب</w:t>
      </w:r>
      <w:r w:rsidR="008849DD">
        <w:rPr>
          <w:rFonts w:hint="cs"/>
          <w:rtl/>
        </w:rPr>
        <w:t>اء</w:t>
      </w:r>
    </w:p>
    <w:bookmarkEnd w:id="6"/>
  </w:footnote>
  <w:footnote w:id="12">
    <w:p w14:paraId="6E85BC00" w14:textId="4C93CDAF" w:rsidR="00630F01" w:rsidRDefault="00630F01">
      <w:pPr>
        <w:pStyle w:val="FootnoteText"/>
      </w:pPr>
      <w:r>
        <w:rPr>
          <w:rStyle w:val="FootnoteReference"/>
        </w:rPr>
        <w:footnoteRef/>
      </w:r>
      <w:r>
        <w:rPr>
          <w:rtl/>
        </w:rPr>
        <w:t xml:space="preserve"> </w:t>
      </w:r>
      <w:r w:rsidR="008849DD" w:rsidRPr="008849DD">
        <w:rPr>
          <w:rtl/>
        </w:rPr>
        <w:t>مجموعة بلدان أمريكا اللاتينية والكاريبي</w:t>
      </w:r>
    </w:p>
  </w:footnote>
  <w:footnote w:id="13">
    <w:p w14:paraId="222B5742" w14:textId="4E3DEACD" w:rsidR="00630F01" w:rsidRDefault="00630F01">
      <w:pPr>
        <w:pStyle w:val="FootnoteText"/>
      </w:pPr>
      <w:r>
        <w:rPr>
          <w:rStyle w:val="FootnoteReference"/>
        </w:rPr>
        <w:footnoteRef/>
      </w:r>
      <w:r>
        <w:rPr>
          <w:rtl/>
        </w:rPr>
        <w:t xml:space="preserve"> </w:t>
      </w:r>
      <w:r w:rsidR="008849DD" w:rsidRPr="008849DD">
        <w:rPr>
          <w:rtl/>
        </w:rPr>
        <w:t>المجموعة باء: على غرار دراسة النطاق الأخيرة (</w:t>
      </w:r>
      <w:r w:rsidR="008849DD" w:rsidRPr="008849DD">
        <w:t>SCCR/44/4</w:t>
      </w:r>
      <w:r w:rsidR="008849DD" w:rsidRPr="008849DD">
        <w:rPr>
          <w:rtl/>
        </w:rPr>
        <w:t>)، سنكون ممتنين لو أن الأمانة تتيح الفرصة للدول الأعضاء وأصحاب المصلحة لتقديم تعليقات على هذه الدراسة أيضًا.</w:t>
      </w:r>
    </w:p>
  </w:footnote>
  <w:footnote w:id="14">
    <w:p w14:paraId="3142C911" w14:textId="29D3DA07" w:rsidR="00630F01" w:rsidRDefault="00630F01" w:rsidP="008849DD">
      <w:pPr>
        <w:pStyle w:val="FootnoteText"/>
      </w:pPr>
      <w:r>
        <w:rPr>
          <w:rStyle w:val="FootnoteReference"/>
        </w:rPr>
        <w:footnoteRef/>
      </w:r>
      <w:r>
        <w:rPr>
          <w:rtl/>
        </w:rPr>
        <w:t xml:space="preserve"> </w:t>
      </w:r>
      <w:bookmarkStart w:id="7" w:name="_Hlk164782282"/>
      <w:r w:rsidR="008849DD">
        <w:rPr>
          <w:rFonts w:hint="cs"/>
          <w:rtl/>
        </w:rPr>
        <w:t>ال</w:t>
      </w:r>
      <w:r w:rsidR="008849DD" w:rsidRPr="008849DD">
        <w:rPr>
          <w:rtl/>
        </w:rPr>
        <w:t>مجموعة ب</w:t>
      </w:r>
      <w:r w:rsidR="008849DD">
        <w:rPr>
          <w:rFonts w:hint="cs"/>
          <w:rtl/>
        </w:rPr>
        <w:t>اء</w:t>
      </w:r>
      <w:bookmarkEnd w:id="7"/>
    </w:p>
  </w:footnote>
  <w:footnote w:id="15">
    <w:p w14:paraId="5D3342F4" w14:textId="77777777" w:rsidR="00FA6DD2" w:rsidRDefault="0063345C" w:rsidP="00FA6DD2">
      <w:pPr>
        <w:pStyle w:val="FootnoteText"/>
        <w:rPr>
          <w:rtl/>
        </w:rPr>
      </w:pPr>
      <w:r>
        <w:rPr>
          <w:rStyle w:val="FootnoteReference"/>
        </w:rPr>
        <w:footnoteRef/>
      </w:r>
      <w:r>
        <w:rPr>
          <w:rtl/>
        </w:rPr>
        <w:t xml:space="preserve"> </w:t>
      </w:r>
      <w:r w:rsidR="008849DD">
        <w:rPr>
          <w:rFonts w:hint="cs"/>
          <w:rtl/>
        </w:rPr>
        <w:t>ال</w:t>
      </w:r>
      <w:r w:rsidR="008849DD" w:rsidRPr="008849DD">
        <w:rPr>
          <w:rtl/>
        </w:rPr>
        <w:t>مجموعة ب</w:t>
      </w:r>
      <w:r w:rsidR="008849DD">
        <w:rPr>
          <w:rFonts w:hint="cs"/>
          <w:rtl/>
        </w:rPr>
        <w:t xml:space="preserve">اء: </w:t>
      </w:r>
      <w:r w:rsidR="00FA6DD2">
        <w:rPr>
          <w:rtl/>
        </w:rPr>
        <w:t>نود الحصول على توضيح بشأن ما يلي:</w:t>
      </w:r>
    </w:p>
    <w:p w14:paraId="129C6994" w14:textId="77777777" w:rsidR="00FA6DD2" w:rsidRDefault="00FA6DD2" w:rsidP="00FA6DD2">
      <w:pPr>
        <w:pStyle w:val="FootnoteText"/>
        <w:ind w:firstLine="355"/>
        <w:rPr>
          <w:rtl/>
        </w:rPr>
      </w:pPr>
      <w:r>
        <w:rPr>
          <w:rFonts w:ascii="Cambria Math" w:hAnsi="Cambria Math" w:cs="Cambria Math" w:hint="cs"/>
          <w:rtl/>
        </w:rPr>
        <w:t>⦁</w:t>
      </w:r>
      <w:r>
        <w:rPr>
          <w:rtl/>
        </w:rPr>
        <w:t xml:space="preserve"> </w:t>
      </w:r>
      <w:r>
        <w:rPr>
          <w:rFonts w:ascii="Calibri" w:hAnsi="Calibri" w:hint="cs"/>
          <w:rtl/>
        </w:rPr>
        <w:t>من</w:t>
      </w:r>
      <w:r>
        <w:rPr>
          <w:rtl/>
        </w:rPr>
        <w:t xml:space="preserve"> </w:t>
      </w:r>
      <w:r>
        <w:rPr>
          <w:rFonts w:ascii="Calibri" w:hAnsi="Calibri" w:hint="cs"/>
          <w:rtl/>
        </w:rPr>
        <w:t>سيقوم</w:t>
      </w:r>
      <w:r>
        <w:rPr>
          <w:rtl/>
        </w:rPr>
        <w:t xml:space="preserve"> </w:t>
      </w:r>
      <w:r>
        <w:rPr>
          <w:rFonts w:ascii="Calibri" w:hAnsi="Calibri" w:hint="cs"/>
          <w:rtl/>
        </w:rPr>
        <w:t>بهذا</w:t>
      </w:r>
      <w:r>
        <w:rPr>
          <w:rtl/>
        </w:rPr>
        <w:t xml:space="preserve"> </w:t>
      </w:r>
      <w:r>
        <w:rPr>
          <w:rFonts w:ascii="Calibri" w:hAnsi="Calibri" w:hint="cs"/>
          <w:rtl/>
        </w:rPr>
        <w:t>العرض؟</w:t>
      </w:r>
    </w:p>
    <w:p w14:paraId="53A8F7C1" w14:textId="158B0B90" w:rsidR="0063345C" w:rsidRDefault="00FA6DD2" w:rsidP="00FA6DD2">
      <w:pPr>
        <w:pStyle w:val="FootnoteText"/>
        <w:ind w:firstLine="355"/>
      </w:pPr>
      <w:r>
        <w:rPr>
          <w:rFonts w:ascii="Cambria Math" w:hAnsi="Cambria Math" w:cs="Cambria Math" w:hint="cs"/>
          <w:rtl/>
        </w:rPr>
        <w:t>⦁</w:t>
      </w:r>
      <w:r>
        <w:rPr>
          <w:rtl/>
        </w:rPr>
        <w:t xml:space="preserve"> </w:t>
      </w:r>
      <w:r>
        <w:rPr>
          <w:rFonts w:ascii="Calibri" w:hAnsi="Calibri" w:hint="cs"/>
          <w:rtl/>
        </w:rPr>
        <w:t>ما</w:t>
      </w:r>
      <w:r>
        <w:rPr>
          <w:rtl/>
        </w:rPr>
        <w:t xml:space="preserve"> </w:t>
      </w:r>
      <w:r>
        <w:rPr>
          <w:rFonts w:ascii="Calibri" w:hAnsi="Calibri" w:hint="cs"/>
          <w:rtl/>
        </w:rPr>
        <w:t>نوع</w:t>
      </w:r>
      <w:r>
        <w:rPr>
          <w:rtl/>
        </w:rPr>
        <w:t>/</w:t>
      </w:r>
      <w:r>
        <w:rPr>
          <w:rFonts w:ascii="Calibri" w:hAnsi="Calibri" w:hint="cs"/>
          <w:rtl/>
        </w:rPr>
        <w:t>طبيعة</w:t>
      </w:r>
      <w:r>
        <w:rPr>
          <w:rtl/>
        </w:rPr>
        <w:t xml:space="preserve"> "</w:t>
      </w:r>
      <w:r>
        <w:rPr>
          <w:rFonts w:ascii="Calibri" w:hAnsi="Calibri" w:hint="cs"/>
          <w:rtl/>
        </w:rPr>
        <w:t>الوسائل</w:t>
      </w:r>
      <w:r>
        <w:rPr>
          <w:rtl/>
        </w:rPr>
        <w:t xml:space="preserve"> </w:t>
      </w:r>
      <w:r>
        <w:rPr>
          <w:rFonts w:ascii="Calibri" w:hAnsi="Calibri" w:hint="cs"/>
          <w:rtl/>
        </w:rPr>
        <w:t>الموجودة</w:t>
      </w:r>
      <w:r>
        <w:rPr>
          <w:rtl/>
        </w:rPr>
        <w:t xml:space="preserve">" </w:t>
      </w:r>
      <w:r>
        <w:rPr>
          <w:rFonts w:ascii="Calibri" w:hAnsi="Calibri" w:hint="cs"/>
          <w:rtl/>
        </w:rPr>
        <w:t>هنا؟</w:t>
      </w:r>
      <w:r>
        <w:rPr>
          <w:rtl/>
        </w:rPr>
        <w:t xml:space="preserve"> (</w:t>
      </w:r>
      <w:r>
        <w:rPr>
          <w:rFonts w:ascii="Calibri" w:hAnsi="Calibri" w:hint="cs"/>
          <w:rtl/>
        </w:rPr>
        <w:t>على</w:t>
      </w:r>
      <w:r>
        <w:rPr>
          <w:rtl/>
        </w:rPr>
        <w:t xml:space="preserve"> </w:t>
      </w:r>
      <w:r>
        <w:rPr>
          <w:rFonts w:ascii="Calibri" w:hAnsi="Calibri" w:hint="cs"/>
          <w:rtl/>
        </w:rPr>
        <w:t>سبيل</w:t>
      </w:r>
      <w:r>
        <w:rPr>
          <w:rtl/>
        </w:rPr>
        <w:t xml:space="preserve"> </w:t>
      </w:r>
      <w:r>
        <w:rPr>
          <w:rFonts w:ascii="Calibri" w:hAnsi="Calibri" w:hint="cs"/>
          <w:rtl/>
        </w:rPr>
        <w:t>المثال،</w:t>
      </w:r>
      <w:r>
        <w:rPr>
          <w:rtl/>
        </w:rPr>
        <w:t xml:space="preserve"> </w:t>
      </w:r>
      <w:r>
        <w:rPr>
          <w:rFonts w:ascii="Calibri" w:hAnsi="Calibri" w:hint="cs"/>
          <w:rtl/>
        </w:rPr>
        <w:t>القانونية</w:t>
      </w:r>
      <w:r>
        <w:rPr>
          <w:rtl/>
        </w:rPr>
        <w:t xml:space="preserve"> </w:t>
      </w:r>
      <w:r>
        <w:rPr>
          <w:rFonts w:ascii="Calibri" w:hAnsi="Calibri" w:hint="cs"/>
          <w:rtl/>
        </w:rPr>
        <w:t>والتكنولوجية،</w:t>
      </w:r>
      <w:r>
        <w:rPr>
          <w:rtl/>
        </w:rPr>
        <w:t xml:space="preserve"> </w:t>
      </w:r>
      <w:r>
        <w:rPr>
          <w:rFonts w:ascii="Calibri" w:hAnsi="Calibri" w:hint="cs"/>
          <w:rtl/>
        </w:rPr>
        <w:t>وما</w:t>
      </w:r>
      <w:r>
        <w:rPr>
          <w:rtl/>
        </w:rPr>
        <w:t xml:space="preserve"> </w:t>
      </w:r>
      <w:r>
        <w:rPr>
          <w:rFonts w:ascii="Calibri" w:hAnsi="Calibri" w:hint="cs"/>
          <w:rtl/>
        </w:rPr>
        <w:t>إلى</w:t>
      </w:r>
      <w:r>
        <w:rPr>
          <w:rtl/>
        </w:rPr>
        <w:t xml:space="preserve"> </w:t>
      </w:r>
      <w:r>
        <w:rPr>
          <w:rFonts w:ascii="Calibri" w:hAnsi="Calibri" w:hint="cs"/>
          <w:rtl/>
        </w:rPr>
        <w:t>ذلك</w:t>
      </w:r>
      <w:r>
        <w:rPr>
          <w:rtl/>
        </w:rPr>
        <w:t>).</w:t>
      </w:r>
    </w:p>
  </w:footnote>
  <w:footnote w:id="16">
    <w:p w14:paraId="3536E251" w14:textId="4871300B" w:rsidR="0063345C" w:rsidRDefault="0063345C">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17">
    <w:p w14:paraId="60EC3AC2" w14:textId="3D4E542D" w:rsidR="0063345C" w:rsidRDefault="0063345C">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18">
    <w:p w14:paraId="4AB15E94" w14:textId="2398980F" w:rsidR="008849DD" w:rsidRDefault="008849DD">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19">
    <w:p w14:paraId="4DF4AC23" w14:textId="300E386A" w:rsidR="008849DD" w:rsidRDefault="008849DD">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20">
    <w:p w14:paraId="2B808793" w14:textId="2C97007E" w:rsidR="008849DD" w:rsidRDefault="008849DD">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21">
    <w:p w14:paraId="53929240" w14:textId="37FAAE47" w:rsidR="008849DD" w:rsidRDefault="008849DD">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22">
    <w:p w14:paraId="061CD011" w14:textId="26FC9EBB" w:rsidR="008849DD" w:rsidRDefault="008849DD">
      <w:pPr>
        <w:pStyle w:val="FootnoteText"/>
      </w:pPr>
      <w:r>
        <w:rPr>
          <w:rStyle w:val="FootnoteReference"/>
        </w:rPr>
        <w:footnoteRef/>
      </w:r>
      <w:r>
        <w:rPr>
          <w:rtl/>
        </w:rPr>
        <w:t xml:space="preserve"> </w:t>
      </w:r>
      <w:r w:rsidR="00FA6DD2">
        <w:rPr>
          <w:rFonts w:hint="cs"/>
          <w:rtl/>
        </w:rPr>
        <w:t>ال</w:t>
      </w:r>
      <w:r w:rsidR="00FA6DD2" w:rsidRPr="008849DD">
        <w:rPr>
          <w:rtl/>
        </w:rPr>
        <w:t>مجموعة ب</w:t>
      </w:r>
      <w:r w:rsidR="00FA6DD2">
        <w:rPr>
          <w:rFonts w:hint="cs"/>
          <w:rtl/>
        </w:rPr>
        <w:t>اء</w:t>
      </w:r>
    </w:p>
  </w:footnote>
  <w:footnote w:id="23">
    <w:p w14:paraId="51C51D59" w14:textId="4C30C64C" w:rsidR="00A67682" w:rsidRDefault="00A67682">
      <w:pPr>
        <w:pStyle w:val="FootnoteText"/>
      </w:pPr>
      <w:r>
        <w:rPr>
          <w:rStyle w:val="FootnoteReference"/>
        </w:rPr>
        <w:footnoteRef/>
      </w:r>
      <w:r>
        <w:rPr>
          <w:rtl/>
        </w:rPr>
        <w:t xml:space="preserve"> </w:t>
      </w:r>
      <w:r w:rsidRPr="00A67682">
        <w:rPr>
          <w:rtl/>
        </w:rPr>
        <w:t>مجموعة أفريقيا</w:t>
      </w:r>
    </w:p>
  </w:footnote>
  <w:footnote w:id="24">
    <w:p w14:paraId="4604E369" w14:textId="7BF58181" w:rsidR="00A67682" w:rsidRDefault="00A67682">
      <w:pPr>
        <w:pStyle w:val="FootnoteText"/>
      </w:pPr>
      <w:r>
        <w:rPr>
          <w:rStyle w:val="FootnoteReference"/>
        </w:rPr>
        <w:footnoteRef/>
      </w:r>
      <w:r>
        <w:rPr>
          <w:rtl/>
        </w:rPr>
        <w:t xml:space="preserve"> </w:t>
      </w:r>
      <w:r w:rsidR="002D47CA" w:rsidRPr="002D47CA">
        <w:rPr>
          <w:rtl/>
        </w:rPr>
        <w:t>إيران</w:t>
      </w:r>
    </w:p>
  </w:footnote>
  <w:footnote w:id="25">
    <w:p w14:paraId="7ED322F4" w14:textId="62C169D1" w:rsidR="00A67682" w:rsidRDefault="00A67682">
      <w:pPr>
        <w:pStyle w:val="FootnoteText"/>
      </w:pPr>
      <w:r>
        <w:rPr>
          <w:rStyle w:val="FootnoteReference"/>
        </w:rPr>
        <w:footnoteRef/>
      </w:r>
      <w:r>
        <w:rPr>
          <w:rtl/>
        </w:rPr>
        <w:t xml:space="preserve"> </w:t>
      </w:r>
      <w:r w:rsidR="002D47CA" w:rsidRPr="002D47CA">
        <w:rPr>
          <w:rtl/>
        </w:rPr>
        <w:t>الاتحاد الروسي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DCBAB" w14:textId="77777777" w:rsidR="00DC6B3D" w:rsidRDefault="00DC6B3D">
    <w:pPr>
      <w:pStyle w:val="Header"/>
    </w:pPr>
  </w:p>
  <w:p w14:paraId="6E3B35A9" w14:textId="77777777" w:rsidR="008041CF" w:rsidRDefault="008041CF"/>
  <w:p w14:paraId="70868CBA" w14:textId="77777777" w:rsidR="008041CF" w:rsidRDefault="008041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7F4D" w14:textId="32EC8754" w:rsidR="00BD0B12" w:rsidRDefault="00864C94">
    <w:pPr>
      <w:bidi w:val="0"/>
      <w:rPr>
        <w:caps/>
        <w:rtl/>
        <w:lang w:val="fr-CH"/>
      </w:rPr>
    </w:pPr>
    <w:r>
      <w:rPr>
        <w:caps/>
      </w:rPr>
      <w:t>SCCR/4</w:t>
    </w:r>
    <w:r w:rsidR="00DC6B3D">
      <w:rPr>
        <w:caps/>
        <w:lang w:val="fr-CH"/>
      </w:rPr>
      <w:t>5/</w:t>
    </w:r>
    <w:r w:rsidR="00F40DDF">
      <w:rPr>
        <w:caps/>
        <w:lang w:val="fr-CH"/>
      </w:rPr>
      <w:t>10 PROV.</w:t>
    </w:r>
  </w:p>
  <w:p w14:paraId="1886C308" w14:textId="77777777" w:rsidR="00BD0B12" w:rsidRDefault="00864C94">
    <w:pPr>
      <w:bidi w:val="0"/>
    </w:pPr>
    <w:r>
      <w:fldChar w:fldCharType="begin"/>
    </w:r>
    <w:r>
      <w:instrText xml:space="preserve"> PAGE  \* MERGEFORMAT </w:instrText>
    </w:r>
    <w:r>
      <w:fldChar w:fldCharType="separate"/>
    </w:r>
    <w:r>
      <w:rPr>
        <w:noProof/>
      </w:rPr>
      <w:t>2</w:t>
    </w:r>
    <w:r>
      <w:fldChar w:fldCharType="end"/>
    </w:r>
  </w:p>
  <w:p w14:paraId="04F4DA4F" w14:textId="77777777" w:rsidR="00BD0B12" w:rsidRDefault="00BD0B12">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B6ED" w14:textId="77777777" w:rsidR="004748CB" w:rsidRPr="004748CB" w:rsidRDefault="004748CB" w:rsidP="00B7280D">
    <w:pPr>
      <w:pStyle w:val="Header"/>
      <w:bidi w:val="0"/>
      <w:ind w:firstLine="567"/>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860E7C"/>
    <w:multiLevelType w:val="hybridMultilevel"/>
    <w:tmpl w:val="6CAEC5BA"/>
    <w:lvl w:ilvl="0" w:tplc="34A06CEA">
      <w:start w:val="1"/>
      <w:numFmt w:val="arabicAbjad"/>
      <w:lvlText w:val="%1)"/>
      <w:lvlJc w:val="left"/>
      <w:pPr>
        <w:ind w:left="720" w:hanging="360"/>
      </w:pPr>
      <w:rPr>
        <w:rFonts w:hint="default"/>
        <w:sz w:val="24"/>
        <w:szCs w:val="24"/>
      </w:rPr>
    </w:lvl>
    <w:lvl w:ilvl="1" w:tplc="41D4C99A">
      <w:start w:val="1"/>
      <w:numFmt w:val="arabicAbjad"/>
      <w:lvlText w:val="%2)"/>
      <w:lvlJc w:val="left"/>
      <w:pPr>
        <w:ind w:left="1440" w:hanging="360"/>
      </w:pPr>
      <w:rPr>
        <w:rFonts w:hint="default"/>
        <w:sz w:val="3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3A7559"/>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4626D97"/>
    <w:multiLevelType w:val="hybridMultilevel"/>
    <w:tmpl w:val="6D2CBE54"/>
    <w:lvl w:ilvl="0" w:tplc="34A06CEA">
      <w:start w:val="1"/>
      <w:numFmt w:val="arabicAbjad"/>
      <w:lvlText w:val="%1)"/>
      <w:lvlJc w:val="left"/>
      <w:pPr>
        <w:ind w:left="720" w:hanging="360"/>
      </w:pPr>
      <w:rPr>
        <w:rFonts w:hint="default"/>
        <w:sz w:val="24"/>
        <w:szCs w:val="24"/>
      </w:rPr>
    </w:lvl>
    <w:lvl w:ilvl="1" w:tplc="41D4C99A">
      <w:start w:val="1"/>
      <w:numFmt w:val="arabicAbjad"/>
      <w:lvlText w:val="%2)"/>
      <w:lvlJc w:val="left"/>
      <w:pPr>
        <w:ind w:left="1440" w:hanging="360"/>
      </w:pPr>
      <w:rPr>
        <w:rFonts w:hint="default"/>
        <w:sz w:val="30"/>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6153567"/>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FC3A6F"/>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0" w15:restartNumberingAfterBreak="0">
    <w:nsid w:val="41EF3C14"/>
    <w:multiLevelType w:val="hybridMultilevel"/>
    <w:tmpl w:val="DEDC41DA"/>
    <w:lvl w:ilvl="0" w:tplc="35C0689E">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35427B6"/>
    <w:multiLevelType w:val="hybridMultilevel"/>
    <w:tmpl w:val="3FDA1DBE"/>
    <w:lvl w:ilvl="0" w:tplc="34A06CEA">
      <w:start w:val="1"/>
      <w:numFmt w:val="arabicAbjad"/>
      <w:lvlText w:val="%1)"/>
      <w:lvlJc w:val="left"/>
      <w:pPr>
        <w:ind w:left="720" w:hanging="360"/>
      </w:pPr>
      <w:rPr>
        <w:rFonts w:hint="default"/>
        <w:sz w:val="24"/>
        <w:szCs w:val="24"/>
      </w:rPr>
    </w:lvl>
    <w:lvl w:ilvl="1" w:tplc="07CC97BE">
      <w:start w:val="1"/>
      <w:numFmt w:val="arabicAlpha"/>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BF29B4"/>
    <w:multiLevelType w:val="multilevel"/>
    <w:tmpl w:val="34BA0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6" w15:restartNumberingAfterBreak="0">
    <w:nsid w:val="5E330897"/>
    <w:multiLevelType w:val="hybridMultilevel"/>
    <w:tmpl w:val="0352BDDE"/>
    <w:lvl w:ilvl="0" w:tplc="34A06CEA">
      <w:start w:val="1"/>
      <w:numFmt w:val="arabicAbjad"/>
      <w:lvlText w:val="%1)"/>
      <w:lvlJc w:val="left"/>
      <w:pPr>
        <w:ind w:left="720" w:hanging="360"/>
      </w:pPr>
      <w:rPr>
        <w:rFonts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34725753">
    <w:abstractNumId w:val="3"/>
  </w:num>
  <w:num w:numId="2" w16cid:durableId="963729720">
    <w:abstractNumId w:val="12"/>
  </w:num>
  <w:num w:numId="3" w16cid:durableId="307248205">
    <w:abstractNumId w:val="0"/>
  </w:num>
  <w:num w:numId="4" w16cid:durableId="1953778936">
    <w:abstractNumId w:val="13"/>
  </w:num>
  <w:num w:numId="5" w16cid:durableId="793063336">
    <w:abstractNumId w:val="1"/>
  </w:num>
  <w:num w:numId="6" w16cid:durableId="1102261551">
    <w:abstractNumId w:val="4"/>
  </w:num>
  <w:num w:numId="7" w16cid:durableId="1647588153">
    <w:abstractNumId w:val="15"/>
  </w:num>
  <w:num w:numId="8" w16cid:durableId="2063481001">
    <w:abstractNumId w:val="9"/>
  </w:num>
  <w:num w:numId="9" w16cid:durableId="82848647">
    <w:abstractNumId w:val="14"/>
  </w:num>
  <w:num w:numId="10" w16cid:durableId="1961718718">
    <w:abstractNumId w:val="7"/>
  </w:num>
  <w:num w:numId="11" w16cid:durableId="718826097">
    <w:abstractNumId w:val="10"/>
  </w:num>
  <w:num w:numId="12" w16cid:durableId="1628657461">
    <w:abstractNumId w:val="5"/>
  </w:num>
  <w:num w:numId="13" w16cid:durableId="349064112">
    <w:abstractNumId w:val="16"/>
  </w:num>
  <w:num w:numId="14" w16cid:durableId="877935320">
    <w:abstractNumId w:val="8"/>
  </w:num>
  <w:num w:numId="15" w16cid:durableId="328220644">
    <w:abstractNumId w:val="11"/>
  </w:num>
  <w:num w:numId="16" w16cid:durableId="534579037">
    <w:abstractNumId w:val="6"/>
  </w:num>
  <w:num w:numId="17" w16cid:durableId="180708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DE"/>
    <w:rsid w:val="00001F78"/>
    <w:rsid w:val="000524EB"/>
    <w:rsid w:val="00071ECF"/>
    <w:rsid w:val="000865DE"/>
    <w:rsid w:val="0009748C"/>
    <w:rsid w:val="000D0183"/>
    <w:rsid w:val="0012315A"/>
    <w:rsid w:val="00143958"/>
    <w:rsid w:val="001572AD"/>
    <w:rsid w:val="00181D2C"/>
    <w:rsid w:val="00186549"/>
    <w:rsid w:val="00191B95"/>
    <w:rsid w:val="001A6E51"/>
    <w:rsid w:val="001B4502"/>
    <w:rsid w:val="001F602C"/>
    <w:rsid w:val="0023486E"/>
    <w:rsid w:val="0025202D"/>
    <w:rsid w:val="00261D73"/>
    <w:rsid w:val="00290943"/>
    <w:rsid w:val="002942BC"/>
    <w:rsid w:val="002A2321"/>
    <w:rsid w:val="002D47CA"/>
    <w:rsid w:val="002D72A2"/>
    <w:rsid w:val="002F3154"/>
    <w:rsid w:val="002F61DC"/>
    <w:rsid w:val="00325CBF"/>
    <w:rsid w:val="003A62D5"/>
    <w:rsid w:val="003C317A"/>
    <w:rsid w:val="004326B6"/>
    <w:rsid w:val="004748CB"/>
    <w:rsid w:val="004871EE"/>
    <w:rsid w:val="004F1932"/>
    <w:rsid w:val="004F19AD"/>
    <w:rsid w:val="004F5F32"/>
    <w:rsid w:val="00531F0D"/>
    <w:rsid w:val="00541F82"/>
    <w:rsid w:val="005764E6"/>
    <w:rsid w:val="00590923"/>
    <w:rsid w:val="00593403"/>
    <w:rsid w:val="005A6552"/>
    <w:rsid w:val="005E719A"/>
    <w:rsid w:val="00612F4E"/>
    <w:rsid w:val="00630F01"/>
    <w:rsid w:val="00631BC0"/>
    <w:rsid w:val="0063345C"/>
    <w:rsid w:val="00646081"/>
    <w:rsid w:val="00661D40"/>
    <w:rsid w:val="006705C1"/>
    <w:rsid w:val="0068386D"/>
    <w:rsid w:val="006E59D5"/>
    <w:rsid w:val="007B11C7"/>
    <w:rsid w:val="007D1479"/>
    <w:rsid w:val="007D1B24"/>
    <w:rsid w:val="007E7661"/>
    <w:rsid w:val="0080362F"/>
    <w:rsid w:val="008041CF"/>
    <w:rsid w:val="0084042A"/>
    <w:rsid w:val="00864C94"/>
    <w:rsid w:val="008849DD"/>
    <w:rsid w:val="008B0C59"/>
    <w:rsid w:val="00945561"/>
    <w:rsid w:val="00954E09"/>
    <w:rsid w:val="00956419"/>
    <w:rsid w:val="009564B8"/>
    <w:rsid w:val="009B347D"/>
    <w:rsid w:val="00A42B6F"/>
    <w:rsid w:val="00A62500"/>
    <w:rsid w:val="00A67682"/>
    <w:rsid w:val="00AA2736"/>
    <w:rsid w:val="00AA704C"/>
    <w:rsid w:val="00B017AD"/>
    <w:rsid w:val="00B25E38"/>
    <w:rsid w:val="00B35F2F"/>
    <w:rsid w:val="00B67E2D"/>
    <w:rsid w:val="00B7280D"/>
    <w:rsid w:val="00B86197"/>
    <w:rsid w:val="00BC3F44"/>
    <w:rsid w:val="00BD0B12"/>
    <w:rsid w:val="00BD0FB8"/>
    <w:rsid w:val="00C22484"/>
    <w:rsid w:val="00C440DE"/>
    <w:rsid w:val="00C73B11"/>
    <w:rsid w:val="00C84DB8"/>
    <w:rsid w:val="00C912A7"/>
    <w:rsid w:val="00C94D9F"/>
    <w:rsid w:val="00D82557"/>
    <w:rsid w:val="00DB705F"/>
    <w:rsid w:val="00DC6B3D"/>
    <w:rsid w:val="00DF0443"/>
    <w:rsid w:val="00ED109F"/>
    <w:rsid w:val="00ED7038"/>
    <w:rsid w:val="00F40DDF"/>
    <w:rsid w:val="00F93624"/>
    <w:rsid w:val="00FA62DD"/>
    <w:rsid w:val="00FA6DD2"/>
    <w:rsid w:val="00FE5D9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6D678"/>
  <w15:docId w15:val="{08C6078F-1DD6-4835-8349-F3457FEB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styleId="FootnoteReference">
    <w:name w:val="footnote reference"/>
    <w:basedOn w:val="DefaultParagraphFont"/>
    <w:uiPriority w:val="99"/>
    <w:semiHidden/>
    <w:unhideWhenUsed/>
    <w:rsid w:val="00670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SCCR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B88E-41FD-455B-AA13-069933D8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SCCR_44_AR</Template>
  <TotalTime>1</TotalTime>
  <Pages>5</Pages>
  <Words>1611</Words>
  <Characters>8743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SCCR/45/6</vt:lpstr>
    </vt:vector>
  </TitlesOfParts>
  <Company>WIPO</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SCCR/45/6</dc:title>
  <dc:creator>Ahmad Endani</dc:creator>
  <cp:keywords>FOR OFFICIAL USE ONLY</cp:keywords>
  <cp:lastModifiedBy>HAIZEL Francesca</cp:lastModifiedBy>
  <cp:revision>2</cp:revision>
  <cp:lastPrinted>2011-02-15T11:56:00Z</cp:lastPrinted>
  <dcterms:created xsi:type="dcterms:W3CDTF">2024-04-24T10:42:00Z</dcterms:created>
  <dcterms:modified xsi:type="dcterms:W3CDTF">2024-04-24T10:42:00Z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1,4,5,7,8,9</vt:lpwstr>
  </property>
  <property fmtid="{D5CDD505-2E9C-101B-9397-08002B2CF9AE}" pid="8" name="ClassificationContentMarkingFooterFontProps">
    <vt:lpwstr>#000000,10,Calibri</vt:lpwstr>
  </property>
  <property fmtid="{D5CDD505-2E9C-101B-9397-08002B2CF9AE}" pid="9" name="ClassificationContentMarkingFooterText">
    <vt:lpwstr>WIPO FOR OFFICIAL USE ONLY </vt:lpwstr>
  </property>
  <property fmtid="{D5CDD505-2E9C-101B-9397-08002B2CF9AE}" pid="10" name="MSIP_Label_bfc084f7-b690-4c43-8ee6-d475b6d3461d_Enabled">
    <vt:lpwstr>true</vt:lpwstr>
  </property>
  <property fmtid="{D5CDD505-2E9C-101B-9397-08002B2CF9AE}" pid="11" name="MSIP_Label_bfc084f7-b690-4c43-8ee6-d475b6d3461d_SetDate">
    <vt:lpwstr>2024-04-23T13:14:32Z</vt:lpwstr>
  </property>
  <property fmtid="{D5CDD505-2E9C-101B-9397-08002B2CF9AE}" pid="12" name="MSIP_Label_bfc084f7-b690-4c43-8ee6-d475b6d3461d_Method">
    <vt:lpwstr>Standard</vt:lpwstr>
  </property>
  <property fmtid="{D5CDD505-2E9C-101B-9397-08002B2CF9AE}" pid="13" name="MSIP_Label_bfc084f7-b690-4c43-8ee6-d475b6d3461d_Name">
    <vt:lpwstr>FOR OFFICIAL USE ONLY</vt:lpwstr>
  </property>
  <property fmtid="{D5CDD505-2E9C-101B-9397-08002B2CF9AE}" pid="14" name="MSIP_Label_bfc084f7-b690-4c43-8ee6-d475b6d3461d_SiteId">
    <vt:lpwstr>faa31b06-8ccc-48c9-867f-f7510dd11c02</vt:lpwstr>
  </property>
  <property fmtid="{D5CDD505-2E9C-101B-9397-08002B2CF9AE}" pid="15" name="MSIP_Label_bfc084f7-b690-4c43-8ee6-d475b6d3461d_ActionId">
    <vt:lpwstr>f2f6a4f5-0d76-4ab6-a0cc-d96dd2ab3947</vt:lpwstr>
  </property>
  <property fmtid="{D5CDD505-2E9C-101B-9397-08002B2CF9AE}" pid="16" name="MSIP_Label_bfc084f7-b690-4c43-8ee6-d475b6d3461d_ContentBits">
    <vt:lpwstr>2</vt:lpwstr>
  </property>
</Properties>
</file>