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77777777" w:rsidR="008B2CC1" w:rsidRPr="00CB58FC" w:rsidRDefault="00873EE5" w:rsidP="00F11D94">
      <w:pPr>
        <w:spacing w:after="120"/>
        <w:jc w:val="right"/>
      </w:pPr>
      <w:r w:rsidRPr="00CB58FC">
        <w:rPr>
          <w:noProof/>
          <w:sz w:val="28"/>
          <w:szCs w:val="28"/>
          <w:lang w:eastAsia="en-US"/>
        </w:rPr>
        <w:drawing>
          <wp:inline distT="0" distB="0" distL="0" distR="0" wp14:anchorId="25B904B2" wp14:editId="45F5F5C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CB58FC">
        <w:rPr>
          <w:rFonts w:ascii="Arial Black" w:hAnsi="Arial Black"/>
          <w:caps/>
          <w:noProof/>
          <w:sz w:val="15"/>
          <w:szCs w:val="15"/>
          <w:lang w:eastAsia="en-US"/>
        </w:rPr>
        <mc:AlternateContent>
          <mc:Choice Requires="wps">
            <w:drawing>
              <wp:inline distT="0" distB="0" distL="0" distR="0" wp14:anchorId="07E2E0B0" wp14:editId="25D26A0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11B7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108212FD" w:rsidR="008B2CC1" w:rsidRPr="00CB58FC" w:rsidRDefault="00FA7EAE" w:rsidP="001024FE">
      <w:pPr>
        <w:jc w:val="right"/>
        <w:rPr>
          <w:rFonts w:ascii="Arial Black" w:hAnsi="Arial Black"/>
          <w:caps/>
          <w:sz w:val="15"/>
          <w:szCs w:val="15"/>
        </w:rPr>
      </w:pPr>
      <w:r w:rsidRPr="00CB58FC">
        <w:rPr>
          <w:rFonts w:ascii="Arial Black" w:hAnsi="Arial Black"/>
          <w:caps/>
          <w:sz w:val="15"/>
          <w:szCs w:val="15"/>
        </w:rPr>
        <w:t>SCCR/4</w:t>
      </w:r>
      <w:r w:rsidR="00A5792C" w:rsidRPr="00CB58FC">
        <w:rPr>
          <w:rFonts w:ascii="Arial Black" w:hAnsi="Arial Black"/>
          <w:caps/>
          <w:sz w:val="15"/>
          <w:szCs w:val="15"/>
        </w:rPr>
        <w:t>5</w:t>
      </w:r>
      <w:r w:rsidR="003F4808" w:rsidRPr="00CB58FC">
        <w:rPr>
          <w:rFonts w:ascii="Arial Black" w:hAnsi="Arial Black"/>
          <w:caps/>
          <w:sz w:val="15"/>
          <w:szCs w:val="15"/>
        </w:rPr>
        <w:t>/</w:t>
      </w:r>
      <w:bookmarkStart w:id="0" w:name="Code"/>
      <w:bookmarkEnd w:id="0"/>
      <w:r w:rsidR="008D2AE9" w:rsidRPr="00CB58FC">
        <w:rPr>
          <w:rFonts w:ascii="Arial Black" w:hAnsi="Arial Black"/>
          <w:caps/>
          <w:sz w:val="15"/>
          <w:szCs w:val="15"/>
        </w:rPr>
        <w:t>inf/2</w:t>
      </w:r>
      <w:r w:rsidR="0011738E">
        <w:rPr>
          <w:rFonts w:ascii="Arial Black" w:hAnsi="Arial Black"/>
          <w:caps/>
          <w:sz w:val="15"/>
          <w:szCs w:val="15"/>
        </w:rPr>
        <w:t xml:space="preserve"> Rev.</w:t>
      </w:r>
    </w:p>
    <w:p w14:paraId="3583FD32" w14:textId="5406736C" w:rsidR="00CE65D4" w:rsidRPr="00CB58FC" w:rsidRDefault="00CE65D4" w:rsidP="00CE65D4">
      <w:pPr>
        <w:jc w:val="right"/>
        <w:rPr>
          <w:rFonts w:ascii="Arial Black" w:hAnsi="Arial Black"/>
          <w:caps/>
          <w:sz w:val="15"/>
          <w:szCs w:val="15"/>
        </w:rPr>
      </w:pPr>
      <w:r w:rsidRPr="00CB58FC">
        <w:rPr>
          <w:rFonts w:ascii="Arial Black" w:hAnsi="Arial Black"/>
          <w:caps/>
          <w:sz w:val="15"/>
          <w:szCs w:val="15"/>
        </w:rPr>
        <w:t xml:space="preserve">ORIGINAL: </w:t>
      </w:r>
      <w:bookmarkStart w:id="1" w:name="Original"/>
      <w:r w:rsidR="003D6031" w:rsidRPr="00CB58FC">
        <w:rPr>
          <w:rFonts w:ascii="Arial Black" w:hAnsi="Arial Black"/>
          <w:caps/>
          <w:sz w:val="15"/>
          <w:szCs w:val="15"/>
        </w:rPr>
        <w:t>E</w:t>
      </w:r>
      <w:r w:rsidR="003C6FF9" w:rsidRPr="00CB58FC">
        <w:rPr>
          <w:rFonts w:ascii="Arial Black" w:hAnsi="Arial Black"/>
          <w:caps/>
          <w:sz w:val="15"/>
          <w:szCs w:val="15"/>
        </w:rPr>
        <w:t>NGLISH</w:t>
      </w:r>
    </w:p>
    <w:bookmarkEnd w:id="1"/>
    <w:p w14:paraId="2395311F" w14:textId="44A098DC" w:rsidR="008B2CC1" w:rsidRPr="00CB58FC" w:rsidRDefault="00CE65D4" w:rsidP="00CE65D4">
      <w:pPr>
        <w:spacing w:after="1200"/>
        <w:jc w:val="right"/>
        <w:rPr>
          <w:rFonts w:ascii="Arial Black" w:hAnsi="Arial Black"/>
          <w:caps/>
          <w:sz w:val="15"/>
          <w:szCs w:val="15"/>
        </w:rPr>
      </w:pPr>
      <w:r w:rsidRPr="00CB58FC">
        <w:rPr>
          <w:rFonts w:ascii="Arial Black" w:hAnsi="Arial Black"/>
          <w:caps/>
          <w:sz w:val="15"/>
          <w:szCs w:val="15"/>
        </w:rPr>
        <w:t xml:space="preserve">DATE: </w:t>
      </w:r>
      <w:bookmarkStart w:id="2" w:name="Date"/>
      <w:r w:rsidR="00D068D4">
        <w:rPr>
          <w:rFonts w:ascii="Arial Black" w:hAnsi="Arial Black"/>
          <w:caps/>
          <w:sz w:val="15"/>
          <w:szCs w:val="15"/>
        </w:rPr>
        <w:t>February</w:t>
      </w:r>
      <w:r w:rsidR="003D6031" w:rsidRPr="00CB58FC">
        <w:rPr>
          <w:rFonts w:ascii="Arial Black" w:hAnsi="Arial Black"/>
          <w:caps/>
          <w:sz w:val="15"/>
          <w:szCs w:val="15"/>
        </w:rPr>
        <w:t xml:space="preserve"> </w:t>
      </w:r>
      <w:r w:rsidR="00D068D4">
        <w:rPr>
          <w:rFonts w:ascii="Arial Black" w:hAnsi="Arial Black"/>
          <w:caps/>
          <w:sz w:val="15"/>
          <w:szCs w:val="15"/>
        </w:rPr>
        <w:t>18</w:t>
      </w:r>
      <w:r w:rsidR="003D6031" w:rsidRPr="00CB58FC">
        <w:rPr>
          <w:rFonts w:ascii="Arial Black" w:hAnsi="Arial Black"/>
          <w:caps/>
          <w:sz w:val="15"/>
          <w:szCs w:val="15"/>
        </w:rPr>
        <w:t>, 202</w:t>
      </w:r>
      <w:r w:rsidR="00D068D4">
        <w:rPr>
          <w:rFonts w:ascii="Arial Black" w:hAnsi="Arial Black"/>
          <w:caps/>
          <w:sz w:val="15"/>
          <w:szCs w:val="15"/>
        </w:rPr>
        <w:t>5</w:t>
      </w:r>
    </w:p>
    <w:bookmarkEnd w:id="2"/>
    <w:p w14:paraId="2D8A3074" w14:textId="77777777" w:rsidR="008B2CC1" w:rsidRPr="00CB58FC" w:rsidRDefault="003F4808" w:rsidP="003F4808">
      <w:pPr>
        <w:spacing w:after="720"/>
        <w:rPr>
          <w:b/>
          <w:sz w:val="28"/>
          <w:szCs w:val="28"/>
        </w:rPr>
      </w:pPr>
      <w:r w:rsidRPr="00CB58FC">
        <w:rPr>
          <w:b/>
          <w:sz w:val="28"/>
          <w:szCs w:val="28"/>
        </w:rPr>
        <w:t>Standing Committee on Copyright and Related Rights</w:t>
      </w:r>
    </w:p>
    <w:p w14:paraId="2971A2D7" w14:textId="77777777" w:rsidR="008B2CC1" w:rsidRPr="00CB58FC" w:rsidRDefault="003F4808" w:rsidP="008B2CC1">
      <w:pPr>
        <w:rPr>
          <w:b/>
          <w:sz w:val="24"/>
          <w:szCs w:val="24"/>
        </w:rPr>
      </w:pPr>
      <w:r w:rsidRPr="00CB58FC">
        <w:rPr>
          <w:b/>
          <w:sz w:val="24"/>
          <w:szCs w:val="24"/>
        </w:rPr>
        <w:t>Forty-</w:t>
      </w:r>
      <w:r w:rsidR="00A5792C" w:rsidRPr="00CB58FC">
        <w:rPr>
          <w:b/>
          <w:sz w:val="24"/>
          <w:szCs w:val="24"/>
        </w:rPr>
        <w:t>Fifth</w:t>
      </w:r>
      <w:r w:rsidR="00BD4BB6" w:rsidRPr="00CB58FC">
        <w:rPr>
          <w:b/>
          <w:sz w:val="24"/>
          <w:szCs w:val="24"/>
        </w:rPr>
        <w:t xml:space="preserve"> </w:t>
      </w:r>
      <w:r w:rsidRPr="00CB58FC">
        <w:rPr>
          <w:b/>
          <w:sz w:val="24"/>
          <w:szCs w:val="24"/>
        </w:rPr>
        <w:t>Session</w:t>
      </w:r>
    </w:p>
    <w:p w14:paraId="0780DDA3" w14:textId="77777777" w:rsidR="008B2CC1" w:rsidRPr="00CB58FC" w:rsidRDefault="003F4808" w:rsidP="00CE65D4">
      <w:pPr>
        <w:spacing w:after="720"/>
      </w:pPr>
      <w:r w:rsidRPr="00CB58FC">
        <w:rPr>
          <w:b/>
          <w:sz w:val="24"/>
          <w:szCs w:val="24"/>
        </w:rPr>
        <w:t xml:space="preserve">Geneva, </w:t>
      </w:r>
      <w:r w:rsidR="00A5792C" w:rsidRPr="00CB58FC">
        <w:rPr>
          <w:b/>
          <w:sz w:val="24"/>
          <w:szCs w:val="24"/>
        </w:rPr>
        <w:t>April 15</w:t>
      </w:r>
      <w:r w:rsidR="00FA7EAE" w:rsidRPr="00CB58FC">
        <w:rPr>
          <w:b/>
          <w:sz w:val="24"/>
          <w:szCs w:val="24"/>
        </w:rPr>
        <w:t xml:space="preserve"> to </w:t>
      </w:r>
      <w:r w:rsidR="00A5792C" w:rsidRPr="00CB58FC">
        <w:rPr>
          <w:b/>
          <w:sz w:val="24"/>
          <w:szCs w:val="24"/>
        </w:rPr>
        <w:t>19</w:t>
      </w:r>
      <w:r w:rsidR="00FA7EAE" w:rsidRPr="00CB58FC">
        <w:rPr>
          <w:b/>
          <w:sz w:val="24"/>
          <w:szCs w:val="24"/>
        </w:rPr>
        <w:t>, 202</w:t>
      </w:r>
      <w:r w:rsidR="00A5792C" w:rsidRPr="00CB58FC">
        <w:rPr>
          <w:b/>
          <w:sz w:val="24"/>
          <w:szCs w:val="24"/>
        </w:rPr>
        <w:t>4</w:t>
      </w:r>
    </w:p>
    <w:p w14:paraId="75C36D49" w14:textId="555A7447" w:rsidR="003D6031" w:rsidRPr="00CB58FC" w:rsidRDefault="003D6031" w:rsidP="00CE65D4">
      <w:pPr>
        <w:spacing w:after="360"/>
        <w:rPr>
          <w:caps/>
          <w:sz w:val="24"/>
        </w:rPr>
      </w:pPr>
      <w:bookmarkStart w:id="3" w:name="TitleOfDoc"/>
      <w:r w:rsidRPr="00CB58FC">
        <w:rPr>
          <w:caps/>
          <w:sz w:val="24"/>
        </w:rPr>
        <w:t xml:space="preserve">WIPO TOOLKIT ON ARTIST’S RESALE RIGHT </w:t>
      </w:r>
      <w:bookmarkStart w:id="4" w:name="_Hlk190855181"/>
      <w:r w:rsidRPr="00CB58FC">
        <w:rPr>
          <w:caps/>
          <w:sz w:val="24"/>
        </w:rPr>
        <w:t>(PART II)</w:t>
      </w:r>
      <w:bookmarkEnd w:id="4"/>
    </w:p>
    <w:p w14:paraId="654476C3" w14:textId="77777777" w:rsidR="008B2CC1" w:rsidRPr="00CB58FC" w:rsidRDefault="008B2CC1" w:rsidP="00CE65D4">
      <w:pPr>
        <w:spacing w:after="360"/>
        <w:rPr>
          <w:caps/>
          <w:sz w:val="24"/>
        </w:rPr>
      </w:pPr>
    </w:p>
    <w:p w14:paraId="0E8D10C0" w14:textId="77777777" w:rsidR="008B2CC1" w:rsidRPr="00CB58FC" w:rsidRDefault="003D6031" w:rsidP="00CE65D4">
      <w:pPr>
        <w:spacing w:after="960"/>
        <w:rPr>
          <w:i/>
        </w:rPr>
      </w:pPr>
      <w:bookmarkStart w:id="5" w:name="Prepared"/>
      <w:bookmarkEnd w:id="3"/>
      <w:r w:rsidRPr="00CB58FC">
        <w:rPr>
          <w:i/>
        </w:rPr>
        <w:t>prepared by Professor Sam Ricketson</w:t>
      </w:r>
    </w:p>
    <w:bookmarkEnd w:id="5"/>
    <w:p w14:paraId="54C85D88" w14:textId="34A4ADC5" w:rsidR="003D6031" w:rsidRPr="00CB58FC" w:rsidRDefault="003D6031">
      <w:r w:rsidRPr="00CB58FC">
        <w:br w:type="page"/>
      </w:r>
    </w:p>
    <w:p w14:paraId="19043C6C" w14:textId="2DC21D63" w:rsidR="003D6031" w:rsidRPr="00CB58FC" w:rsidRDefault="003D6031" w:rsidP="003D6031">
      <w:pPr>
        <w:pStyle w:val="Title"/>
        <w:jc w:val="left"/>
        <w:rPr>
          <w:rFonts w:ascii="Arial" w:hAnsi="Arial" w:cs="Arial"/>
        </w:rPr>
      </w:pPr>
      <w:r w:rsidRPr="00CB58FC">
        <w:rPr>
          <w:rFonts w:ascii="Arial" w:hAnsi="Arial" w:cs="Arial"/>
        </w:rPr>
        <w:lastRenderedPageBreak/>
        <w:t>Toolkit on Art Resale Royalty Right Part II</w:t>
      </w:r>
    </w:p>
    <w:p w14:paraId="528EBE38" w14:textId="77777777" w:rsidR="003D6031" w:rsidRPr="00CB58FC" w:rsidRDefault="003D6031" w:rsidP="003D6031">
      <w:pPr>
        <w:pStyle w:val="Heading3"/>
      </w:pPr>
    </w:p>
    <w:p w14:paraId="49245305" w14:textId="77777777" w:rsidR="003D6031" w:rsidRPr="00CB58FC" w:rsidRDefault="003D6031" w:rsidP="003D6031">
      <w:pPr>
        <w:pStyle w:val="Heading2"/>
        <w:rPr>
          <w:b/>
          <w:bCs w:val="0"/>
          <w:szCs w:val="22"/>
        </w:rPr>
      </w:pPr>
      <w:r w:rsidRPr="00CB58FC">
        <w:rPr>
          <w:b/>
          <w:bCs w:val="0"/>
          <w:szCs w:val="22"/>
        </w:rPr>
        <w:t>ABBREVIATIONS USED IN THIS PART:</w:t>
      </w:r>
    </w:p>
    <w:p w14:paraId="1191B725" w14:textId="77777777" w:rsidR="003D6031" w:rsidRPr="00CB58FC" w:rsidRDefault="003D6031" w:rsidP="003D6031"/>
    <w:p w14:paraId="1E2BAF21" w14:textId="77777777" w:rsidR="003D6031" w:rsidRPr="00CB58FC" w:rsidRDefault="003D6031" w:rsidP="003D6031">
      <w:pPr>
        <w:ind w:left="720"/>
      </w:pPr>
      <w:r w:rsidRPr="00CB58FC">
        <w:t>ARR:</w:t>
      </w:r>
      <w:r w:rsidRPr="00CB58FC">
        <w:tab/>
        <w:t>Art Resale Royalty</w:t>
      </w:r>
    </w:p>
    <w:p w14:paraId="0CEA50AB" w14:textId="77777777" w:rsidR="003D6031" w:rsidRPr="00CB58FC" w:rsidRDefault="003D6031" w:rsidP="003D6031">
      <w:pPr>
        <w:ind w:left="720"/>
        <w:rPr>
          <w:noProof/>
        </w:rPr>
      </w:pPr>
      <w:r w:rsidRPr="00CB58FC">
        <w:t xml:space="preserve">CMO: </w:t>
      </w:r>
      <w:r w:rsidRPr="00CB58FC">
        <w:tab/>
        <w:t>Collective Management Organization</w:t>
      </w:r>
      <w:r w:rsidRPr="00CB58FC">
        <w:rPr>
          <w:rStyle w:val="FootnoteReference"/>
        </w:rPr>
        <w:footnoteReference w:id="2"/>
      </w:r>
      <w:r w:rsidRPr="00CB58FC">
        <w:t xml:space="preserve"> (collecting society)</w:t>
      </w:r>
    </w:p>
    <w:p w14:paraId="14257522" w14:textId="75CF636E" w:rsidR="003D6031" w:rsidRPr="00CB58FC" w:rsidRDefault="003D6031" w:rsidP="003D6031">
      <w:pPr>
        <w:ind w:left="720"/>
      </w:pPr>
      <w:r w:rsidRPr="00CB58FC">
        <w:t xml:space="preserve">AMP: </w:t>
      </w:r>
      <w:r w:rsidRPr="00CB58FC">
        <w:tab/>
        <w:t xml:space="preserve">Art Market Professional, </w:t>
      </w:r>
      <w:r w:rsidR="006B08BE" w:rsidRPr="00CB58FC">
        <w:t>e</w:t>
      </w:r>
      <w:r w:rsidR="002F00A7">
        <w:t>.</w:t>
      </w:r>
      <w:r w:rsidR="006B08BE" w:rsidRPr="00CB58FC">
        <w:t>g</w:t>
      </w:r>
      <w:r w:rsidR="002F00A7">
        <w:t>.</w:t>
      </w:r>
      <w:r w:rsidRPr="00CB58FC">
        <w:t xml:space="preserve"> Art Dealer, Gallery, Art Auction</w:t>
      </w:r>
      <w:r w:rsidR="006B08BE" w:rsidRPr="00CB58FC">
        <w:t xml:space="preserve"> House</w:t>
      </w:r>
    </w:p>
    <w:p w14:paraId="7C0B57FD" w14:textId="3F04842B" w:rsidR="003D6031" w:rsidRPr="00CB58FC" w:rsidRDefault="003D6031" w:rsidP="003D6031">
      <w:pPr>
        <w:ind w:left="720"/>
      </w:pPr>
      <w:r w:rsidRPr="00CB58FC">
        <w:t>IT:</w:t>
      </w:r>
      <w:r w:rsidRPr="00CB58FC">
        <w:tab/>
      </w:r>
      <w:r w:rsidR="001A2165" w:rsidRPr="00CB58FC">
        <w:tab/>
      </w:r>
      <w:r w:rsidRPr="00CB58FC">
        <w:t>Information Technology</w:t>
      </w:r>
    </w:p>
    <w:p w14:paraId="5A3B7F6B" w14:textId="51F0AE0F" w:rsidR="003D6031" w:rsidRPr="00CB58FC" w:rsidRDefault="003D6031" w:rsidP="003D6031">
      <w:pPr>
        <w:ind w:left="720"/>
      </w:pPr>
      <w:r w:rsidRPr="00CB58FC">
        <w:t>AI:</w:t>
      </w:r>
      <w:r w:rsidRPr="00CB58FC">
        <w:tab/>
      </w:r>
      <w:r w:rsidR="001A2165" w:rsidRPr="00CB58FC">
        <w:tab/>
      </w:r>
      <w:r w:rsidRPr="00CB58FC">
        <w:t xml:space="preserve">Artificial Intelligence </w:t>
      </w:r>
    </w:p>
    <w:p w14:paraId="3794051D" w14:textId="77777777" w:rsidR="003D6031" w:rsidRPr="00CB58FC" w:rsidRDefault="003D6031" w:rsidP="003D6031">
      <w:pPr>
        <w:ind w:left="720"/>
      </w:pPr>
      <w:r w:rsidRPr="00CB58FC">
        <w:t>NFT:</w:t>
      </w:r>
      <w:r w:rsidRPr="00CB58FC">
        <w:tab/>
        <w:t>Non-Fungible Token</w:t>
      </w:r>
    </w:p>
    <w:p w14:paraId="4494E9D3" w14:textId="77777777" w:rsidR="003D6031" w:rsidRPr="00CB58FC" w:rsidRDefault="003D6031" w:rsidP="003D6031">
      <w:pPr>
        <w:ind w:left="720"/>
      </w:pPr>
      <w:r w:rsidRPr="00CB58FC">
        <w:t>Other abbreviations (for CMOs and non-governmental organizations): see Appendix 3</w:t>
      </w:r>
    </w:p>
    <w:p w14:paraId="1FDB17A6" w14:textId="77777777" w:rsidR="003D6031" w:rsidRPr="00CB58FC" w:rsidRDefault="003D6031" w:rsidP="003D6031">
      <w:pPr>
        <w:ind w:left="720"/>
      </w:pPr>
    </w:p>
    <w:p w14:paraId="33270689" w14:textId="77777777" w:rsidR="003D6031" w:rsidRPr="00CB58FC" w:rsidRDefault="003D6031" w:rsidP="003D6031">
      <w:pPr>
        <w:pStyle w:val="Heading2"/>
        <w:rPr>
          <w:b/>
          <w:bCs w:val="0"/>
          <w:szCs w:val="22"/>
        </w:rPr>
      </w:pPr>
      <w:r w:rsidRPr="00CB58FC">
        <w:rPr>
          <w:b/>
          <w:bCs w:val="0"/>
          <w:szCs w:val="22"/>
        </w:rPr>
        <w:t>INTRODUCTION AND OVERVIEW</w:t>
      </w:r>
    </w:p>
    <w:p w14:paraId="7B327754" w14:textId="77777777" w:rsidR="003D6031" w:rsidRPr="00CB58FC" w:rsidRDefault="003D6031" w:rsidP="003D6031"/>
    <w:p w14:paraId="5A18CF3E" w14:textId="11A708CA" w:rsidR="003D6031" w:rsidRPr="00CB58FC" w:rsidRDefault="003D6031" w:rsidP="003D6031">
      <w:pPr>
        <w:pStyle w:val="ListParagraph"/>
        <w:numPr>
          <w:ilvl w:val="0"/>
          <w:numId w:val="16"/>
        </w:numPr>
        <w:rPr>
          <w:rFonts w:cs="Arial"/>
          <w:lang w:val="en-US"/>
        </w:rPr>
      </w:pPr>
      <w:r w:rsidRPr="00CB58FC">
        <w:rPr>
          <w:rFonts w:cs="Arial"/>
          <w:lang w:val="en-US"/>
        </w:rPr>
        <w:t>This Part of the Toolkit deals with the practicalities of administering an ARR scheme at the national level. In no way is this intended to be prescriptive or normative</w:t>
      </w:r>
      <w:r w:rsidR="0029559E" w:rsidRPr="00CB58FC">
        <w:rPr>
          <w:rFonts w:cs="Arial"/>
          <w:lang w:val="en-US"/>
        </w:rPr>
        <w:t>; rather, it seeks simply to provide some guidelines and ‘tools’ that national law and policymakers may find helpful</w:t>
      </w:r>
      <w:r w:rsidRPr="00CB58FC">
        <w:rPr>
          <w:rFonts w:cs="Arial"/>
          <w:lang w:val="en-US"/>
        </w:rPr>
        <w:t xml:space="preserve"> and that are derived from some of the practical experiences under </w:t>
      </w:r>
      <w:r w:rsidRPr="00CB58FC">
        <w:rPr>
          <w:rFonts w:cs="Arial"/>
        </w:rPr>
        <w:t>national</w:t>
      </w:r>
      <w:r w:rsidRPr="00CB58FC">
        <w:rPr>
          <w:rFonts w:cs="Arial"/>
          <w:lang w:val="en-US"/>
        </w:rPr>
        <w:t xml:space="preserve"> laws where ARR schemes are presently in operation. </w:t>
      </w:r>
    </w:p>
    <w:p w14:paraId="2D83EAD5" w14:textId="77777777" w:rsidR="001124D4" w:rsidRPr="00CB58FC" w:rsidRDefault="001124D4" w:rsidP="0015390C">
      <w:pPr>
        <w:pStyle w:val="ListParagraph"/>
        <w:spacing w:before="120" w:after="120"/>
        <w:ind w:left="357"/>
        <w:rPr>
          <w:rFonts w:cs="Arial"/>
          <w:lang w:val="en-US"/>
        </w:rPr>
      </w:pPr>
    </w:p>
    <w:p w14:paraId="04D375F0" w14:textId="402F877C" w:rsidR="003D6031" w:rsidRPr="00CB58FC" w:rsidRDefault="003D6031" w:rsidP="001124D4">
      <w:pPr>
        <w:pStyle w:val="ListParagraph"/>
        <w:numPr>
          <w:ilvl w:val="0"/>
          <w:numId w:val="16"/>
        </w:numPr>
        <w:spacing w:before="120" w:after="120"/>
        <w:ind w:left="357"/>
        <w:rPr>
          <w:rFonts w:cs="Arial"/>
          <w:lang w:val="en-US"/>
        </w:rPr>
      </w:pPr>
      <w:r w:rsidRPr="00CB58FC">
        <w:rPr>
          <w:rFonts w:cs="Arial"/>
          <w:lang w:val="en-US"/>
        </w:rPr>
        <w:t xml:space="preserve">In preparing this Toolkit, the author has had the advantage of consultations with, and feedback from, national CMOs representing visual artists, including the very helpful responses that have been received from many of these CMOs with respect to several questionnaires: the first addressed to CMOs that are presently administering ARR schemes and the second addressed to CMOs in countries where ARR is recognized under national law but where the CMO is not yet involved in the administration of such a scheme. Copies of these questionnaires are set out in Appendices 1 and 2, and a list of national CMOs who have contributed responses and/or comments is contained in Appendix 3. </w:t>
      </w:r>
      <w:r w:rsidR="006B08BE" w:rsidRPr="00CB58FC">
        <w:rPr>
          <w:rFonts w:cs="Arial"/>
          <w:lang w:val="en-US"/>
        </w:rPr>
        <w:t xml:space="preserve">These responses </w:t>
      </w:r>
      <w:r w:rsidRPr="00CB58FC">
        <w:rPr>
          <w:rFonts w:cs="Arial"/>
          <w:lang w:val="en-US"/>
        </w:rPr>
        <w:t xml:space="preserve">have provided very useful </w:t>
      </w:r>
      <w:r w:rsidR="006B08BE" w:rsidRPr="00CB58FC">
        <w:rPr>
          <w:rFonts w:cs="Arial"/>
          <w:lang w:val="en-US"/>
        </w:rPr>
        <w:t xml:space="preserve">suggestions </w:t>
      </w:r>
      <w:r w:rsidRPr="00CB58FC">
        <w:rPr>
          <w:rFonts w:cs="Arial"/>
          <w:lang w:val="en-US"/>
        </w:rPr>
        <w:t>and models which have been drawn upon in the following Part of the Toolkit</w:t>
      </w:r>
      <w:r w:rsidR="006B08BE" w:rsidRPr="00CB58FC">
        <w:rPr>
          <w:rFonts w:cs="Arial"/>
          <w:lang w:val="en-US"/>
        </w:rPr>
        <w:t>.</w:t>
      </w:r>
      <w:r w:rsidRPr="00CB58FC">
        <w:rPr>
          <w:rFonts w:cs="Arial"/>
          <w:lang w:val="en-US"/>
        </w:rPr>
        <w:t xml:space="preserve"> </w:t>
      </w:r>
      <w:r w:rsidR="006B08BE" w:rsidRPr="00CB58FC">
        <w:rPr>
          <w:rFonts w:cs="Arial"/>
          <w:lang w:val="en-US"/>
        </w:rPr>
        <w:t xml:space="preserve">However, </w:t>
      </w:r>
      <w:r w:rsidRPr="00CB58FC">
        <w:rPr>
          <w:rFonts w:cs="Arial"/>
          <w:lang w:val="en-US"/>
        </w:rPr>
        <w:t>there has been no attempt to tabulate them question by question as they reflect many different national and cultural circumstances in each country surveyed.</w:t>
      </w:r>
      <w:r w:rsidR="006B08BE" w:rsidRPr="00CB58FC">
        <w:rPr>
          <w:rStyle w:val="FootnoteReference"/>
          <w:rFonts w:cs="Arial"/>
          <w:lang w:val="en-US"/>
        </w:rPr>
        <w:footnoteReference w:id="3"/>
      </w:r>
      <w:r w:rsidRPr="00CB58FC">
        <w:rPr>
          <w:rFonts w:cs="Arial"/>
          <w:lang w:val="en-US"/>
        </w:rPr>
        <w:t xml:space="preserve"> As with the preparation of Part I of the Toolkit, there has also been extensive desk research into national laws and regulations. </w:t>
      </w:r>
    </w:p>
    <w:p w14:paraId="7B5C67D1" w14:textId="77777777" w:rsidR="001124D4" w:rsidRPr="00CB58FC" w:rsidRDefault="001124D4" w:rsidP="0015390C">
      <w:pPr>
        <w:pStyle w:val="ListParagraph"/>
        <w:spacing w:before="120" w:after="120"/>
        <w:ind w:left="357"/>
        <w:rPr>
          <w:rFonts w:cs="Arial"/>
          <w:lang w:val="en-US"/>
        </w:rPr>
      </w:pPr>
    </w:p>
    <w:p w14:paraId="3F6027B1" w14:textId="7A6D7C95" w:rsidR="003D6031" w:rsidRPr="00CB58FC" w:rsidRDefault="003D6031" w:rsidP="001124D4">
      <w:pPr>
        <w:pStyle w:val="ListParagraph"/>
        <w:numPr>
          <w:ilvl w:val="0"/>
          <w:numId w:val="16"/>
        </w:numPr>
        <w:spacing w:before="120" w:after="120"/>
        <w:ind w:left="357"/>
        <w:rPr>
          <w:rFonts w:cs="Arial"/>
          <w:lang w:val="en-US"/>
        </w:rPr>
      </w:pPr>
      <w:r w:rsidRPr="00CB58FC">
        <w:rPr>
          <w:rFonts w:cs="Arial"/>
          <w:lang w:val="en-US"/>
        </w:rPr>
        <w:t xml:space="preserve">A further word of explanation here should be given here with respect to the range of CMOs consulted in the preparation of this Part of the Toolkit. As noted in Part I, ARR is recognized in just over half of the membership of the Berne Union and in only a proportion of these countries is ARR managed by a CMO. The majority of these CMOs, moreover, are situated in Europe, principally because of the harmonizing effect of the EC Directive on ARR, although </w:t>
      </w:r>
      <w:r w:rsidRPr="00CB58FC">
        <w:rPr>
          <w:rFonts w:cs="Arial"/>
          <w:lang w:val="en-US"/>
        </w:rPr>
        <w:lastRenderedPageBreak/>
        <w:t>there are significant outliers elsewhere, such as Australia and in South America.</w:t>
      </w:r>
      <w:r w:rsidR="001A2165" w:rsidRPr="00CB58FC">
        <w:rPr>
          <w:rStyle w:val="FootnoteReference"/>
          <w:rFonts w:cs="Arial"/>
          <w:lang w:val="en-US"/>
        </w:rPr>
        <w:footnoteReference w:id="4"/>
      </w:r>
      <w:r w:rsidRPr="00CB58FC">
        <w:rPr>
          <w:rFonts w:cs="Arial"/>
          <w:lang w:val="en-US"/>
        </w:rPr>
        <w:t xml:space="preserve"> As a practical matter, this means that experience in ARR management, to date, is primarily to be derived from European models. However, art resale markets operate in all Berne countries and the artists of those countries are potentially beneficiaries of ARR – hence, it is useful for countries that have not yet legislated for ARR to draw on the experiences of those countries which have done so, </w:t>
      </w:r>
      <w:r w:rsidR="006B08BE" w:rsidRPr="00CB58FC">
        <w:rPr>
          <w:rFonts w:cs="Arial"/>
          <w:lang w:val="en-US"/>
        </w:rPr>
        <w:t xml:space="preserve">and, in particular, </w:t>
      </w:r>
      <w:r w:rsidR="001124D4" w:rsidRPr="00CB58FC">
        <w:rPr>
          <w:rFonts w:cs="Arial"/>
          <w:lang w:val="en-US"/>
        </w:rPr>
        <w:t>those</w:t>
      </w:r>
      <w:r w:rsidRPr="00CB58FC">
        <w:rPr>
          <w:rFonts w:cs="Arial"/>
          <w:lang w:val="en-US"/>
        </w:rPr>
        <w:t xml:space="preserve"> in which some form of collective management of ARR has been adopted. </w:t>
      </w:r>
    </w:p>
    <w:p w14:paraId="13E0EFAF" w14:textId="77777777" w:rsidR="001124D4" w:rsidRPr="00CB58FC" w:rsidRDefault="001124D4" w:rsidP="0015390C">
      <w:pPr>
        <w:pStyle w:val="ListParagraph"/>
        <w:spacing w:before="120" w:after="120"/>
        <w:ind w:left="357"/>
        <w:rPr>
          <w:rFonts w:cs="Arial"/>
          <w:lang w:val="en-US"/>
        </w:rPr>
      </w:pPr>
    </w:p>
    <w:p w14:paraId="66DF9148" w14:textId="05DA7882" w:rsidR="003D6031" w:rsidRPr="00CB58FC" w:rsidRDefault="003D6031" w:rsidP="003D6031">
      <w:pPr>
        <w:pStyle w:val="ListParagraph"/>
        <w:numPr>
          <w:ilvl w:val="0"/>
          <w:numId w:val="16"/>
        </w:numPr>
        <w:rPr>
          <w:rFonts w:cs="Arial"/>
          <w:lang w:val="en-US"/>
        </w:rPr>
      </w:pPr>
      <w:r w:rsidRPr="00CB58FC">
        <w:rPr>
          <w:rFonts w:cs="Arial"/>
          <w:lang w:val="en-US"/>
        </w:rPr>
        <w:t>In this regard, it is helpful to bear in mind that while there are several countries in Europe that have significant art resale markets, for example, the UK, France, Germany, Italy</w:t>
      </w:r>
      <w:r w:rsidR="0029559E" w:rsidRPr="00CB58FC">
        <w:rPr>
          <w:rFonts w:cs="Arial"/>
          <w:lang w:val="en-US"/>
        </w:rPr>
        <w:t>,</w:t>
      </w:r>
      <w:r w:rsidRPr="00CB58FC">
        <w:rPr>
          <w:rFonts w:cs="Arial"/>
          <w:lang w:val="en-US"/>
        </w:rPr>
        <w:t xml:space="preserve"> and Spain, there are also many EU countries that have smaller markets that are comparable in size to those in </w:t>
      </w:r>
      <w:r w:rsidR="001124D4" w:rsidRPr="00CB58FC">
        <w:rPr>
          <w:rFonts w:cs="Arial"/>
          <w:lang w:val="en-US"/>
        </w:rPr>
        <w:t xml:space="preserve">countries in </w:t>
      </w:r>
      <w:r w:rsidRPr="00CB58FC">
        <w:rPr>
          <w:rFonts w:cs="Arial"/>
          <w:lang w:val="en-US"/>
        </w:rPr>
        <w:t xml:space="preserve">other parts of the globe. Hence, the experience of CMOs in those smaller countries may be particularly instructive to legislators and </w:t>
      </w:r>
      <w:r w:rsidR="0029559E" w:rsidRPr="00CB58FC">
        <w:rPr>
          <w:rFonts w:cs="Arial"/>
          <w:lang w:val="en-US"/>
        </w:rPr>
        <w:t>policymakers</w:t>
      </w:r>
      <w:r w:rsidRPr="00CB58FC">
        <w:rPr>
          <w:rFonts w:cs="Arial"/>
          <w:lang w:val="en-US"/>
        </w:rPr>
        <w:t xml:space="preserve"> who are seeking to promote ARR within their own countries. As will be seen below, CMOs in countries with larger markets have also been very proactive in helping CMOs in countries that have been undertaking these efforts; in this regard, CISAC and EVA have also been very involved, while such legislative and policy assistance is, of course, part of the overall mandate of WIPO.             </w:t>
      </w:r>
    </w:p>
    <w:p w14:paraId="29D56B26" w14:textId="77777777" w:rsidR="003D6031" w:rsidRPr="00CB58FC" w:rsidRDefault="003D6031" w:rsidP="003D6031">
      <w:pPr>
        <w:pStyle w:val="Heading2"/>
        <w:rPr>
          <w:b/>
          <w:bCs w:val="0"/>
          <w:szCs w:val="22"/>
        </w:rPr>
      </w:pPr>
      <w:r w:rsidRPr="00CB58FC">
        <w:rPr>
          <w:b/>
          <w:bCs w:val="0"/>
          <w:szCs w:val="22"/>
        </w:rPr>
        <w:t>ENFORCEMENT OF ARR – INDIVIDUAL AND COLLECTIVE MANAGEMENT</w:t>
      </w:r>
    </w:p>
    <w:p w14:paraId="7B7C4B2C" w14:textId="77777777" w:rsidR="003D6031" w:rsidRPr="00CB58FC" w:rsidRDefault="003D6031" w:rsidP="003D6031"/>
    <w:p w14:paraId="6A5CC3EE" w14:textId="670FA73C" w:rsidR="003D6031" w:rsidRPr="00CB58FC" w:rsidRDefault="003D6031" w:rsidP="003D6031">
      <w:pPr>
        <w:pStyle w:val="ListParagraph"/>
        <w:numPr>
          <w:ilvl w:val="0"/>
          <w:numId w:val="16"/>
        </w:numPr>
        <w:rPr>
          <w:rFonts w:cs="Arial"/>
          <w:lang w:val="en-US"/>
        </w:rPr>
      </w:pPr>
      <w:r w:rsidRPr="00CB58FC">
        <w:rPr>
          <w:rFonts w:cs="Arial"/>
          <w:lang w:val="en-US"/>
        </w:rPr>
        <w:t>As a starting point, it should be reiterated that under international law, that is, article 14</w:t>
      </w:r>
      <w:r w:rsidRPr="00CB58FC">
        <w:rPr>
          <w:rFonts w:cs="Arial"/>
          <w:i/>
          <w:iCs/>
          <w:lang w:val="en-US"/>
        </w:rPr>
        <w:t>ter</w:t>
      </w:r>
      <w:r w:rsidRPr="00CB58FC">
        <w:rPr>
          <w:rFonts w:cs="Arial"/>
          <w:lang w:val="en-US"/>
        </w:rPr>
        <w:t xml:space="preserve"> of the Berne Convention, there is no </w:t>
      </w:r>
      <w:r w:rsidR="002373DE" w:rsidRPr="00CB58FC">
        <w:rPr>
          <w:rFonts w:cs="Arial"/>
          <w:lang w:val="en-US"/>
        </w:rPr>
        <w:t xml:space="preserve">obligation for Berne members to recognize </w:t>
      </w:r>
      <w:r w:rsidRPr="00CB58FC">
        <w:rPr>
          <w:rFonts w:cs="Arial"/>
          <w:lang w:val="en-US"/>
        </w:rPr>
        <w:t>ARR</w:t>
      </w:r>
      <w:r w:rsidR="002373DE" w:rsidRPr="00CB58FC">
        <w:rPr>
          <w:rFonts w:cs="Arial"/>
          <w:lang w:val="en-US"/>
        </w:rPr>
        <w:t xml:space="preserve"> or, if recognized, there is no prescription </w:t>
      </w:r>
      <w:r w:rsidR="002B50F0" w:rsidRPr="00CB58FC">
        <w:rPr>
          <w:rFonts w:cs="Arial"/>
          <w:lang w:val="en-US"/>
        </w:rPr>
        <w:t xml:space="preserve">as to how it </w:t>
      </w:r>
      <w:r w:rsidRPr="00CB58FC">
        <w:rPr>
          <w:rFonts w:cs="Arial"/>
          <w:lang w:val="en-US"/>
        </w:rPr>
        <w:t>is to be enforced at the national level. It should also be noted that, unlike the other authors’ rights enshrined in Berne, this is not characterized as an ’exclusive’ right but rather as a right to remuneration</w:t>
      </w:r>
      <w:r w:rsidR="00577BFE" w:rsidRPr="00CB58FC">
        <w:rPr>
          <w:rFonts w:cs="Arial"/>
          <w:lang w:val="en-US"/>
        </w:rPr>
        <w:t xml:space="preserve"> or payment in the form of a royalty</w:t>
      </w:r>
      <w:r w:rsidRPr="00CB58FC">
        <w:rPr>
          <w:rFonts w:cs="Arial"/>
          <w:lang w:val="en-US"/>
        </w:rPr>
        <w:t>,</w:t>
      </w:r>
      <w:r w:rsidR="002E0632" w:rsidRPr="00CB58FC">
        <w:rPr>
          <w:rStyle w:val="FootnoteReference"/>
          <w:rFonts w:cs="Arial"/>
          <w:lang w:val="en-US"/>
        </w:rPr>
        <w:footnoteReference w:id="5"/>
      </w:r>
      <w:r w:rsidRPr="00CB58FC">
        <w:rPr>
          <w:rFonts w:cs="Arial"/>
          <w:lang w:val="en-US"/>
        </w:rPr>
        <w:t xml:space="preserve"> albeit one of a special kind in that it is framed as an inalienable right</w:t>
      </w:r>
      <w:r w:rsidR="00577BFE" w:rsidRPr="00CB58FC">
        <w:rPr>
          <w:rFonts w:cs="Arial"/>
          <w:lang w:val="en-US"/>
        </w:rPr>
        <w:t xml:space="preserve"> to an ‘interest’ in any sale of the work subsequent to the first transfer by the author of the work</w:t>
      </w:r>
      <w:r w:rsidRPr="00CB58FC">
        <w:rPr>
          <w:rFonts w:cs="Arial"/>
          <w:lang w:val="en-US"/>
        </w:rPr>
        <w:t>. Apart from this, article 14</w:t>
      </w:r>
      <w:r w:rsidRPr="00CB58FC">
        <w:rPr>
          <w:rFonts w:cs="Arial"/>
          <w:i/>
          <w:iCs/>
          <w:lang w:val="en-US"/>
        </w:rPr>
        <w:t>ter</w:t>
      </w:r>
      <w:r w:rsidRPr="00CB58FC">
        <w:rPr>
          <w:rFonts w:cs="Arial"/>
          <w:lang w:val="en-US"/>
        </w:rPr>
        <w:t xml:space="preserve"> leaves it open to Berne member countries to determine whether this right is to be exercised by an individual artist</w:t>
      </w:r>
      <w:r w:rsidR="00B4312B" w:rsidRPr="00CB58FC">
        <w:rPr>
          <w:rFonts w:cs="Arial"/>
          <w:lang w:val="en-US"/>
        </w:rPr>
        <w:t>,</w:t>
      </w:r>
      <w:r w:rsidRPr="00CB58FC">
        <w:rPr>
          <w:rFonts w:cs="Arial"/>
          <w:lang w:val="en-US"/>
        </w:rPr>
        <w:t xml:space="preserve"> him or herself, or whether this may be done collectively through a CMO or, indeed, in some other way. </w:t>
      </w:r>
    </w:p>
    <w:p w14:paraId="735DE260" w14:textId="77777777" w:rsidR="001124D4" w:rsidRPr="00CB58FC" w:rsidRDefault="001124D4" w:rsidP="0015390C">
      <w:pPr>
        <w:pStyle w:val="ListParagraph"/>
        <w:ind w:left="360"/>
        <w:rPr>
          <w:rFonts w:cs="Arial"/>
          <w:lang w:val="en-US"/>
        </w:rPr>
      </w:pPr>
    </w:p>
    <w:p w14:paraId="03D55F80" w14:textId="72A9789E" w:rsidR="003D6031" w:rsidRPr="00CB58FC" w:rsidRDefault="003D6031" w:rsidP="003D6031">
      <w:pPr>
        <w:pStyle w:val="ListParagraph"/>
        <w:numPr>
          <w:ilvl w:val="0"/>
          <w:numId w:val="16"/>
        </w:numPr>
        <w:rPr>
          <w:rFonts w:cs="Arial"/>
          <w:lang w:val="en-US"/>
        </w:rPr>
      </w:pPr>
      <w:r w:rsidRPr="00CB58FC">
        <w:rPr>
          <w:rFonts w:cs="Arial"/>
          <w:lang w:val="en-US"/>
        </w:rPr>
        <w:t xml:space="preserve">In this regard, it is helpful to refer to the following description of the rationale for ‘collective management’ of copyright and related rights generally that is provided by Dr Ficsor in the </w:t>
      </w:r>
      <w:r w:rsidRPr="00CB58FC">
        <w:rPr>
          <w:rFonts w:cs="Arial"/>
          <w:i/>
          <w:iCs/>
          <w:lang w:val="en-US"/>
        </w:rPr>
        <w:t>WIPO Guide to the Copyright and Related Rights Treaties Administered by WIPO</w:t>
      </w:r>
      <w:r w:rsidRPr="00CB58FC">
        <w:rPr>
          <w:rFonts w:cs="Arial"/>
          <w:lang w:val="en-US"/>
        </w:rPr>
        <w:t xml:space="preserve">:  </w:t>
      </w:r>
    </w:p>
    <w:p w14:paraId="2BBD6367" w14:textId="77777777" w:rsidR="003D6031" w:rsidRPr="00CB58FC" w:rsidRDefault="003D6031" w:rsidP="003D6031">
      <w:pPr>
        <w:pStyle w:val="Quote"/>
        <w:ind w:left="720"/>
        <w:rPr>
          <w:rFonts w:ascii="Arial" w:eastAsiaTheme="minorHAnsi" w:hAnsi="Arial" w:cs="Arial"/>
          <w:b/>
          <w:bCs/>
          <w:color w:val="auto"/>
        </w:rPr>
      </w:pPr>
      <w:r w:rsidRPr="00CB58FC">
        <w:rPr>
          <w:rFonts w:ascii="Arial" w:eastAsiaTheme="minorHAnsi" w:hAnsi="Arial" w:cs="Arial"/>
          <w:b/>
          <w:bCs/>
          <w:color w:val="auto"/>
        </w:rPr>
        <w:t xml:space="preserve">Collective management of copyright and related rights </w:t>
      </w:r>
    </w:p>
    <w:p w14:paraId="1B9B3F36" w14:textId="77777777" w:rsidR="003D6031" w:rsidRPr="00CB58FC" w:rsidRDefault="003D6031" w:rsidP="003D6031">
      <w:pPr>
        <w:pStyle w:val="Quote"/>
        <w:ind w:left="720"/>
        <w:rPr>
          <w:rFonts w:ascii="Arial" w:eastAsiaTheme="minorHAnsi" w:hAnsi="Arial" w:cs="Arial"/>
          <w:color w:val="auto"/>
        </w:rPr>
      </w:pPr>
      <w:r w:rsidRPr="00CB58FC">
        <w:rPr>
          <w:rFonts w:ascii="Arial" w:eastAsiaTheme="minorHAnsi" w:hAnsi="Arial" w:cs="Arial"/>
          <w:color w:val="auto"/>
        </w:rPr>
        <w:t>A way of exercising copyright and related rights where the exercise of rights is impossible or highly impracticable on an individual basis. The owners of rights concerned authorize an organization to exercise their rights on their behalf; more particularly, to grant licenses, to monitor uses, to collect the corresponding remuneration, and to distribute and transfer that remuneration to those to whom it is due. The traditional concept of this term also implies that actual collectives of authors, performers and owners of rights administer the rights concerned through appropriate bodies and administrative units established by them. In the case of such collective management, usually blanket licenses are granted to users, uniform tariffs and distribution rules are established, and deductions are made from the remuneration collected not only for administration costs but also for cultural and social purposes….</w:t>
      </w:r>
    </w:p>
    <w:p w14:paraId="2DD4B776" w14:textId="77777777" w:rsidR="003D6031" w:rsidRPr="00CB58FC" w:rsidRDefault="003D6031" w:rsidP="003D6031">
      <w:pPr>
        <w:pStyle w:val="Quote"/>
        <w:ind w:left="720"/>
        <w:rPr>
          <w:rFonts w:ascii="Arial" w:eastAsiaTheme="minorHAnsi" w:hAnsi="Arial" w:cs="Arial"/>
          <w:b/>
          <w:bCs/>
          <w:color w:val="auto"/>
        </w:rPr>
      </w:pPr>
      <w:r w:rsidRPr="00CB58FC">
        <w:rPr>
          <w:rFonts w:ascii="Arial" w:eastAsiaTheme="minorHAnsi" w:hAnsi="Arial" w:cs="Arial"/>
          <w:b/>
          <w:bCs/>
          <w:color w:val="auto"/>
        </w:rPr>
        <w:lastRenderedPageBreak/>
        <w:t>Collective management organization</w:t>
      </w:r>
    </w:p>
    <w:p w14:paraId="548EF039" w14:textId="6A853D95" w:rsidR="003D6031" w:rsidRPr="00CB58FC" w:rsidRDefault="003D6031" w:rsidP="003D6031">
      <w:pPr>
        <w:pStyle w:val="Quote"/>
        <w:ind w:left="720"/>
        <w:rPr>
          <w:rFonts w:ascii="Arial" w:hAnsi="Arial" w:cs="Arial"/>
          <w:color w:val="auto"/>
          <w:lang w:val="en-US"/>
        </w:rPr>
      </w:pPr>
      <w:r w:rsidRPr="00CB58FC">
        <w:rPr>
          <w:rFonts w:ascii="Arial" w:eastAsiaTheme="minorHAnsi" w:hAnsi="Arial" w:cs="Arial"/>
          <w:color w:val="auto"/>
        </w:rPr>
        <w:t>An organization performing collective management of copyright and/or related rights.</w:t>
      </w:r>
      <w:r w:rsidRPr="00CB58FC">
        <w:rPr>
          <w:rStyle w:val="FootnoteReference"/>
          <w:rFonts w:ascii="Arial" w:eastAsiaTheme="minorHAnsi" w:hAnsi="Arial" w:cs="Arial"/>
          <w:color w:val="auto"/>
          <w:szCs w:val="20"/>
          <w14:ligatures w14:val="standardContextual"/>
        </w:rPr>
        <w:footnoteReference w:id="6"/>
      </w:r>
    </w:p>
    <w:p w14:paraId="0AA2AA0E" w14:textId="7248A265" w:rsidR="003D6031" w:rsidRPr="00CB58FC" w:rsidRDefault="003D6031" w:rsidP="003D6031">
      <w:pPr>
        <w:pStyle w:val="ListParagraph"/>
        <w:numPr>
          <w:ilvl w:val="0"/>
          <w:numId w:val="16"/>
        </w:numPr>
        <w:rPr>
          <w:rFonts w:cs="Arial"/>
          <w:lang w:val="en-US"/>
        </w:rPr>
      </w:pPr>
      <w:r w:rsidRPr="00CB58FC">
        <w:rPr>
          <w:rFonts w:cs="Arial"/>
          <w:lang w:val="en-US"/>
        </w:rPr>
        <w:t xml:space="preserve">ARR has characteristics </w:t>
      </w:r>
      <w:r w:rsidR="00C53C4E" w:rsidRPr="00CB58FC">
        <w:rPr>
          <w:rFonts w:cs="Arial"/>
          <w:lang w:val="en-US"/>
        </w:rPr>
        <w:t xml:space="preserve">that do not arise </w:t>
      </w:r>
      <w:r w:rsidRPr="00CB58FC">
        <w:rPr>
          <w:rFonts w:cs="Arial"/>
          <w:lang w:val="en-US"/>
        </w:rPr>
        <w:t>in the</w:t>
      </w:r>
      <w:r w:rsidR="00C53C4E" w:rsidRPr="00CB58FC">
        <w:rPr>
          <w:rFonts w:cs="Arial"/>
          <w:lang w:val="en-US"/>
        </w:rPr>
        <w:t xml:space="preserve"> collective</w:t>
      </w:r>
      <w:r w:rsidRPr="00CB58FC">
        <w:rPr>
          <w:rFonts w:cs="Arial"/>
          <w:lang w:val="en-US"/>
        </w:rPr>
        <w:t xml:space="preserve"> management of other authors’ rights</w:t>
      </w:r>
      <w:r w:rsidR="00C53C4E" w:rsidRPr="00CB58FC">
        <w:rPr>
          <w:rFonts w:cs="Arial"/>
          <w:lang w:val="en-US"/>
        </w:rPr>
        <w:t xml:space="preserve">. Thus, </w:t>
      </w:r>
      <w:r w:rsidRPr="00CB58FC">
        <w:rPr>
          <w:rFonts w:cs="Arial"/>
          <w:lang w:val="en-US"/>
        </w:rPr>
        <w:t xml:space="preserve">it is not a right that can be licensed </w:t>
      </w:r>
      <w:r w:rsidR="00C53C4E" w:rsidRPr="00CB58FC">
        <w:rPr>
          <w:rFonts w:cs="Arial"/>
          <w:lang w:val="en-US"/>
        </w:rPr>
        <w:t>for present and ongoing uses as in the case of</w:t>
      </w:r>
      <w:r w:rsidR="0088203B" w:rsidRPr="00CB58FC">
        <w:rPr>
          <w:rFonts w:cs="Arial"/>
          <w:lang w:val="en-US"/>
        </w:rPr>
        <w:t xml:space="preserve"> performances of</w:t>
      </w:r>
      <w:r w:rsidR="00C53C4E" w:rsidRPr="00CB58FC">
        <w:rPr>
          <w:rFonts w:cs="Arial"/>
          <w:lang w:val="en-US"/>
        </w:rPr>
        <w:t xml:space="preserve"> musical</w:t>
      </w:r>
      <w:r w:rsidR="0088203B" w:rsidRPr="00CB58FC">
        <w:rPr>
          <w:rFonts w:cs="Arial"/>
          <w:lang w:val="en-US"/>
        </w:rPr>
        <w:t xml:space="preserve"> and dramatic works or the reproduction of</w:t>
      </w:r>
      <w:r w:rsidR="00C53C4E" w:rsidRPr="00CB58FC">
        <w:rPr>
          <w:rFonts w:cs="Arial"/>
          <w:lang w:val="en-US"/>
        </w:rPr>
        <w:t xml:space="preserve"> literary works, as it is an interest in each resale that occurs and </w:t>
      </w:r>
      <w:r w:rsidR="0088203B" w:rsidRPr="00CB58FC">
        <w:rPr>
          <w:rFonts w:cs="Arial"/>
          <w:lang w:val="en-US"/>
        </w:rPr>
        <w:t>this will be the only transaction to which the ARR attaches</w:t>
      </w:r>
      <w:r w:rsidR="00C53C4E" w:rsidRPr="00CB58FC">
        <w:rPr>
          <w:rFonts w:cs="Arial"/>
          <w:lang w:val="en-US"/>
        </w:rPr>
        <w:t xml:space="preserve"> Nonetheless, </w:t>
      </w:r>
      <w:r w:rsidRPr="00CB58FC">
        <w:rPr>
          <w:rFonts w:cs="Arial"/>
          <w:lang w:val="en-US"/>
        </w:rPr>
        <w:t xml:space="preserve">collective management may </w:t>
      </w:r>
      <w:r w:rsidR="00C53C4E" w:rsidRPr="00CB58FC">
        <w:rPr>
          <w:rFonts w:cs="Arial"/>
          <w:lang w:val="en-US"/>
        </w:rPr>
        <w:t xml:space="preserve">provide a practical way in which to administer </w:t>
      </w:r>
      <w:r w:rsidRPr="00CB58FC">
        <w:rPr>
          <w:rFonts w:cs="Arial"/>
          <w:lang w:val="en-US"/>
        </w:rPr>
        <w:t xml:space="preserve">ARR, although there are variations in the way in which this may be </w:t>
      </w:r>
      <w:r w:rsidR="001124D4" w:rsidRPr="00CB58FC">
        <w:rPr>
          <w:rFonts w:cs="Arial"/>
          <w:lang w:val="en-US"/>
        </w:rPr>
        <w:t>done. None</w:t>
      </w:r>
      <w:r w:rsidRPr="00CB58FC">
        <w:rPr>
          <w:rFonts w:cs="Arial"/>
          <w:lang w:val="en-US"/>
        </w:rPr>
        <w:t xml:space="preserve"> of these different approaches is precluded by the terms of article 14</w:t>
      </w:r>
      <w:r w:rsidRPr="00CB58FC">
        <w:rPr>
          <w:rFonts w:cs="Arial"/>
          <w:i/>
          <w:iCs/>
          <w:lang w:val="en-US"/>
        </w:rPr>
        <w:t>ter</w:t>
      </w:r>
      <w:r w:rsidRPr="00CB58FC">
        <w:rPr>
          <w:rFonts w:cs="Arial"/>
          <w:lang w:val="en-US"/>
        </w:rPr>
        <w:t xml:space="preserve">, so long as there is no </w:t>
      </w:r>
      <w:r w:rsidR="00C53C4E" w:rsidRPr="00CB58FC">
        <w:rPr>
          <w:rFonts w:cs="Arial"/>
          <w:lang w:val="en-US"/>
        </w:rPr>
        <w:t xml:space="preserve">transfer </w:t>
      </w:r>
      <w:r w:rsidRPr="00CB58FC">
        <w:rPr>
          <w:rFonts w:cs="Arial"/>
          <w:lang w:val="en-US"/>
        </w:rPr>
        <w:t xml:space="preserve">of ARR. </w:t>
      </w:r>
      <w:r w:rsidRPr="00CB58FC">
        <w:rPr>
          <w:rFonts w:cs="Arial"/>
          <w:i/>
          <w:iCs/>
          <w:lang w:val="en-US"/>
        </w:rPr>
        <w:t xml:space="preserve"> </w:t>
      </w:r>
      <w:r w:rsidRPr="00CB58FC">
        <w:rPr>
          <w:rFonts w:cs="Arial"/>
          <w:lang w:val="en-US"/>
        </w:rPr>
        <w:t>For example, it might be provided that the ARR can only be exercised and collected on the artists’ behalf through a CMO (‘mandatory collective management’) or optionally (meaning that an individual artist may choose whether the artist exercises the right him- or herself or does so through a CMO). A further form of collective management, drawing on models adopted in national laws with respect to other exclusive rights, is ‘extended collective management’ in which a CMO that is substantially representative of the right holders</w:t>
      </w:r>
      <w:r w:rsidR="0088203B" w:rsidRPr="00CB58FC">
        <w:rPr>
          <w:rStyle w:val="FootnoteReference"/>
          <w:rFonts w:cs="Arial"/>
          <w:lang w:val="en-US"/>
        </w:rPr>
        <w:footnoteReference w:id="7"/>
      </w:r>
      <w:r w:rsidRPr="00CB58FC">
        <w:rPr>
          <w:rFonts w:cs="Arial"/>
          <w:lang w:val="en-US"/>
        </w:rPr>
        <w:t xml:space="preserve"> may then collect </w:t>
      </w:r>
      <w:r w:rsidR="0088203B" w:rsidRPr="00CB58FC">
        <w:rPr>
          <w:rFonts w:cs="Arial"/>
          <w:lang w:val="en-US"/>
        </w:rPr>
        <w:t xml:space="preserve">royalties </w:t>
      </w:r>
      <w:r w:rsidRPr="00CB58FC">
        <w:rPr>
          <w:rFonts w:cs="Arial"/>
          <w:lang w:val="en-US"/>
        </w:rPr>
        <w:t>on behalf of non-members, subject to various conditions, including the possibility of an opt-out provision by individual right holders.</w:t>
      </w:r>
      <w:r w:rsidRPr="00CB58FC">
        <w:rPr>
          <w:rStyle w:val="FootnoteReference"/>
          <w:rFonts w:cs="Arial"/>
          <w:lang w:val="en-US"/>
        </w:rPr>
        <w:footnoteReference w:id="8"/>
      </w:r>
    </w:p>
    <w:p w14:paraId="115972F8" w14:textId="77777777" w:rsidR="001124D4" w:rsidRPr="00CB58FC" w:rsidRDefault="001124D4" w:rsidP="0015390C">
      <w:pPr>
        <w:pStyle w:val="ListParagraph"/>
        <w:ind w:left="360"/>
        <w:rPr>
          <w:rFonts w:cs="Arial"/>
          <w:lang w:val="en-US"/>
        </w:rPr>
      </w:pPr>
    </w:p>
    <w:p w14:paraId="1D628B6B" w14:textId="1D08D8EF" w:rsidR="003D6031" w:rsidRPr="00CB58FC" w:rsidRDefault="003D6031" w:rsidP="003D6031">
      <w:pPr>
        <w:pStyle w:val="ListParagraph"/>
        <w:numPr>
          <w:ilvl w:val="0"/>
          <w:numId w:val="16"/>
        </w:numPr>
        <w:rPr>
          <w:rFonts w:cs="Arial"/>
          <w:lang w:val="en-US"/>
        </w:rPr>
      </w:pPr>
      <w:r w:rsidRPr="00CB58FC">
        <w:rPr>
          <w:rFonts w:cs="Arial"/>
          <w:lang w:val="en-US"/>
        </w:rPr>
        <w:t>There is no ‘right’ or ‘wrong’ approach to the question of whether collective management – mandatory, optional or extended – is adopted in a national ARR scheme in view of the latitude allowed under art 14</w:t>
      </w:r>
      <w:r w:rsidRPr="00CB58FC">
        <w:rPr>
          <w:rFonts w:cs="Arial"/>
          <w:i/>
          <w:iCs/>
          <w:lang w:val="en-US"/>
        </w:rPr>
        <w:t>ter</w:t>
      </w:r>
      <w:r w:rsidRPr="00CB58FC">
        <w:rPr>
          <w:rFonts w:cs="Arial"/>
          <w:lang w:val="en-US"/>
        </w:rPr>
        <w:t>(3), Berne Convention.</w:t>
      </w:r>
      <w:r w:rsidR="002D2FDF" w:rsidRPr="00CB58FC">
        <w:rPr>
          <w:rFonts w:cs="Arial"/>
          <w:lang w:val="en-US"/>
        </w:rPr>
        <w:t xml:space="preserve"> However, there are some general observations that may be made in this regard that may be of assistance to national policy and </w:t>
      </w:r>
      <w:r w:rsidR="00B4312B" w:rsidRPr="00CB58FC">
        <w:rPr>
          <w:rFonts w:cs="Arial"/>
          <w:lang w:val="en-US"/>
        </w:rPr>
        <w:t>lawmakers</w:t>
      </w:r>
      <w:r w:rsidR="002D2FDF" w:rsidRPr="00CB58FC">
        <w:rPr>
          <w:rFonts w:cs="Arial"/>
          <w:lang w:val="en-US"/>
        </w:rPr>
        <w:t xml:space="preserve"> in formulating an ARR scheme of protection</w:t>
      </w:r>
      <w:r w:rsidR="001124D4" w:rsidRPr="00CB58FC">
        <w:rPr>
          <w:rFonts w:cs="Arial"/>
          <w:lang w:val="en-US"/>
        </w:rPr>
        <w:t>:</w:t>
      </w:r>
      <w:r w:rsidRPr="00CB58FC">
        <w:rPr>
          <w:rFonts w:cs="Arial"/>
          <w:lang w:val="en-US"/>
        </w:rPr>
        <w:t> </w:t>
      </w:r>
    </w:p>
    <w:p w14:paraId="688B416A" w14:textId="77FD5748" w:rsidR="003D6031" w:rsidRPr="00CB58FC" w:rsidRDefault="003D6031" w:rsidP="003D6031">
      <w:pPr>
        <w:pStyle w:val="ListParagraph"/>
        <w:numPr>
          <w:ilvl w:val="1"/>
          <w:numId w:val="16"/>
        </w:numPr>
        <w:rPr>
          <w:rFonts w:cs="Arial"/>
          <w:lang w:val="en-US"/>
        </w:rPr>
      </w:pPr>
      <w:r w:rsidRPr="00CB58FC">
        <w:rPr>
          <w:rFonts w:cs="Arial"/>
          <w:lang w:val="en-US"/>
        </w:rPr>
        <w:t xml:space="preserve">If ARR is left simply as a matter for individual enforcement, it is likely that </w:t>
      </w:r>
      <w:r w:rsidR="003708C5" w:rsidRPr="00CB58FC">
        <w:rPr>
          <w:rFonts w:cs="Arial"/>
          <w:lang w:val="en-US"/>
        </w:rPr>
        <w:t>most</w:t>
      </w:r>
      <w:r w:rsidRPr="00CB58FC">
        <w:rPr>
          <w:rFonts w:cs="Arial"/>
          <w:lang w:val="en-US"/>
        </w:rPr>
        <w:t xml:space="preserve"> affected artists will be unable to administer and enforce the right themselves: this, indeed, is the basic argument in </w:t>
      </w:r>
      <w:r w:rsidR="00B4312B" w:rsidRPr="00CB58FC">
        <w:rPr>
          <w:rFonts w:cs="Arial"/>
          <w:lang w:val="en-US"/>
        </w:rPr>
        <w:t>favor</w:t>
      </w:r>
      <w:r w:rsidRPr="00CB58FC">
        <w:rPr>
          <w:rFonts w:cs="Arial"/>
          <w:lang w:val="en-US"/>
        </w:rPr>
        <w:t xml:space="preserve"> of some kind of collective management of many exclusive rights, as the long history of CMOs in the music</w:t>
      </w:r>
      <w:r w:rsidR="00BE0B30" w:rsidRPr="00CB58FC">
        <w:rPr>
          <w:rFonts w:cs="Arial"/>
          <w:lang w:val="en-US"/>
        </w:rPr>
        <w:t>al</w:t>
      </w:r>
      <w:r w:rsidRPr="00CB58FC">
        <w:rPr>
          <w:rFonts w:cs="Arial"/>
          <w:lang w:val="en-US"/>
        </w:rPr>
        <w:t xml:space="preserve"> and literary areas demonstrates. While there may be a handful of </w:t>
      </w:r>
      <w:r w:rsidR="00E7234F" w:rsidRPr="00CB58FC">
        <w:rPr>
          <w:rFonts w:cs="Arial"/>
          <w:lang w:val="en-US"/>
        </w:rPr>
        <w:t xml:space="preserve">commercially successful </w:t>
      </w:r>
      <w:r w:rsidRPr="00CB58FC">
        <w:rPr>
          <w:rFonts w:cs="Arial"/>
          <w:lang w:val="en-US"/>
        </w:rPr>
        <w:t xml:space="preserve">artists who would have the resources to do this themselves in the case of </w:t>
      </w:r>
      <w:commentRangeStart w:id="6"/>
      <w:commentRangeStart w:id="7"/>
      <w:r w:rsidRPr="00CB58FC">
        <w:rPr>
          <w:rFonts w:cs="Arial"/>
          <w:lang w:val="en-US"/>
        </w:rPr>
        <w:t>ARR</w:t>
      </w:r>
      <w:r w:rsidR="00E7234F" w:rsidRPr="00CB58FC">
        <w:rPr>
          <w:rFonts w:cs="Arial"/>
          <w:lang w:val="en-US"/>
        </w:rPr>
        <w:t>,</w:t>
      </w:r>
      <w:r w:rsidRPr="00CB58FC">
        <w:rPr>
          <w:rFonts w:cs="Arial"/>
          <w:lang w:val="en-US"/>
        </w:rPr>
        <w:t xml:space="preserve"> they </w:t>
      </w:r>
      <w:commentRangeEnd w:id="6"/>
      <w:r w:rsidR="00244F42">
        <w:rPr>
          <w:rStyle w:val="CommentReference"/>
          <w:rFonts w:eastAsia="SimSun" w:cs="Arial"/>
          <w:lang w:val="en-US" w:eastAsia="zh-CN"/>
        </w:rPr>
        <w:commentReference w:id="6"/>
      </w:r>
      <w:commentRangeEnd w:id="7"/>
      <w:r w:rsidR="007F3796">
        <w:rPr>
          <w:rStyle w:val="CommentReference"/>
          <w:rFonts w:eastAsia="SimSun" w:cs="Arial"/>
          <w:lang w:val="en-US" w:eastAsia="zh-CN"/>
        </w:rPr>
        <w:commentReference w:id="7"/>
      </w:r>
      <w:r w:rsidRPr="00CB58FC">
        <w:rPr>
          <w:rFonts w:cs="Arial"/>
          <w:lang w:val="en-US"/>
        </w:rPr>
        <w:t>will be the exception rather than the rule.</w:t>
      </w:r>
      <w:r w:rsidR="00E7234F" w:rsidRPr="00CB58FC">
        <w:rPr>
          <w:rStyle w:val="FootnoteReference"/>
          <w:rFonts w:cs="Arial"/>
          <w:lang w:val="en-US"/>
        </w:rPr>
        <w:footnoteReference w:id="9"/>
      </w:r>
      <w:r w:rsidR="00E7234F" w:rsidRPr="00CB58FC">
        <w:rPr>
          <w:rFonts w:cs="Arial"/>
          <w:lang w:val="en-US"/>
        </w:rPr>
        <w:t xml:space="preserve"> </w:t>
      </w:r>
    </w:p>
    <w:p w14:paraId="41596C87" w14:textId="70F97365" w:rsidR="003D6031" w:rsidRPr="00CB58FC" w:rsidRDefault="003D6031" w:rsidP="003D6031">
      <w:pPr>
        <w:pStyle w:val="ListParagraph"/>
        <w:numPr>
          <w:ilvl w:val="1"/>
          <w:numId w:val="16"/>
        </w:numPr>
        <w:rPr>
          <w:rFonts w:cs="Arial"/>
          <w:lang w:val="en-US"/>
        </w:rPr>
      </w:pPr>
      <w:r w:rsidRPr="00CB58FC">
        <w:rPr>
          <w:rFonts w:cs="Arial"/>
          <w:lang w:val="en-US"/>
        </w:rPr>
        <w:t xml:space="preserve">It is worth reiterating that ARR differs from other exclusive rights of authors in that it is framed as a right to </w:t>
      </w:r>
      <w:r w:rsidR="00E7234F" w:rsidRPr="00CB58FC">
        <w:rPr>
          <w:rFonts w:cs="Arial"/>
          <w:lang w:val="en-US"/>
        </w:rPr>
        <w:t xml:space="preserve">an interest </w:t>
      </w:r>
      <w:r w:rsidRPr="00CB58FC">
        <w:rPr>
          <w:rFonts w:cs="Arial"/>
          <w:lang w:val="en-US"/>
        </w:rPr>
        <w:t xml:space="preserve">only </w:t>
      </w:r>
      <w:r w:rsidR="00E7234F" w:rsidRPr="00CB58FC">
        <w:rPr>
          <w:rFonts w:cs="Arial"/>
          <w:lang w:val="en-US"/>
        </w:rPr>
        <w:t xml:space="preserve">in the resale of the work </w:t>
      </w:r>
      <w:r w:rsidRPr="00CB58FC">
        <w:rPr>
          <w:rFonts w:cs="Arial"/>
          <w:lang w:val="en-US"/>
        </w:rPr>
        <w:t xml:space="preserve">as distinct from an exclusive right to the use of a work that may then be licensed on a continuing basis to third parties, sometimes at rates set by legislation – or not licensed at all, if the right </w:t>
      </w:r>
      <w:r w:rsidRPr="00CB58FC">
        <w:rPr>
          <w:rFonts w:cs="Arial"/>
          <w:lang w:val="en-US"/>
        </w:rPr>
        <w:lastRenderedPageBreak/>
        <w:t>holder decides to withhold permission.</w:t>
      </w:r>
      <w:r w:rsidR="0002233E" w:rsidRPr="00CB58FC">
        <w:rPr>
          <w:rStyle w:val="FootnoteReference"/>
          <w:rFonts w:cs="Arial"/>
          <w:lang w:val="en-US"/>
        </w:rPr>
        <w:footnoteReference w:id="10"/>
      </w:r>
      <w:r w:rsidRPr="00CB58FC">
        <w:rPr>
          <w:rFonts w:cs="Arial"/>
          <w:lang w:val="en-US"/>
        </w:rPr>
        <w:t xml:space="preserve"> This gives ARR a distinct character of it</w:t>
      </w:r>
      <w:r w:rsidR="00E264CE" w:rsidRPr="00CB58FC">
        <w:rPr>
          <w:rFonts w:cs="Arial"/>
          <w:lang w:val="en-US"/>
        </w:rPr>
        <w:t>s</w:t>
      </w:r>
      <w:r w:rsidRPr="00CB58FC">
        <w:rPr>
          <w:rFonts w:cs="Arial"/>
          <w:lang w:val="en-US"/>
        </w:rPr>
        <w:t xml:space="preserve"> own where the advantages of collective management may be inherently more attractive to the right holder than they are in the case of an exclusive right: regardless of ARR, the work in question will be resold or transferred by the owner of the physical item; ARR simply entitles the right holder to a share in the proceeds of commercial resale or transfer and such entitlement would not otherwise arise.</w:t>
      </w:r>
    </w:p>
    <w:p w14:paraId="1EA55BE6" w14:textId="7D5B796D" w:rsidR="003D6031" w:rsidRPr="00CB58FC" w:rsidRDefault="0002233E" w:rsidP="003D6031">
      <w:pPr>
        <w:pStyle w:val="ListParagraph"/>
        <w:numPr>
          <w:ilvl w:val="1"/>
          <w:numId w:val="16"/>
        </w:numPr>
        <w:rPr>
          <w:rFonts w:cs="Arial"/>
          <w:lang w:val="en-US"/>
        </w:rPr>
      </w:pPr>
      <w:r w:rsidRPr="00CB58FC">
        <w:rPr>
          <w:rFonts w:cs="Arial"/>
          <w:lang w:val="en-US"/>
        </w:rPr>
        <w:t>E</w:t>
      </w:r>
      <w:r w:rsidR="003D6031" w:rsidRPr="00CB58FC">
        <w:rPr>
          <w:rFonts w:cs="Arial"/>
          <w:lang w:val="en-US"/>
        </w:rPr>
        <w:t xml:space="preserve">conomies of scale </w:t>
      </w:r>
      <w:r w:rsidRPr="00CB58FC">
        <w:rPr>
          <w:rFonts w:cs="Arial"/>
          <w:lang w:val="en-US"/>
        </w:rPr>
        <w:t xml:space="preserve">can </w:t>
      </w:r>
      <w:r w:rsidR="003D6031" w:rsidRPr="00CB58FC">
        <w:rPr>
          <w:rFonts w:cs="Arial"/>
          <w:lang w:val="en-US"/>
        </w:rPr>
        <w:t xml:space="preserve">apply where rights, whether exclusive or simply remunerative, are administered collectively, and this can bring </w:t>
      </w:r>
      <w:r w:rsidRPr="00CB58FC">
        <w:rPr>
          <w:rFonts w:cs="Arial"/>
          <w:lang w:val="en-US"/>
        </w:rPr>
        <w:t xml:space="preserve">considerable </w:t>
      </w:r>
      <w:r w:rsidR="003D6031" w:rsidRPr="00CB58FC">
        <w:rPr>
          <w:rFonts w:cs="Arial"/>
          <w:lang w:val="en-US"/>
        </w:rPr>
        <w:t>benefits to the individuals who are part of the collective, particularly artists belonging to disadvantaged groups such as indigenous communities.</w:t>
      </w:r>
      <w:r w:rsidRPr="00CB58FC">
        <w:rPr>
          <w:rStyle w:val="FootnoteReference"/>
          <w:rFonts w:cs="Arial"/>
          <w:lang w:val="en-US"/>
        </w:rPr>
        <w:footnoteReference w:id="11"/>
      </w:r>
      <w:r w:rsidR="003D6031" w:rsidRPr="00CB58FC">
        <w:rPr>
          <w:rFonts w:cs="Arial"/>
          <w:lang w:val="en-US"/>
        </w:rPr>
        <w:t xml:space="preserve"> At the same time, there may be issues of anti-competitive behavior that become relevant where a CMO assumes a dominant position in a particular market. However, this is an issue that can be readily addressed by other laws outside copyright, such as those dealing with competition and consumer protection. Indeed, there may be national (and regional) laws that address the operations of CMOs directly and provide a framework within which CMOs must operate to ensure transparency and accountability: such is the case with CMOs in member countries of the European Union.</w:t>
      </w:r>
      <w:commentRangeStart w:id="8"/>
      <w:commentRangeStart w:id="9"/>
      <w:r w:rsidR="003D6031" w:rsidRPr="00CB58FC">
        <w:rPr>
          <w:rStyle w:val="FootnoteReference"/>
          <w:rFonts w:cs="Arial"/>
          <w:lang w:val="en-US"/>
        </w:rPr>
        <w:footnoteReference w:id="12"/>
      </w:r>
      <w:commentRangeEnd w:id="8"/>
      <w:r w:rsidR="00244F42">
        <w:rPr>
          <w:rStyle w:val="CommentReference"/>
          <w:rFonts w:eastAsia="SimSun" w:cs="Arial"/>
          <w:lang w:val="en-US" w:eastAsia="zh-CN"/>
        </w:rPr>
        <w:commentReference w:id="8"/>
      </w:r>
      <w:commentRangeEnd w:id="9"/>
      <w:r w:rsidR="007F3796">
        <w:rPr>
          <w:rStyle w:val="CommentReference"/>
          <w:rFonts w:eastAsia="SimSun" w:cs="Arial"/>
          <w:lang w:val="en-US" w:eastAsia="zh-CN"/>
        </w:rPr>
        <w:commentReference w:id="9"/>
      </w:r>
      <w:r w:rsidR="003D6031" w:rsidRPr="00CB58FC">
        <w:rPr>
          <w:rFonts w:cs="Arial"/>
          <w:lang w:val="en-US"/>
        </w:rPr>
        <w:t xml:space="preserve"> In the case of ARR, moreover, competition issues arising from fears of market dominance by a single CMO appear less likely in view of the fact that the royalty rate will usually be set by legislation and the costs of collection by competing CMOs will be similar (this appears to be the experience in the UK</w:t>
      </w:r>
      <w:r w:rsidR="00AB2BB9" w:rsidRPr="00CB58FC">
        <w:rPr>
          <w:rStyle w:val="FootnoteReference"/>
          <w:rFonts w:cs="Arial"/>
          <w:lang w:val="en-US"/>
        </w:rPr>
        <w:footnoteReference w:id="13"/>
      </w:r>
      <w:r w:rsidR="003D6031" w:rsidRPr="00CB58FC">
        <w:rPr>
          <w:rFonts w:cs="Arial"/>
          <w:lang w:val="en-US"/>
        </w:rPr>
        <w:t>). The size of the art resale market in each country, rather than competition issues, will</w:t>
      </w:r>
      <w:r w:rsidR="005410FA" w:rsidRPr="00CB58FC">
        <w:rPr>
          <w:rFonts w:cs="Arial"/>
          <w:lang w:val="en-US"/>
        </w:rPr>
        <w:t>,</w:t>
      </w:r>
      <w:r w:rsidR="003D6031" w:rsidRPr="00CB58FC">
        <w:rPr>
          <w:rFonts w:cs="Arial"/>
          <w:lang w:val="en-US"/>
        </w:rPr>
        <w:t xml:space="preserve"> therefore</w:t>
      </w:r>
      <w:r w:rsidR="005410FA" w:rsidRPr="00CB58FC">
        <w:rPr>
          <w:rFonts w:cs="Arial"/>
          <w:lang w:val="en-US"/>
        </w:rPr>
        <w:t>,</w:t>
      </w:r>
      <w:r w:rsidR="003D6031" w:rsidRPr="00CB58FC">
        <w:rPr>
          <w:rFonts w:cs="Arial"/>
          <w:lang w:val="en-US"/>
        </w:rPr>
        <w:t xml:space="preserve"> usually determine whether there is one or more CMOs involved in ARR collection. Thus, in countries with relatively limited art resale markets</w:t>
      </w:r>
      <w:r w:rsidR="005410FA" w:rsidRPr="00CB58FC">
        <w:rPr>
          <w:rFonts w:cs="Arial"/>
          <w:lang w:val="en-US"/>
        </w:rPr>
        <w:t>,</w:t>
      </w:r>
      <w:r w:rsidR="003D6031" w:rsidRPr="00CB58FC">
        <w:rPr>
          <w:rFonts w:cs="Arial"/>
          <w:lang w:val="en-US"/>
        </w:rPr>
        <w:t xml:space="preserve"> a CMO which acts as ‘one stop shop’ for ARR may prove </w:t>
      </w:r>
      <w:r w:rsidR="005410FA" w:rsidRPr="00CB58FC">
        <w:rPr>
          <w:rFonts w:cs="Arial"/>
          <w:lang w:val="en-US"/>
        </w:rPr>
        <w:t xml:space="preserve">to </w:t>
      </w:r>
      <w:r w:rsidR="003D6031" w:rsidRPr="00CB58FC">
        <w:rPr>
          <w:rFonts w:cs="Arial"/>
          <w:lang w:val="en-US"/>
        </w:rPr>
        <w:t xml:space="preserve">be the most effective approach to serving the interests of ARR right holders, whereas in countries with larger art resale markets, there may be room for several CMOs to provide this service (as in the UK and France). </w:t>
      </w:r>
    </w:p>
    <w:p w14:paraId="48C34CC3" w14:textId="784516EB" w:rsidR="003D6031" w:rsidRPr="00CB58FC" w:rsidRDefault="003D6031" w:rsidP="003D6031">
      <w:pPr>
        <w:pStyle w:val="ListParagraph"/>
        <w:numPr>
          <w:ilvl w:val="1"/>
          <w:numId w:val="16"/>
        </w:numPr>
        <w:rPr>
          <w:rFonts w:cs="Arial"/>
          <w:lang w:val="en-US"/>
        </w:rPr>
      </w:pPr>
      <w:r w:rsidRPr="00CB58FC">
        <w:rPr>
          <w:rFonts w:cs="Arial"/>
          <w:lang w:val="en-US"/>
        </w:rPr>
        <w:t xml:space="preserve">As noted above, it is still possible that there will be individual artists who are capable of exercising ARR themselves and do not wish to have this done collectively. This is the case in several jurisdictions, where collective management is optional rather than mandatory. </w:t>
      </w:r>
      <w:r w:rsidR="00386D0E" w:rsidRPr="00CB58FC">
        <w:rPr>
          <w:rFonts w:cs="Arial"/>
          <w:lang w:val="en-US"/>
        </w:rPr>
        <w:t xml:space="preserve">In such cases, as in France, the CMO may still </w:t>
      </w:r>
      <w:r w:rsidR="00CC7DA1" w:rsidRPr="00CB58FC">
        <w:rPr>
          <w:rFonts w:cs="Arial"/>
          <w:lang w:val="en-US"/>
        </w:rPr>
        <w:t>provide</w:t>
      </w:r>
      <w:r w:rsidR="00386D0E" w:rsidRPr="00CB58FC">
        <w:rPr>
          <w:rFonts w:cs="Arial"/>
          <w:lang w:val="en-US"/>
        </w:rPr>
        <w:t xml:space="preserve"> relevant information on eligible resales to artists who are not members: see Table 19 below. In other instances, for example, where extended collective management is adopted as in Australia, there may be provision </w:t>
      </w:r>
      <w:r w:rsidRPr="00CB58FC">
        <w:rPr>
          <w:rFonts w:cs="Arial"/>
          <w:lang w:val="en-US"/>
        </w:rPr>
        <w:t xml:space="preserve">for opting out of collective management </w:t>
      </w:r>
      <w:r w:rsidR="00C0316C" w:rsidRPr="00CB58FC">
        <w:rPr>
          <w:rFonts w:cs="Arial"/>
          <w:lang w:val="en-US"/>
        </w:rPr>
        <w:t xml:space="preserve">in relation to specific resales </w:t>
      </w:r>
      <w:r w:rsidRPr="00CB58FC">
        <w:rPr>
          <w:rFonts w:cs="Arial"/>
          <w:lang w:val="en-US"/>
        </w:rPr>
        <w:t>upon the giving of timely notice</w:t>
      </w:r>
      <w:r w:rsidR="00BE0B30" w:rsidRPr="00CB58FC">
        <w:rPr>
          <w:rFonts w:cs="Arial"/>
          <w:lang w:val="en-US"/>
        </w:rPr>
        <w:t xml:space="preserve"> or, as in New Zealand, provisions that allow for the declining of ARR payments</w:t>
      </w:r>
      <w:r w:rsidRPr="00CB58FC">
        <w:rPr>
          <w:rFonts w:cs="Arial"/>
          <w:lang w:val="en-US"/>
        </w:rPr>
        <w:t xml:space="preserve">: see further Table 19 below. </w:t>
      </w:r>
    </w:p>
    <w:p w14:paraId="4DE722E6" w14:textId="77777777" w:rsidR="00CC7DA1" w:rsidRPr="00CB58FC" w:rsidRDefault="00CC7DA1" w:rsidP="0015390C">
      <w:pPr>
        <w:pStyle w:val="ListParagraph"/>
        <w:ind w:left="1080"/>
        <w:rPr>
          <w:rFonts w:cs="Arial"/>
          <w:lang w:val="en-US"/>
        </w:rPr>
      </w:pPr>
    </w:p>
    <w:p w14:paraId="4B5D05EA" w14:textId="4D0A6FEC" w:rsidR="003D6031" w:rsidRPr="00CB58FC" w:rsidRDefault="00E046D9" w:rsidP="0015390C">
      <w:pPr>
        <w:pStyle w:val="ListParagraph"/>
        <w:numPr>
          <w:ilvl w:val="0"/>
          <w:numId w:val="16"/>
        </w:numPr>
      </w:pPr>
      <w:r w:rsidRPr="00CB58FC">
        <w:rPr>
          <w:rFonts w:cs="Arial"/>
          <w:lang w:val="en-US"/>
        </w:rPr>
        <w:t>While it may be possible for collective management of ARR to be adopted in a country where ARR has been recognized under national law</w:t>
      </w:r>
      <w:r w:rsidR="000642B5" w:rsidRPr="00CB58FC">
        <w:rPr>
          <w:rFonts w:cs="Arial"/>
          <w:lang w:val="en-US"/>
        </w:rPr>
        <w:t xml:space="preserve"> but with no </w:t>
      </w:r>
      <w:r w:rsidR="00BE0B30" w:rsidRPr="00CB58FC">
        <w:rPr>
          <w:rFonts w:cs="Arial"/>
          <w:lang w:val="en-US"/>
        </w:rPr>
        <w:t xml:space="preserve">specific provision </w:t>
      </w:r>
      <w:r w:rsidR="0052031C" w:rsidRPr="00CB58FC">
        <w:rPr>
          <w:rFonts w:cs="Arial"/>
          <w:lang w:val="en-US"/>
        </w:rPr>
        <w:t xml:space="preserve">being made </w:t>
      </w:r>
      <w:r w:rsidR="00BE0B30" w:rsidRPr="00CB58FC">
        <w:rPr>
          <w:rFonts w:cs="Arial"/>
          <w:lang w:val="en-US"/>
        </w:rPr>
        <w:t>f</w:t>
      </w:r>
      <w:r w:rsidR="000642B5" w:rsidRPr="00CB58FC">
        <w:rPr>
          <w:rFonts w:cs="Arial"/>
          <w:lang w:val="en-US"/>
        </w:rPr>
        <w:t>o</w:t>
      </w:r>
      <w:r w:rsidR="00BE0B30" w:rsidRPr="00CB58FC">
        <w:rPr>
          <w:rFonts w:cs="Arial"/>
          <w:lang w:val="en-US"/>
        </w:rPr>
        <w:t>r</w:t>
      </w:r>
      <w:r w:rsidR="000642B5" w:rsidRPr="00CB58FC">
        <w:rPr>
          <w:rFonts w:cs="Arial"/>
          <w:lang w:val="en-US"/>
        </w:rPr>
        <w:t xml:space="preserve"> collective management</w:t>
      </w:r>
      <w:r w:rsidRPr="00CB58FC">
        <w:rPr>
          <w:rFonts w:cs="Arial"/>
          <w:lang w:val="en-US"/>
        </w:rPr>
        <w:t xml:space="preserve">, most countries that do have ARR have also </w:t>
      </w:r>
      <w:r w:rsidR="0052031C" w:rsidRPr="00CB58FC">
        <w:rPr>
          <w:rFonts w:cs="Arial"/>
          <w:lang w:val="en-US"/>
        </w:rPr>
        <w:t>allow</w:t>
      </w:r>
      <w:r w:rsidRPr="00CB58FC">
        <w:rPr>
          <w:rFonts w:cs="Arial"/>
          <w:lang w:val="en-US"/>
        </w:rPr>
        <w:t>ed for th</w:t>
      </w:r>
      <w:r w:rsidR="0052031C" w:rsidRPr="00CB58FC">
        <w:rPr>
          <w:rFonts w:cs="Arial"/>
          <w:lang w:val="en-US"/>
        </w:rPr>
        <w:t>is</w:t>
      </w:r>
      <w:r w:rsidRPr="00CB58FC">
        <w:rPr>
          <w:rFonts w:cs="Arial"/>
          <w:lang w:val="en-US"/>
        </w:rPr>
        <w:t xml:space="preserve"> possibility rather than </w:t>
      </w:r>
      <w:r w:rsidR="003D6031" w:rsidRPr="00CB58FC">
        <w:rPr>
          <w:rFonts w:cs="Arial"/>
          <w:lang w:val="en-US"/>
        </w:rPr>
        <w:t xml:space="preserve">remaining silent on this </w:t>
      </w:r>
      <w:r w:rsidR="0052031C" w:rsidRPr="00CB58FC">
        <w:rPr>
          <w:rFonts w:cs="Arial"/>
          <w:lang w:val="en-US"/>
        </w:rPr>
        <w:t>matter</w:t>
      </w:r>
      <w:r w:rsidR="003D6031" w:rsidRPr="00CB58FC">
        <w:rPr>
          <w:rFonts w:cs="Arial"/>
          <w:lang w:val="en-US"/>
        </w:rPr>
        <w:t xml:space="preserve">. </w:t>
      </w:r>
      <w:r w:rsidRPr="00CB58FC">
        <w:rPr>
          <w:rFonts w:cs="Arial"/>
          <w:lang w:val="en-US"/>
        </w:rPr>
        <w:t xml:space="preserve">In other words, while there is no need </w:t>
      </w:r>
      <w:r w:rsidR="0062585D" w:rsidRPr="00CB58FC">
        <w:rPr>
          <w:rFonts w:cs="Arial"/>
          <w:lang w:val="en-US"/>
        </w:rPr>
        <w:t xml:space="preserve">legislatively </w:t>
      </w:r>
      <w:r w:rsidRPr="00CB58FC">
        <w:rPr>
          <w:rFonts w:cs="Arial"/>
          <w:lang w:val="en-US"/>
        </w:rPr>
        <w:lastRenderedPageBreak/>
        <w:t>to</w:t>
      </w:r>
      <w:r w:rsidR="0062585D" w:rsidRPr="00CB58FC">
        <w:rPr>
          <w:rFonts w:cs="Arial"/>
          <w:lang w:val="en-US"/>
        </w:rPr>
        <w:t xml:space="preserve"> provide for collective management of ARR, experience in those countries which have done so indicates that some legislative recognition of this may be of assistance in implementing such a scheme. </w:t>
      </w:r>
      <w:r w:rsidRPr="00CB58FC">
        <w:rPr>
          <w:rFonts w:cs="Arial"/>
          <w:lang w:val="en-US"/>
        </w:rPr>
        <w:t xml:space="preserve"> </w:t>
      </w:r>
      <w:r w:rsidR="003D6031" w:rsidRPr="00CB58FC">
        <w:rPr>
          <w:rFonts w:cs="Arial"/>
          <w:lang w:val="en-US"/>
        </w:rPr>
        <w:t>The further issue of whether this should be mandatory, optional or extended, will remain a matter for countries to determine, having regard to their own legal traditions and the nature of their particular art markets. Some examples from national laws may assist here.</w:t>
      </w:r>
    </w:p>
    <w:p w14:paraId="2DDFD06D" w14:textId="621DDA35" w:rsidR="003D6031" w:rsidRPr="00CB58FC" w:rsidRDefault="003D6031" w:rsidP="0015390C">
      <w:pPr>
        <w:pStyle w:val="Heading2"/>
      </w:pPr>
      <w:r w:rsidRPr="00CB58FC">
        <w:rPr>
          <w:szCs w:val="22"/>
        </w:rPr>
        <w:t>TABLE 19 – MODES OF IMPLEMENTATION OF NATIONAL ARR SCHEMES</w:t>
      </w:r>
    </w:p>
    <w:tbl>
      <w:tblPr>
        <w:tblStyle w:val="TableGrid"/>
        <w:tblW w:w="0" w:type="auto"/>
        <w:tblLook w:val="04A0" w:firstRow="1" w:lastRow="0" w:firstColumn="1" w:lastColumn="0" w:noHBand="0" w:noVBand="1"/>
      </w:tblPr>
      <w:tblGrid>
        <w:gridCol w:w="2598"/>
        <w:gridCol w:w="3258"/>
        <w:gridCol w:w="3489"/>
      </w:tblGrid>
      <w:tr w:rsidR="003D6031" w:rsidRPr="00CB58FC" w14:paraId="13F2B286" w14:textId="77777777" w:rsidTr="0015390C">
        <w:tc>
          <w:tcPr>
            <w:tcW w:w="2689" w:type="dxa"/>
          </w:tcPr>
          <w:p w14:paraId="7E4BAB6D" w14:textId="77777777" w:rsidR="003D6031" w:rsidRPr="00CB58FC" w:rsidRDefault="003D6031" w:rsidP="009505EE">
            <w:pPr>
              <w:pStyle w:val="Heading3"/>
              <w:spacing w:before="0"/>
              <w:rPr>
                <w:b/>
              </w:rPr>
            </w:pPr>
            <w:r w:rsidRPr="00CB58FC">
              <w:rPr>
                <w:b/>
              </w:rPr>
              <w:t>International instrument, national and regional laws</w:t>
            </w:r>
          </w:p>
        </w:tc>
        <w:tc>
          <w:tcPr>
            <w:tcW w:w="3402" w:type="dxa"/>
          </w:tcPr>
          <w:p w14:paraId="37FC7FE4" w14:textId="77777777" w:rsidR="003D6031" w:rsidRPr="00CB58FC" w:rsidRDefault="003D6031" w:rsidP="009505EE">
            <w:pPr>
              <w:pStyle w:val="Heading3"/>
              <w:spacing w:before="0"/>
              <w:rPr>
                <w:b/>
              </w:rPr>
            </w:pPr>
            <w:r w:rsidRPr="00CB58FC">
              <w:rPr>
                <w:b/>
              </w:rPr>
              <w:t>Text</w:t>
            </w:r>
          </w:p>
        </w:tc>
        <w:tc>
          <w:tcPr>
            <w:tcW w:w="3129" w:type="dxa"/>
          </w:tcPr>
          <w:p w14:paraId="6CC31B14" w14:textId="77777777" w:rsidR="003D6031" w:rsidRPr="00CB58FC" w:rsidRDefault="003D6031" w:rsidP="009505EE">
            <w:pPr>
              <w:pStyle w:val="Heading3"/>
              <w:spacing w:before="0"/>
              <w:rPr>
                <w:b/>
              </w:rPr>
            </w:pPr>
            <w:r w:rsidRPr="00CB58FC">
              <w:rPr>
                <w:b/>
              </w:rPr>
              <w:t>Comments</w:t>
            </w:r>
          </w:p>
        </w:tc>
      </w:tr>
      <w:tr w:rsidR="003D6031" w:rsidRPr="00CB58FC" w14:paraId="46A07921" w14:textId="77777777" w:rsidTr="0015390C">
        <w:tc>
          <w:tcPr>
            <w:tcW w:w="2689" w:type="dxa"/>
          </w:tcPr>
          <w:p w14:paraId="029A4C9C" w14:textId="2E490509" w:rsidR="003D6031" w:rsidRPr="00CB58FC" w:rsidRDefault="003D6031" w:rsidP="009505EE">
            <w:pPr>
              <w:pStyle w:val="Heading3"/>
              <w:rPr>
                <w:sz w:val="20"/>
                <w:szCs w:val="20"/>
                <w:u w:val="none"/>
              </w:rPr>
            </w:pPr>
            <w:r w:rsidRPr="00CB58FC">
              <w:rPr>
                <w:sz w:val="20"/>
                <w:szCs w:val="20"/>
                <w:u w:val="none"/>
              </w:rPr>
              <w:t>National law does not prescribe how ARR is to be exercised (Brazil)</w:t>
            </w:r>
          </w:p>
          <w:p w14:paraId="7479A80D" w14:textId="77777777" w:rsidR="003D6031" w:rsidRPr="00CB58FC" w:rsidRDefault="003D6031" w:rsidP="009505EE">
            <w:pPr>
              <w:rPr>
                <w:sz w:val="20"/>
                <w:szCs w:val="20"/>
              </w:rPr>
            </w:pPr>
          </w:p>
          <w:p w14:paraId="7A310171" w14:textId="77777777" w:rsidR="003D6031" w:rsidRPr="00CB58FC" w:rsidRDefault="003D6031" w:rsidP="009505EE">
            <w:pPr>
              <w:jc w:val="center"/>
              <w:rPr>
                <w:sz w:val="20"/>
                <w:szCs w:val="20"/>
              </w:rPr>
            </w:pPr>
          </w:p>
        </w:tc>
        <w:tc>
          <w:tcPr>
            <w:tcW w:w="3402" w:type="dxa"/>
          </w:tcPr>
          <w:p w14:paraId="45115399" w14:textId="77777777" w:rsidR="003D6031" w:rsidRPr="00CB58FC" w:rsidRDefault="003D6031" w:rsidP="009505EE">
            <w:pPr>
              <w:pStyle w:val="Quote"/>
              <w:ind w:left="0"/>
              <w:rPr>
                <w:rFonts w:ascii="Arial" w:hAnsi="Arial" w:cs="Arial"/>
                <w:color w:val="auto"/>
                <w:szCs w:val="20"/>
              </w:rPr>
            </w:pPr>
            <w:r w:rsidRPr="00CB58FC">
              <w:rPr>
                <w:rFonts w:ascii="Arial" w:hAnsi="Arial" w:cs="Arial"/>
                <w:iCs w:val="0"/>
                <w:color w:val="auto"/>
                <w:szCs w:val="20"/>
                <w:lang w:val="en-US"/>
              </w:rPr>
              <w:t>The author has the irrevocable and inalienable right to receive at least five percent of the price increase that may be verified in each resale of a work of art or manuscript, whether original, that has been disposed of</w:t>
            </w:r>
            <w:r w:rsidRPr="00CB58FC">
              <w:rPr>
                <w:rFonts w:ascii="Arial" w:hAnsi="Arial" w:cs="Arial"/>
                <w:i/>
                <w:color w:val="auto"/>
                <w:szCs w:val="20"/>
                <w:lang w:val="en-US"/>
              </w:rPr>
              <w:t>.</w:t>
            </w:r>
            <w:r w:rsidRPr="00CB58FC">
              <w:rPr>
                <w:rStyle w:val="FootnoteReference"/>
                <w:rFonts w:ascii="Arial" w:hAnsi="Arial" w:cs="Arial"/>
                <w:color w:val="auto"/>
                <w:szCs w:val="20"/>
              </w:rPr>
              <w:footnoteReference w:id="14"/>
            </w:r>
          </w:p>
        </w:tc>
        <w:tc>
          <w:tcPr>
            <w:tcW w:w="3129" w:type="dxa"/>
          </w:tcPr>
          <w:p w14:paraId="44C0DEB0" w14:textId="425305AF" w:rsidR="003D6031" w:rsidRPr="00CB58FC" w:rsidRDefault="003D6031" w:rsidP="0015390C">
            <w:pPr>
              <w:pStyle w:val="Heading3"/>
              <w:numPr>
                <w:ilvl w:val="0"/>
                <w:numId w:val="6"/>
              </w:numPr>
              <w:tabs>
                <w:tab w:val="num" w:pos="360"/>
              </w:tabs>
              <w:ind w:left="0" w:firstLine="0"/>
              <w:jc w:val="both"/>
              <w:rPr>
                <w:sz w:val="20"/>
                <w:szCs w:val="20"/>
                <w:u w:val="none"/>
              </w:rPr>
            </w:pPr>
            <w:r w:rsidRPr="00CB58FC">
              <w:rPr>
                <w:sz w:val="20"/>
                <w:szCs w:val="20"/>
                <w:u w:val="none"/>
              </w:rPr>
              <w:t xml:space="preserve">Few, if any, national laws go so far as prescribing that ARR can only be exercised by the author alone; </w:t>
            </w:r>
            <w:r w:rsidR="000642B5" w:rsidRPr="00CB58FC">
              <w:rPr>
                <w:sz w:val="20"/>
                <w:szCs w:val="20"/>
                <w:u w:val="none"/>
              </w:rPr>
              <w:t>some</w:t>
            </w:r>
            <w:r w:rsidRPr="00CB58FC">
              <w:rPr>
                <w:sz w:val="20"/>
                <w:szCs w:val="20"/>
                <w:u w:val="none"/>
              </w:rPr>
              <w:t>, however, such as the Brazilian provision here, define the right but without specifying that it may be managed collectively</w:t>
            </w:r>
          </w:p>
          <w:p w14:paraId="362BD211" w14:textId="3C1705A3" w:rsidR="003D6031" w:rsidRPr="00CB58FC" w:rsidRDefault="003D6031" w:rsidP="0015390C">
            <w:pPr>
              <w:pStyle w:val="Heading3"/>
              <w:numPr>
                <w:ilvl w:val="0"/>
                <w:numId w:val="6"/>
              </w:numPr>
              <w:tabs>
                <w:tab w:val="num" w:pos="360"/>
              </w:tabs>
              <w:ind w:left="0" w:firstLine="0"/>
              <w:jc w:val="both"/>
              <w:rPr>
                <w:sz w:val="20"/>
                <w:szCs w:val="20"/>
                <w:u w:val="none"/>
              </w:rPr>
            </w:pPr>
            <w:r w:rsidRPr="00CB58FC">
              <w:rPr>
                <w:sz w:val="20"/>
                <w:szCs w:val="20"/>
                <w:u w:val="none"/>
              </w:rPr>
              <w:t>In practice, it may be</w:t>
            </w:r>
            <w:r w:rsidR="000642B5" w:rsidRPr="00CB58FC">
              <w:rPr>
                <w:sz w:val="20"/>
                <w:szCs w:val="20"/>
                <w:u w:val="none"/>
              </w:rPr>
              <w:t xml:space="preserve"> difficult</w:t>
            </w:r>
            <w:r w:rsidRPr="00CB58FC">
              <w:rPr>
                <w:sz w:val="20"/>
                <w:szCs w:val="20"/>
                <w:u w:val="none"/>
              </w:rPr>
              <w:t xml:space="preserve"> for an individual author to enforce his or her own ARR – hence, provision for some form of collective management </w:t>
            </w:r>
            <w:r w:rsidR="0062585D" w:rsidRPr="00CB58FC">
              <w:rPr>
                <w:sz w:val="20"/>
                <w:szCs w:val="20"/>
                <w:u w:val="none"/>
              </w:rPr>
              <w:t xml:space="preserve">may </w:t>
            </w:r>
            <w:r w:rsidRPr="00CB58FC">
              <w:rPr>
                <w:sz w:val="20"/>
                <w:szCs w:val="20"/>
                <w:u w:val="none"/>
              </w:rPr>
              <w:t>represent the best way forward; it may</w:t>
            </w:r>
            <w:r w:rsidR="005C3AE6" w:rsidRPr="00CB58FC">
              <w:rPr>
                <w:sz w:val="20"/>
                <w:szCs w:val="20"/>
                <w:u w:val="none"/>
              </w:rPr>
              <w:t>,</w:t>
            </w:r>
            <w:r w:rsidRPr="00CB58FC">
              <w:rPr>
                <w:sz w:val="20"/>
                <w:szCs w:val="20"/>
                <w:u w:val="none"/>
              </w:rPr>
              <w:t xml:space="preserve"> therefore be helpful for this to be stated expressly in any implementing law, rather than left at large (see next two provisions). </w:t>
            </w:r>
          </w:p>
          <w:p w14:paraId="4A269EA2" w14:textId="77777777" w:rsidR="003D6031" w:rsidRPr="00CB58FC" w:rsidRDefault="003D6031" w:rsidP="009505EE"/>
        </w:tc>
      </w:tr>
      <w:tr w:rsidR="003D6031" w:rsidRPr="00CB58FC" w14:paraId="6D0009FC" w14:textId="77777777" w:rsidTr="0015390C">
        <w:tc>
          <w:tcPr>
            <w:tcW w:w="2689" w:type="dxa"/>
          </w:tcPr>
          <w:p w14:paraId="4E1975CA" w14:textId="247499DC" w:rsidR="003D6031" w:rsidRPr="00CB58FC" w:rsidRDefault="00430876" w:rsidP="0015390C">
            <w:pPr>
              <w:pStyle w:val="Heading3"/>
              <w:jc w:val="both"/>
              <w:rPr>
                <w:sz w:val="20"/>
                <w:szCs w:val="20"/>
                <w:u w:val="none"/>
              </w:rPr>
            </w:pPr>
            <w:r w:rsidRPr="00CB58FC">
              <w:rPr>
                <w:sz w:val="20"/>
                <w:szCs w:val="20"/>
                <w:u w:val="none"/>
              </w:rPr>
              <w:t xml:space="preserve">Extended collective management </w:t>
            </w:r>
            <w:r w:rsidR="003D6031" w:rsidRPr="00CB58FC">
              <w:rPr>
                <w:sz w:val="20"/>
                <w:szCs w:val="20"/>
                <w:u w:val="none"/>
              </w:rPr>
              <w:t>only CMO can collect ARR</w:t>
            </w:r>
            <w:r w:rsidRPr="00CB58FC">
              <w:rPr>
                <w:sz w:val="20"/>
                <w:szCs w:val="20"/>
                <w:u w:val="none"/>
              </w:rPr>
              <w:t xml:space="preserve"> (Sweden)</w:t>
            </w:r>
          </w:p>
        </w:tc>
        <w:tc>
          <w:tcPr>
            <w:tcW w:w="3402" w:type="dxa"/>
          </w:tcPr>
          <w:p w14:paraId="41C8A22C" w14:textId="10BBDB0D" w:rsidR="003D6031" w:rsidRPr="00CB58FC" w:rsidRDefault="003D6031" w:rsidP="009505EE">
            <w:pPr>
              <w:pStyle w:val="Quote"/>
              <w:ind w:left="0"/>
              <w:rPr>
                <w:rFonts w:ascii="Arial" w:hAnsi="Arial" w:cs="Arial"/>
                <w:color w:val="auto"/>
                <w:szCs w:val="20"/>
              </w:rPr>
            </w:pPr>
            <w:r w:rsidRPr="00CB58FC">
              <w:rPr>
                <w:rFonts w:ascii="Arial" w:hAnsi="Arial" w:cs="Arial"/>
                <w:b/>
                <w:bCs/>
                <w:color w:val="auto"/>
                <w:szCs w:val="20"/>
              </w:rPr>
              <w:t>Article 26 p</w:t>
            </w:r>
            <w:r w:rsidRPr="00CB58FC">
              <w:rPr>
                <w:rFonts w:ascii="Arial" w:hAnsi="Arial" w:cs="Arial"/>
                <w:color w:val="auto"/>
                <w:szCs w:val="20"/>
              </w:rPr>
              <w:t>. Only an organization representing a substantial number of authors of works in the area concerned which are being exploited in Sweden is entitled to claim the remuneration.</w:t>
            </w:r>
            <w:r w:rsidR="00430876" w:rsidRPr="00CB58FC">
              <w:rPr>
                <w:rStyle w:val="FootnoteReference"/>
                <w:rFonts w:ascii="Arial" w:hAnsi="Arial" w:cs="Arial"/>
                <w:color w:val="auto"/>
                <w:szCs w:val="20"/>
              </w:rPr>
              <w:footnoteReference w:id="15"/>
            </w:r>
          </w:p>
        </w:tc>
        <w:tc>
          <w:tcPr>
            <w:tcW w:w="3129" w:type="dxa"/>
          </w:tcPr>
          <w:p w14:paraId="49023904" w14:textId="77777777" w:rsidR="003D6031" w:rsidRPr="00CB58FC" w:rsidRDefault="003D6031" w:rsidP="0015390C">
            <w:pPr>
              <w:pStyle w:val="Heading3"/>
              <w:numPr>
                <w:ilvl w:val="0"/>
                <w:numId w:val="6"/>
              </w:numPr>
              <w:jc w:val="both"/>
              <w:rPr>
                <w:sz w:val="20"/>
                <w:szCs w:val="20"/>
                <w:u w:val="none"/>
              </w:rPr>
            </w:pPr>
            <w:r w:rsidRPr="00CB58FC">
              <w:rPr>
                <w:sz w:val="20"/>
                <w:szCs w:val="20"/>
                <w:u w:val="none"/>
              </w:rPr>
              <w:t>Bildupphovsrätt collects ARR for all right holders, not just members of the CMO, who cannot do this on their own behalf.</w:t>
            </w:r>
          </w:p>
          <w:p w14:paraId="1ACFB158" w14:textId="5A401B46" w:rsidR="00CA08AE" w:rsidRPr="00CB58FC" w:rsidRDefault="00CA08AE" w:rsidP="0015390C">
            <w:pPr>
              <w:pStyle w:val="ListParagraph"/>
              <w:numPr>
                <w:ilvl w:val="0"/>
                <w:numId w:val="6"/>
              </w:numPr>
              <w:rPr>
                <w:sz w:val="20"/>
              </w:rPr>
            </w:pPr>
            <w:r w:rsidRPr="00CB58FC">
              <w:rPr>
                <w:sz w:val="20"/>
              </w:rPr>
              <w:t xml:space="preserve">What is a ‘substantial number’ is not defined in </w:t>
            </w:r>
            <w:r w:rsidR="00B56815" w:rsidRPr="00CB58FC">
              <w:rPr>
                <w:sz w:val="20"/>
              </w:rPr>
              <w:t>the</w:t>
            </w:r>
            <w:r w:rsidRPr="00CB58FC">
              <w:rPr>
                <w:sz w:val="20"/>
              </w:rPr>
              <w:t xml:space="preserve"> legislation, but in practice</w:t>
            </w:r>
            <w:r w:rsidR="005C3AE6" w:rsidRPr="00CB58FC">
              <w:rPr>
                <w:sz w:val="20"/>
              </w:rPr>
              <w:t>,</w:t>
            </w:r>
            <w:r w:rsidRPr="00CB58FC">
              <w:rPr>
                <w:sz w:val="20"/>
              </w:rPr>
              <w:t xml:space="preserve"> Bildupphovsrätt represents more than 9,000 visual artists in Sweden as well</w:t>
            </w:r>
            <w:r w:rsidR="00B56815" w:rsidRPr="00CB58FC">
              <w:rPr>
                <w:sz w:val="20"/>
              </w:rPr>
              <w:t xml:space="preserve"> as 150,000 foreign artists: see further at https://bildupphovsratt.se/english</w:t>
            </w:r>
            <w:r w:rsidRPr="00CB58FC">
              <w:rPr>
                <w:sz w:val="20"/>
              </w:rPr>
              <w:t xml:space="preserve"> </w:t>
            </w:r>
          </w:p>
          <w:p w14:paraId="75522FC8" w14:textId="77777777" w:rsidR="003D6031" w:rsidRPr="00CB58FC" w:rsidRDefault="003D6031" w:rsidP="0015390C">
            <w:pPr>
              <w:pStyle w:val="Heading3"/>
              <w:numPr>
                <w:ilvl w:val="0"/>
                <w:numId w:val="6"/>
              </w:numPr>
              <w:jc w:val="both"/>
              <w:rPr>
                <w:sz w:val="20"/>
                <w:szCs w:val="20"/>
                <w:u w:val="none"/>
              </w:rPr>
            </w:pPr>
            <w:r w:rsidRPr="00CB58FC">
              <w:rPr>
                <w:sz w:val="20"/>
                <w:szCs w:val="20"/>
                <w:u w:val="none"/>
              </w:rPr>
              <w:t>This is also an instance of extended collective management.</w:t>
            </w:r>
          </w:p>
        </w:tc>
      </w:tr>
    </w:tbl>
    <w:p w14:paraId="358BEBFA" w14:textId="77777777" w:rsidR="003D6031" w:rsidRPr="00CB58FC"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CB58FC" w14:paraId="72985A1B" w14:textId="77777777" w:rsidTr="009505EE">
        <w:tc>
          <w:tcPr>
            <w:tcW w:w="2547" w:type="dxa"/>
          </w:tcPr>
          <w:p w14:paraId="53E8B128" w14:textId="77777777" w:rsidR="003D6031" w:rsidRPr="00CB58FC" w:rsidRDefault="003D6031" w:rsidP="009505EE">
            <w:pPr>
              <w:pStyle w:val="Heading3"/>
              <w:rPr>
                <w:sz w:val="20"/>
                <w:szCs w:val="20"/>
                <w:u w:val="none"/>
              </w:rPr>
            </w:pPr>
            <w:r w:rsidRPr="00CB58FC">
              <w:rPr>
                <w:sz w:val="20"/>
                <w:szCs w:val="20"/>
                <w:u w:val="none"/>
              </w:rPr>
              <w:lastRenderedPageBreak/>
              <w:t>More detailed provision on mandatory collective management where there are several CMOs (UK).</w:t>
            </w:r>
          </w:p>
        </w:tc>
        <w:tc>
          <w:tcPr>
            <w:tcW w:w="3459" w:type="dxa"/>
          </w:tcPr>
          <w:p w14:paraId="20E1357B"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(1) Resale right may be exercised only through a collecting society.</w:t>
            </w:r>
          </w:p>
          <w:p w14:paraId="7ACD8360"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(2) Where the holder of the resale right has not transferred the management of his or her right to a collecting society, the collecting society which manages copyright on behalf of artists shall be deemed to be mandated to manage his or her right. </w:t>
            </w:r>
          </w:p>
          <w:p w14:paraId="3935F5F5"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(3) Where there is more than one such collecting society, the holder may choose which of them is so mandated. </w:t>
            </w:r>
          </w:p>
          <w:p w14:paraId="66298A0C"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(4) A holder to whom paragraph (2) applies has the same rights and obligations, in respect of the management of his right, as have holders who have transferred the management of their right to the collecting society concerned. </w:t>
            </w:r>
          </w:p>
          <w:p w14:paraId="62A1EA97" w14:textId="77777777" w:rsidR="003D6031" w:rsidRPr="00CB58FC" w:rsidRDefault="003D6031" w:rsidP="009505EE">
            <w:pPr>
              <w:pStyle w:val="Quote"/>
              <w:ind w:left="0"/>
              <w:rPr>
                <w:rFonts w:ascii="Arial" w:hAnsi="Arial" w:cs="Arial"/>
                <w:color w:val="auto"/>
                <w:szCs w:val="20"/>
              </w:rPr>
            </w:pPr>
            <w:r w:rsidRPr="00CB58FC">
              <w:rPr>
                <w:rFonts w:ascii="Arial" w:hAnsi="Arial" w:cs="Arial"/>
                <w:color w:val="auto"/>
                <w:szCs w:val="20"/>
              </w:rPr>
              <w:t xml:space="preserve">(5) For those purposes— </w:t>
            </w:r>
          </w:p>
          <w:p w14:paraId="78B182D6" w14:textId="77777777" w:rsidR="003D6031" w:rsidRPr="00CB58FC" w:rsidRDefault="003D6031" w:rsidP="009505EE">
            <w:pPr>
              <w:pStyle w:val="Quote"/>
              <w:ind w:left="153"/>
              <w:rPr>
                <w:rFonts w:ascii="Arial" w:hAnsi="Arial" w:cs="Arial"/>
                <w:color w:val="auto"/>
                <w:szCs w:val="20"/>
              </w:rPr>
            </w:pPr>
            <w:r w:rsidRPr="00CB58FC">
              <w:rPr>
                <w:rFonts w:ascii="Arial" w:hAnsi="Arial" w:cs="Arial"/>
                <w:color w:val="auto"/>
                <w:szCs w:val="20"/>
              </w:rPr>
              <w:t xml:space="preserve">(a)“collecting society” means a society or other organisation which has as its main object, or one of its main objects, the administration of rights on behalf of more than one artist; and </w:t>
            </w:r>
          </w:p>
          <w:p w14:paraId="4CF53FBB" w14:textId="77777777" w:rsidR="003D6031" w:rsidRPr="00CB58FC" w:rsidRDefault="003D6031" w:rsidP="009505EE">
            <w:pPr>
              <w:pStyle w:val="Quote"/>
              <w:ind w:left="153"/>
              <w:rPr>
                <w:rFonts w:ascii="Arial" w:hAnsi="Arial" w:cs="Arial"/>
                <w:color w:val="auto"/>
                <w:szCs w:val="20"/>
              </w:rPr>
            </w:pPr>
            <w:r w:rsidRPr="00CB58FC">
              <w:rPr>
                <w:rFonts w:ascii="Arial" w:hAnsi="Arial" w:cs="Arial"/>
                <w:color w:val="auto"/>
                <w:szCs w:val="20"/>
              </w:rPr>
              <w:t>(b)the management of resale right is the collection of resale royalty on behalf of the holder of the right in return for a fixed fee or a percentage of the royalty.</w:t>
            </w:r>
            <w:r w:rsidRPr="00CB58FC">
              <w:rPr>
                <w:rStyle w:val="FootnoteReference"/>
                <w:rFonts w:ascii="Arial" w:hAnsi="Arial" w:cs="Arial"/>
                <w:color w:val="auto"/>
                <w:szCs w:val="20"/>
              </w:rPr>
              <w:footnoteReference w:id="16"/>
            </w:r>
          </w:p>
          <w:p w14:paraId="779AC9AA" w14:textId="77777777" w:rsidR="003D6031" w:rsidRPr="00CB58FC" w:rsidRDefault="003D6031" w:rsidP="009505EE">
            <w:pPr>
              <w:pStyle w:val="Heading3"/>
              <w:rPr>
                <w:sz w:val="20"/>
                <w:szCs w:val="20"/>
              </w:rPr>
            </w:pPr>
          </w:p>
        </w:tc>
        <w:tc>
          <w:tcPr>
            <w:tcW w:w="3004" w:type="dxa"/>
          </w:tcPr>
          <w:p w14:paraId="08376BB5" w14:textId="77777777" w:rsidR="003D6031" w:rsidRPr="00CB58FC" w:rsidRDefault="003D6031" w:rsidP="0015390C">
            <w:pPr>
              <w:pStyle w:val="Heading3"/>
              <w:rPr>
                <w:sz w:val="20"/>
                <w:szCs w:val="20"/>
              </w:rPr>
            </w:pPr>
          </w:p>
          <w:p w14:paraId="512BB66D" w14:textId="77777777" w:rsidR="003D6031" w:rsidRPr="00CB58FC" w:rsidRDefault="003D6031" w:rsidP="0015390C">
            <w:pPr>
              <w:pStyle w:val="Heading3"/>
              <w:numPr>
                <w:ilvl w:val="0"/>
                <w:numId w:val="7"/>
              </w:numPr>
              <w:tabs>
                <w:tab w:val="num" w:pos="360"/>
              </w:tabs>
              <w:ind w:left="0" w:firstLine="0"/>
              <w:jc w:val="both"/>
              <w:rPr>
                <w:sz w:val="20"/>
                <w:szCs w:val="20"/>
                <w:u w:val="none"/>
              </w:rPr>
            </w:pPr>
            <w:r w:rsidRPr="00CB58FC">
              <w:rPr>
                <w:sz w:val="20"/>
                <w:szCs w:val="20"/>
                <w:u w:val="none"/>
              </w:rPr>
              <w:t xml:space="preserve">This places collection and distribution in the hands of a CMO (collecting society) which must be approved for this purpose (see further below). </w:t>
            </w:r>
          </w:p>
          <w:p w14:paraId="15024BDE" w14:textId="12A6CFF7" w:rsidR="003D6031" w:rsidRPr="00CB58FC" w:rsidRDefault="003D6031" w:rsidP="0015390C">
            <w:pPr>
              <w:pStyle w:val="Heading3"/>
              <w:numPr>
                <w:ilvl w:val="0"/>
                <w:numId w:val="7"/>
              </w:numPr>
              <w:tabs>
                <w:tab w:val="num" w:pos="360"/>
              </w:tabs>
              <w:ind w:left="0" w:firstLine="0"/>
              <w:jc w:val="both"/>
              <w:rPr>
                <w:sz w:val="20"/>
                <w:szCs w:val="20"/>
                <w:u w:val="none"/>
              </w:rPr>
            </w:pPr>
            <w:r w:rsidRPr="00CB58FC">
              <w:rPr>
                <w:sz w:val="20"/>
                <w:szCs w:val="20"/>
                <w:u w:val="none"/>
              </w:rPr>
              <w:t xml:space="preserve">The only choice available to the ARR holder here is the choice of CMO which is to be mandated: see further </w:t>
            </w:r>
            <w:r w:rsidR="000642B5" w:rsidRPr="00CB58FC">
              <w:rPr>
                <w:sz w:val="20"/>
                <w:szCs w:val="20"/>
                <w:u w:val="none"/>
              </w:rPr>
              <w:t>the discussion</w:t>
            </w:r>
            <w:r w:rsidR="006665F3" w:rsidRPr="00CB58FC">
              <w:rPr>
                <w:sz w:val="20"/>
                <w:szCs w:val="20"/>
                <w:u w:val="none"/>
              </w:rPr>
              <w:t xml:space="preserve"> at </w:t>
            </w:r>
            <w:r w:rsidRPr="00CB58FC">
              <w:rPr>
                <w:sz w:val="20"/>
                <w:szCs w:val="20"/>
                <w:u w:val="none"/>
              </w:rPr>
              <w:t>pars 24ff and Table 21 below. Otherwise, the holder of ARR has no direct say in the way ARR is administered by the CMO, and cannot do this him- or herself.</w:t>
            </w:r>
          </w:p>
          <w:p w14:paraId="14253614" w14:textId="77777777" w:rsidR="003D6031" w:rsidRPr="00CB58FC" w:rsidRDefault="003D6031" w:rsidP="009505EE">
            <w:pPr>
              <w:pStyle w:val="Heading3"/>
              <w:rPr>
                <w:sz w:val="20"/>
                <w:szCs w:val="20"/>
              </w:rPr>
            </w:pPr>
            <w:r w:rsidRPr="00CB58FC">
              <w:rPr>
                <w:sz w:val="20"/>
                <w:szCs w:val="20"/>
              </w:rPr>
              <w:t xml:space="preserve">    </w:t>
            </w:r>
          </w:p>
        </w:tc>
      </w:tr>
    </w:tbl>
    <w:p w14:paraId="59C5AA87" w14:textId="77777777" w:rsidR="003D6031" w:rsidRPr="00CB58FC" w:rsidRDefault="003D6031" w:rsidP="003D6031"/>
    <w:p w14:paraId="0F2BEC77" w14:textId="77777777" w:rsidR="003D6031" w:rsidRPr="00CB58FC"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CB58FC" w14:paraId="347B15E0" w14:textId="77777777" w:rsidTr="009505EE">
        <w:tc>
          <w:tcPr>
            <w:tcW w:w="2263" w:type="dxa"/>
          </w:tcPr>
          <w:p w14:paraId="231B4888" w14:textId="77777777" w:rsidR="003D6031" w:rsidRPr="00CB58FC" w:rsidRDefault="003D6031" w:rsidP="0015390C">
            <w:pPr>
              <w:pStyle w:val="Heading3"/>
              <w:jc w:val="both"/>
              <w:rPr>
                <w:sz w:val="20"/>
                <w:szCs w:val="20"/>
                <w:u w:val="none"/>
              </w:rPr>
            </w:pPr>
            <w:r w:rsidRPr="00CB58FC">
              <w:rPr>
                <w:sz w:val="20"/>
                <w:szCs w:val="20"/>
                <w:u w:val="none"/>
              </w:rPr>
              <w:lastRenderedPageBreak/>
              <w:t>Extended collective management, with individual management as a default position (Australia).</w:t>
            </w:r>
          </w:p>
        </w:tc>
        <w:tc>
          <w:tcPr>
            <w:tcW w:w="3402" w:type="dxa"/>
          </w:tcPr>
          <w:p w14:paraId="425C4F01" w14:textId="2484F23A" w:rsidR="000F35FC" w:rsidRPr="00CB58FC" w:rsidRDefault="0052031C" w:rsidP="00B56815">
            <w:pPr>
              <w:pStyle w:val="Quote"/>
              <w:ind w:left="0"/>
              <w:rPr>
                <w:rFonts w:ascii="Arial" w:hAnsi="Arial" w:cs="Arial"/>
                <w:color w:val="auto"/>
                <w:szCs w:val="20"/>
                <w:lang w:val="en-US"/>
              </w:rPr>
            </w:pPr>
            <w:r w:rsidRPr="00CB58FC">
              <w:rPr>
                <w:rFonts w:ascii="Arial" w:hAnsi="Arial" w:cs="Arial"/>
                <w:color w:val="auto"/>
                <w:szCs w:val="20"/>
                <w:lang w:val="en-US"/>
              </w:rPr>
              <w:t xml:space="preserve">23 </w:t>
            </w:r>
            <w:r w:rsidR="003D6031" w:rsidRPr="00CB58FC">
              <w:rPr>
                <w:rFonts w:ascii="Arial" w:hAnsi="Arial" w:cs="Arial"/>
                <w:color w:val="auto"/>
                <w:szCs w:val="20"/>
                <w:lang w:val="en-US"/>
              </w:rPr>
              <w:t xml:space="preserve">(1) </w:t>
            </w:r>
            <w:r w:rsidR="000F35FC" w:rsidRPr="00CB58FC">
              <w:rPr>
                <w:rFonts w:ascii="Arial" w:hAnsi="Arial" w:cs="Arial"/>
                <w:color w:val="auto"/>
                <w:szCs w:val="20"/>
                <w:lang w:val="en-US"/>
              </w:rPr>
              <w:t>…u</w:t>
            </w:r>
            <w:r w:rsidR="003D6031" w:rsidRPr="00CB58FC">
              <w:rPr>
                <w:rFonts w:ascii="Arial" w:hAnsi="Arial" w:cs="Arial"/>
                <w:color w:val="auto"/>
                <w:szCs w:val="20"/>
                <w:lang w:val="en-US"/>
              </w:rPr>
              <w:t xml:space="preserve">nless </w:t>
            </w:r>
          </w:p>
          <w:p w14:paraId="125A4393" w14:textId="1B4D5717" w:rsidR="000F35FC" w:rsidRPr="00CB58FC" w:rsidRDefault="003D6031" w:rsidP="0015390C">
            <w:pPr>
              <w:pStyle w:val="Quote"/>
              <w:numPr>
                <w:ilvl w:val="0"/>
                <w:numId w:val="48"/>
              </w:numPr>
              <w:rPr>
                <w:rFonts w:ascii="Arial" w:hAnsi="Arial" w:cs="Arial"/>
                <w:color w:val="auto"/>
                <w:szCs w:val="20"/>
                <w:lang w:val="en-US"/>
              </w:rPr>
            </w:pPr>
            <w:r w:rsidRPr="00CB58FC">
              <w:rPr>
                <w:rFonts w:ascii="Arial" w:hAnsi="Arial" w:cs="Arial"/>
                <w:color w:val="auto"/>
                <w:szCs w:val="20"/>
                <w:lang w:val="en-US"/>
              </w:rPr>
              <w:t xml:space="preserve">the holder of the </w:t>
            </w:r>
            <w:r w:rsidR="000F35FC" w:rsidRPr="00CB58FC">
              <w:rPr>
                <w:rFonts w:ascii="Arial" w:hAnsi="Arial" w:cs="Arial"/>
                <w:color w:val="auto"/>
                <w:szCs w:val="20"/>
                <w:lang w:val="en-US"/>
              </w:rPr>
              <w:t xml:space="preserve">resale royalty right </w:t>
            </w:r>
            <w:r w:rsidRPr="00CB58FC">
              <w:rPr>
                <w:rFonts w:ascii="Arial" w:hAnsi="Arial" w:cs="Arial"/>
                <w:color w:val="auto"/>
                <w:szCs w:val="20"/>
                <w:lang w:val="en-US"/>
              </w:rPr>
              <w:t>on the commercial resale of an artwork</w:t>
            </w:r>
            <w:r w:rsidR="000F35FC" w:rsidRPr="00CB58FC">
              <w:rPr>
                <w:rFonts w:ascii="Arial" w:hAnsi="Arial" w:cs="Arial"/>
                <w:color w:val="auto"/>
                <w:szCs w:val="20"/>
                <w:lang w:val="en-US"/>
              </w:rPr>
              <w:t>; or</w:t>
            </w:r>
          </w:p>
          <w:p w14:paraId="489999ED" w14:textId="5E1542FE" w:rsidR="000F35FC" w:rsidRPr="00CB58FC" w:rsidRDefault="000F35FC" w:rsidP="000F35FC">
            <w:pPr>
              <w:pStyle w:val="Quote"/>
              <w:numPr>
                <w:ilvl w:val="0"/>
                <w:numId w:val="48"/>
              </w:numPr>
              <w:rPr>
                <w:rFonts w:ascii="Arial" w:hAnsi="Arial" w:cs="Arial"/>
                <w:color w:val="auto"/>
                <w:szCs w:val="20"/>
                <w:lang w:val="en-US"/>
              </w:rPr>
            </w:pPr>
            <w:r w:rsidRPr="00CB58FC">
              <w:rPr>
                <w:rFonts w:ascii="Arial" w:hAnsi="Arial" w:cs="Arial"/>
                <w:color w:val="auto"/>
                <w:szCs w:val="20"/>
                <w:lang w:val="en-US"/>
              </w:rPr>
              <w:t>if there is more than one holder of the resale royalty right on the commercial resale of an artwork – all the holders of the resale royalty right on the commercial resale of the artwork.</w:t>
            </w:r>
          </w:p>
          <w:p w14:paraId="0B386552" w14:textId="096CDB74" w:rsidR="000F35FC" w:rsidRPr="00CB58FC" w:rsidRDefault="003D6031" w:rsidP="000F35FC">
            <w:pPr>
              <w:pStyle w:val="Quote"/>
              <w:ind w:left="360"/>
              <w:rPr>
                <w:rFonts w:ascii="Arial" w:hAnsi="Arial" w:cs="Arial"/>
                <w:color w:val="auto"/>
                <w:szCs w:val="20"/>
                <w:lang w:val="en-US"/>
              </w:rPr>
            </w:pPr>
            <w:r w:rsidRPr="00CB58FC">
              <w:rPr>
                <w:rFonts w:ascii="Arial" w:hAnsi="Arial" w:cs="Arial"/>
                <w:color w:val="auto"/>
                <w:szCs w:val="20"/>
                <w:lang w:val="en-US"/>
              </w:rPr>
              <w:t xml:space="preserve">notifies the collecting society in writing, within 21 days after notice of the commercial resale is published on the collecting society’s website, that the collecting society is not to collect the </w:t>
            </w:r>
            <w:r w:rsidR="000F35FC" w:rsidRPr="00CB58FC">
              <w:rPr>
                <w:rFonts w:ascii="Arial" w:hAnsi="Arial" w:cs="Arial"/>
                <w:color w:val="auto"/>
                <w:szCs w:val="20"/>
                <w:lang w:val="en-US"/>
              </w:rPr>
              <w:t>resale royalty,</w:t>
            </w:r>
            <w:r w:rsidRPr="00CB58FC">
              <w:rPr>
                <w:rFonts w:ascii="Arial" w:hAnsi="Arial" w:cs="Arial"/>
                <w:color w:val="auto"/>
                <w:szCs w:val="20"/>
                <w:lang w:val="en-US"/>
              </w:rPr>
              <w:t xml:space="preserve"> or enforce the </w:t>
            </w:r>
            <w:r w:rsidR="000F35FC" w:rsidRPr="00CB58FC">
              <w:rPr>
                <w:rFonts w:ascii="Arial" w:hAnsi="Arial" w:cs="Arial"/>
                <w:color w:val="auto"/>
                <w:szCs w:val="20"/>
                <w:lang w:val="en-US"/>
              </w:rPr>
              <w:t>resale royalty right</w:t>
            </w:r>
            <w:r w:rsidRPr="00CB58FC">
              <w:rPr>
                <w:rFonts w:ascii="Arial" w:hAnsi="Arial" w:cs="Arial"/>
                <w:color w:val="auto"/>
                <w:szCs w:val="20"/>
                <w:lang w:val="en-US"/>
              </w:rPr>
              <w:t>, on the commercial resale on behalf of the holder</w:t>
            </w:r>
            <w:r w:rsidR="000F35FC" w:rsidRPr="00CB58FC">
              <w:rPr>
                <w:rFonts w:ascii="Arial" w:hAnsi="Arial" w:cs="Arial"/>
                <w:color w:val="auto"/>
                <w:szCs w:val="20"/>
                <w:lang w:val="en-US"/>
              </w:rPr>
              <w:t xml:space="preserve"> or holders of the right.</w:t>
            </w:r>
          </w:p>
          <w:p w14:paraId="68BA3ED4" w14:textId="1B83D9EC" w:rsidR="003D6031" w:rsidRPr="00CB58FC" w:rsidRDefault="000F35FC" w:rsidP="000F35FC">
            <w:pPr>
              <w:pStyle w:val="Quote"/>
              <w:ind w:left="0"/>
              <w:rPr>
                <w:rFonts w:ascii="Arial" w:hAnsi="Arial" w:cs="Arial"/>
                <w:color w:val="auto"/>
                <w:szCs w:val="20"/>
                <w:lang w:val="en-US"/>
              </w:rPr>
            </w:pPr>
            <w:r w:rsidRPr="00CB58FC">
              <w:rPr>
                <w:rFonts w:ascii="Arial" w:hAnsi="Arial" w:cs="Arial"/>
                <w:color w:val="auto"/>
                <w:szCs w:val="20"/>
                <w:lang w:val="en-US"/>
              </w:rPr>
              <w:t>(2) T</w:t>
            </w:r>
            <w:r w:rsidR="003D6031" w:rsidRPr="00CB58FC">
              <w:rPr>
                <w:rFonts w:ascii="Arial" w:hAnsi="Arial" w:cs="Arial"/>
                <w:color w:val="auto"/>
                <w:szCs w:val="20"/>
                <w:lang w:val="en-US"/>
              </w:rPr>
              <w:t xml:space="preserve">he collecting society must use its best endeavors to collect the </w:t>
            </w:r>
            <w:r w:rsidRPr="00CB58FC">
              <w:rPr>
                <w:rFonts w:ascii="Arial" w:hAnsi="Arial" w:cs="Arial"/>
                <w:color w:val="auto"/>
                <w:szCs w:val="20"/>
                <w:lang w:val="en-US"/>
              </w:rPr>
              <w:t xml:space="preserve">resale royalty </w:t>
            </w:r>
            <w:r w:rsidR="003D6031" w:rsidRPr="00CB58FC">
              <w:rPr>
                <w:rFonts w:ascii="Arial" w:hAnsi="Arial" w:cs="Arial"/>
                <w:color w:val="auto"/>
                <w:szCs w:val="20"/>
                <w:lang w:val="en-US"/>
              </w:rPr>
              <w:t xml:space="preserve">payable under this </w:t>
            </w:r>
            <w:r w:rsidRPr="00CB58FC">
              <w:rPr>
                <w:rFonts w:ascii="Arial" w:hAnsi="Arial" w:cs="Arial"/>
                <w:color w:val="auto"/>
                <w:szCs w:val="20"/>
                <w:lang w:val="en-US"/>
              </w:rPr>
              <w:t>Act</w:t>
            </w:r>
            <w:r w:rsidR="003D6031" w:rsidRPr="00CB58FC">
              <w:rPr>
                <w:rFonts w:ascii="Arial" w:hAnsi="Arial" w:cs="Arial"/>
                <w:color w:val="auto"/>
                <w:szCs w:val="20"/>
                <w:lang w:val="en-US"/>
              </w:rPr>
              <w:t xml:space="preserve">, and, if necessary, enforce any </w:t>
            </w:r>
            <w:r w:rsidRPr="00CB58FC">
              <w:rPr>
                <w:rFonts w:ascii="Arial" w:hAnsi="Arial" w:cs="Arial"/>
                <w:color w:val="auto"/>
                <w:szCs w:val="20"/>
                <w:lang w:val="en-US"/>
              </w:rPr>
              <w:t>resale royalty held</w:t>
            </w:r>
            <w:r w:rsidR="003D6031" w:rsidRPr="00CB58FC">
              <w:rPr>
                <w:rFonts w:ascii="Arial" w:hAnsi="Arial" w:cs="Arial"/>
                <w:color w:val="auto"/>
                <w:szCs w:val="20"/>
                <w:lang w:val="en-US"/>
              </w:rPr>
              <w:t xml:space="preserve"> under this Act, on the commercial resale of the artwork on behalf of the holder or holders of the </w:t>
            </w:r>
            <w:r w:rsidRPr="00CB58FC">
              <w:rPr>
                <w:rFonts w:ascii="Arial" w:hAnsi="Arial" w:cs="Arial"/>
                <w:color w:val="auto"/>
                <w:szCs w:val="20"/>
                <w:lang w:val="en-US"/>
              </w:rPr>
              <w:t>resale royalty right</w:t>
            </w:r>
            <w:r w:rsidR="003D6031" w:rsidRPr="00CB58FC">
              <w:rPr>
                <w:rFonts w:ascii="Arial" w:hAnsi="Arial" w:cs="Arial"/>
                <w:color w:val="auto"/>
                <w:szCs w:val="20"/>
                <w:lang w:val="en-US"/>
              </w:rPr>
              <w:t>.</w:t>
            </w:r>
          </w:p>
          <w:p w14:paraId="4C093869" w14:textId="661CE037" w:rsidR="003D6031" w:rsidRPr="00CB58FC" w:rsidRDefault="003D6031" w:rsidP="0015390C">
            <w:pPr>
              <w:pStyle w:val="Heading3"/>
              <w:jc w:val="both"/>
            </w:pPr>
            <w:r w:rsidRPr="00CB58FC">
              <w:rPr>
                <w:sz w:val="20"/>
                <w:szCs w:val="20"/>
                <w:u w:val="none"/>
              </w:rPr>
              <w:t>(</w:t>
            </w:r>
            <w:r w:rsidR="002460F7">
              <w:rPr>
                <w:sz w:val="20"/>
                <w:szCs w:val="20"/>
                <w:u w:val="none"/>
              </w:rPr>
              <w:t>3</w:t>
            </w:r>
            <w:r w:rsidRPr="00CB58FC">
              <w:rPr>
                <w:sz w:val="20"/>
                <w:szCs w:val="20"/>
                <w:u w:val="none"/>
              </w:rPr>
              <w:t xml:space="preserve">) The collecting society is not subject to the direction of any holder or holders of the </w:t>
            </w:r>
            <w:r w:rsidR="000F35FC" w:rsidRPr="00CB58FC">
              <w:rPr>
                <w:sz w:val="20"/>
                <w:szCs w:val="20"/>
                <w:u w:val="none"/>
              </w:rPr>
              <w:t xml:space="preserve">resale royalty right </w:t>
            </w:r>
            <w:r w:rsidRPr="00CB58FC">
              <w:rPr>
                <w:sz w:val="20"/>
                <w:szCs w:val="20"/>
                <w:u w:val="none"/>
              </w:rPr>
              <w:t>in collecting the resale royalty or enforcing that right.</w:t>
            </w:r>
            <w:r w:rsidRPr="00CB58FC">
              <w:rPr>
                <w:rStyle w:val="FootnoteReference"/>
                <w:sz w:val="20"/>
                <w:szCs w:val="20"/>
                <w:u w:val="none"/>
              </w:rPr>
              <w:footnoteReference w:id="17"/>
            </w:r>
          </w:p>
        </w:tc>
        <w:tc>
          <w:tcPr>
            <w:tcW w:w="3345" w:type="dxa"/>
          </w:tcPr>
          <w:p w14:paraId="18C5F57B" w14:textId="280B2579"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 xml:space="preserve">This provides for extended collective management of ARR, </w:t>
            </w:r>
            <w:r w:rsidR="000F35FC" w:rsidRPr="00CB58FC">
              <w:rPr>
                <w:sz w:val="20"/>
                <w:szCs w:val="20"/>
                <w:u w:val="none"/>
              </w:rPr>
              <w:t>but allowing for an opt-out by an artist in relation to a specific resale</w:t>
            </w:r>
            <w:r w:rsidR="00060989" w:rsidRPr="00CB58FC">
              <w:rPr>
                <w:sz w:val="20"/>
                <w:szCs w:val="20"/>
                <w:u w:val="none"/>
              </w:rPr>
              <w:t>.</w:t>
            </w:r>
          </w:p>
          <w:p w14:paraId="7D672148"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It provides for time limits within which the holder of ARR is to indicate that he or she does not wish collective management of their ARR to commence</w:t>
            </w:r>
          </w:p>
          <w:p w14:paraId="7874D0CC"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The opt-out is limited to a particular resale and is not a general one over all resales that may occur.</w:t>
            </w:r>
          </w:p>
        </w:tc>
      </w:tr>
      <w:tr w:rsidR="003D6031" w:rsidRPr="00CB58FC" w14:paraId="643C0B53" w14:textId="77777777" w:rsidTr="009505EE">
        <w:tc>
          <w:tcPr>
            <w:tcW w:w="2263" w:type="dxa"/>
          </w:tcPr>
          <w:p w14:paraId="7102FE46" w14:textId="77777777" w:rsidR="003D6031" w:rsidRPr="00CB58FC" w:rsidDel="00405122" w:rsidRDefault="003D6031" w:rsidP="009505EE">
            <w:pPr>
              <w:pStyle w:val="Heading3"/>
              <w:rPr>
                <w:sz w:val="20"/>
                <w:szCs w:val="20"/>
              </w:rPr>
            </w:pPr>
            <w:r w:rsidRPr="00CB58FC">
              <w:rPr>
                <w:sz w:val="20"/>
                <w:szCs w:val="20"/>
              </w:rPr>
              <w:lastRenderedPageBreak/>
              <w:t>Optional collective management (France)</w:t>
            </w:r>
          </w:p>
        </w:tc>
        <w:tc>
          <w:tcPr>
            <w:tcW w:w="3402" w:type="dxa"/>
          </w:tcPr>
          <w:p w14:paraId="1AE1C3B6" w14:textId="4EA96B99" w:rsidR="003D6031" w:rsidRPr="00CB58FC" w:rsidRDefault="008D34BA">
            <w:pPr>
              <w:jc w:val="both"/>
              <w:rPr>
                <w:sz w:val="20"/>
                <w:szCs w:val="20"/>
              </w:rPr>
            </w:pPr>
            <w:r w:rsidRPr="00CB58FC">
              <w:rPr>
                <w:sz w:val="20"/>
                <w:szCs w:val="20"/>
              </w:rPr>
              <w:t xml:space="preserve">Article L 122-8 al 4: </w:t>
            </w:r>
            <w:r w:rsidR="003D6031" w:rsidRPr="00CB58FC">
              <w:rPr>
                <w:sz w:val="20"/>
                <w:szCs w:val="20"/>
              </w:rPr>
              <w:t>The art market professionals referred to in the first paragraph must provide the author or the resale right’s collective management organization with all necessary information for the liquidation of sums due under resale right for a period of three years from the date of sale.</w:t>
            </w:r>
            <w:r w:rsidR="003D6031" w:rsidRPr="00CB58FC">
              <w:rPr>
                <w:rStyle w:val="FootnoteReference"/>
                <w:sz w:val="20"/>
                <w:szCs w:val="20"/>
              </w:rPr>
              <w:footnoteReference w:id="18"/>
            </w:r>
          </w:p>
          <w:p w14:paraId="4864064E" w14:textId="77777777" w:rsidR="008D34BA" w:rsidRPr="00CB58FC" w:rsidRDefault="008D34BA">
            <w:pPr>
              <w:jc w:val="both"/>
              <w:rPr>
                <w:sz w:val="20"/>
                <w:szCs w:val="20"/>
              </w:rPr>
            </w:pPr>
          </w:p>
          <w:p w14:paraId="56383C94" w14:textId="330BAE69" w:rsidR="008D34BA" w:rsidRPr="00CB58FC" w:rsidRDefault="008D34BA">
            <w:pPr>
              <w:jc w:val="both"/>
              <w:rPr>
                <w:sz w:val="20"/>
                <w:szCs w:val="20"/>
              </w:rPr>
            </w:pPr>
            <w:r w:rsidRPr="00CB58FC">
              <w:rPr>
                <w:sz w:val="20"/>
                <w:szCs w:val="20"/>
              </w:rPr>
              <w:t xml:space="preserve">Article R122-7: </w:t>
            </w:r>
          </w:p>
          <w:p w14:paraId="407884FE" w14:textId="185839BA" w:rsidR="008D34BA" w:rsidRPr="00CB58FC" w:rsidRDefault="008D34BA" w:rsidP="0015390C">
            <w:pPr>
              <w:jc w:val="both"/>
              <w:rPr>
                <w:sz w:val="20"/>
                <w:szCs w:val="20"/>
              </w:rPr>
            </w:pPr>
            <w:r w:rsidRPr="00CB58FC">
              <w:rPr>
                <w:rFonts w:eastAsia="Times New Roman"/>
                <w:color w:val="202124"/>
                <w:sz w:val="20"/>
                <w:szCs w:val="20"/>
                <w:lang w:val="en" w:eastAsia="en-GB"/>
              </w:rPr>
              <w:t>I. - The Minister responsible for culture establishes by order a list of collective management organizations capable of informing the beneficiaries of the resale right and likely, as such, to be informed of the sales of original graphic or plastic works under the conditions set out in II of Article R. 122-10.</w:t>
            </w:r>
            <w:r w:rsidRPr="00CB58FC">
              <w:rPr>
                <w:rStyle w:val="FootnoteReference"/>
                <w:rFonts w:eastAsia="Times New Roman"/>
                <w:color w:val="202124"/>
                <w:sz w:val="20"/>
                <w:szCs w:val="20"/>
                <w:lang w:val="en" w:eastAsia="en-GB"/>
              </w:rPr>
              <w:footnoteReference w:id="19"/>
            </w:r>
          </w:p>
          <w:p w14:paraId="621DCF64" w14:textId="77777777" w:rsidR="003D6031" w:rsidRPr="00CB58FC" w:rsidRDefault="003D6031" w:rsidP="009505EE">
            <w:pPr>
              <w:pStyle w:val="Quote"/>
              <w:ind w:left="0"/>
              <w:rPr>
                <w:rFonts w:ascii="Arial" w:hAnsi="Arial" w:cs="Arial"/>
                <w:color w:val="auto"/>
                <w:szCs w:val="20"/>
                <w:lang w:val="en-US"/>
              </w:rPr>
            </w:pPr>
          </w:p>
        </w:tc>
        <w:tc>
          <w:tcPr>
            <w:tcW w:w="3345" w:type="dxa"/>
          </w:tcPr>
          <w:p w14:paraId="2CAA2AF6" w14:textId="77777777"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In practice, ADAGP manages the resale right for almost all artists in France (with a few rare exceptions such as Picasso and Matisse).</w:t>
            </w:r>
          </w:p>
          <w:p w14:paraId="173EEDF8" w14:textId="7529B22A" w:rsidR="003D6031" w:rsidRPr="00CB58FC" w:rsidRDefault="003D6031" w:rsidP="0015390C">
            <w:pPr>
              <w:pStyle w:val="Heading3"/>
              <w:numPr>
                <w:ilvl w:val="0"/>
                <w:numId w:val="8"/>
              </w:numPr>
              <w:tabs>
                <w:tab w:val="num" w:pos="360"/>
              </w:tabs>
              <w:ind w:left="0" w:firstLine="0"/>
              <w:jc w:val="both"/>
              <w:rPr>
                <w:sz w:val="20"/>
                <w:szCs w:val="20"/>
                <w:u w:val="none"/>
              </w:rPr>
            </w:pPr>
            <w:r w:rsidRPr="00CB58FC">
              <w:rPr>
                <w:sz w:val="20"/>
                <w:szCs w:val="20"/>
                <w:u w:val="none"/>
              </w:rPr>
              <w:t>As to this, ADAGP comments: ‘The ability for artists to manage their own ARR presents challenges for AMPs, as they must verify the legitimacy of the right holder.</w:t>
            </w:r>
            <w:r w:rsidRPr="00CB58FC">
              <w:rPr>
                <w:rFonts w:eastAsia="MS Mincho"/>
                <w:szCs w:val="22"/>
                <w:u w:val="none"/>
                <w:shd w:val="clear" w:color="auto" w:fill="FFFFFF"/>
              </w:rPr>
              <w:t xml:space="preserve"> </w:t>
            </w:r>
            <w:r w:rsidRPr="00CB58FC">
              <w:rPr>
                <w:sz w:val="20"/>
                <w:szCs w:val="20"/>
                <w:u w:val="none"/>
              </w:rPr>
              <w:t>There have been cases where AMPs have been contacted by “fake” heirs. Management by the ADAGP provides AMPs with simplified verification processes, additional security, and a sole point of contact.’</w:t>
            </w:r>
            <w:r w:rsidR="00B56815" w:rsidRPr="00CB58FC">
              <w:rPr>
                <w:rStyle w:val="FootnoteReference"/>
                <w:sz w:val="20"/>
                <w:szCs w:val="20"/>
                <w:u w:val="none"/>
              </w:rPr>
              <w:footnoteReference w:id="20"/>
            </w:r>
          </w:p>
        </w:tc>
      </w:tr>
      <w:tr w:rsidR="003D6031" w:rsidRPr="00CB58FC" w14:paraId="0CCC22ED" w14:textId="77777777" w:rsidTr="009505EE">
        <w:tc>
          <w:tcPr>
            <w:tcW w:w="2263" w:type="dxa"/>
          </w:tcPr>
          <w:p w14:paraId="6E8B4CE3" w14:textId="77777777" w:rsidR="003D6031" w:rsidRPr="00CB58FC" w:rsidDel="00405122" w:rsidRDefault="003D6031" w:rsidP="009505EE">
            <w:pPr>
              <w:pStyle w:val="Heading3"/>
              <w:rPr>
                <w:sz w:val="20"/>
                <w:szCs w:val="20"/>
                <w:u w:val="none"/>
              </w:rPr>
            </w:pPr>
            <w:r w:rsidRPr="00CB58FC">
              <w:rPr>
                <w:sz w:val="20"/>
                <w:szCs w:val="20"/>
                <w:u w:val="none"/>
              </w:rPr>
              <w:t>Optional collective management (Algeria)</w:t>
            </w:r>
          </w:p>
        </w:tc>
        <w:tc>
          <w:tcPr>
            <w:tcW w:w="3402" w:type="dxa"/>
          </w:tcPr>
          <w:p w14:paraId="71118338" w14:textId="77777777" w:rsidR="003D6031" w:rsidRPr="00CB58FC" w:rsidRDefault="003D6031" w:rsidP="009505EE">
            <w:pPr>
              <w:pStyle w:val="Quote"/>
              <w:ind w:left="0"/>
              <w:rPr>
                <w:rFonts w:ascii="Arial" w:hAnsi="Arial" w:cs="Arial"/>
                <w:color w:val="auto"/>
                <w:szCs w:val="20"/>
                <w:lang w:val="en-US"/>
              </w:rPr>
            </w:pPr>
            <w:r w:rsidRPr="00CB58FC">
              <w:rPr>
                <w:rFonts w:ascii="Arial" w:eastAsiaTheme="minorEastAsia" w:hAnsi="Arial" w:cs="Arial"/>
                <w:color w:val="auto"/>
                <w:szCs w:val="20"/>
                <w14:ligatures w14:val="standardContextual"/>
              </w:rPr>
              <w:t>if the author is not member of the CMO he or she may appoint it as agent for the collection of ARR.</w:t>
            </w:r>
            <w:r w:rsidRPr="00CB58FC">
              <w:rPr>
                <w:rStyle w:val="FootnoteReference"/>
                <w:rFonts w:ascii="Arial" w:eastAsiaTheme="minorEastAsia" w:hAnsi="Arial" w:cs="Arial"/>
                <w:color w:val="auto"/>
                <w:szCs w:val="20"/>
                <w14:ligatures w14:val="standardContextual"/>
              </w:rPr>
              <w:footnoteReference w:id="21"/>
            </w:r>
          </w:p>
        </w:tc>
        <w:tc>
          <w:tcPr>
            <w:tcW w:w="3345" w:type="dxa"/>
          </w:tcPr>
          <w:p w14:paraId="47E3E4C5" w14:textId="77777777" w:rsidR="003D6031" w:rsidRPr="00CB58FC" w:rsidRDefault="003D6031" w:rsidP="003D6031">
            <w:pPr>
              <w:pStyle w:val="Heading3"/>
              <w:numPr>
                <w:ilvl w:val="0"/>
                <w:numId w:val="8"/>
              </w:numPr>
              <w:tabs>
                <w:tab w:val="num" w:pos="360"/>
              </w:tabs>
              <w:ind w:left="0" w:firstLine="0"/>
              <w:rPr>
                <w:sz w:val="20"/>
                <w:szCs w:val="20"/>
                <w:u w:val="none"/>
              </w:rPr>
            </w:pPr>
            <w:r w:rsidRPr="00CB58FC">
              <w:rPr>
                <w:sz w:val="20"/>
                <w:szCs w:val="20"/>
                <w:u w:val="none"/>
              </w:rPr>
              <w:t>This gives the author the option of appointing the CMO to act in its behalf, but without becoming a member.</w:t>
            </w:r>
          </w:p>
        </w:tc>
      </w:tr>
    </w:tbl>
    <w:p w14:paraId="0E648AE8" w14:textId="77777777" w:rsidR="003D6031" w:rsidRPr="00CB58FC" w:rsidRDefault="003D6031" w:rsidP="003D6031">
      <w:r w:rsidRPr="00CB58FC">
        <w:t xml:space="preserve">      </w:t>
      </w:r>
    </w:p>
    <w:p w14:paraId="4231B196" w14:textId="77777777" w:rsidR="003D6031" w:rsidRPr="00CB58FC" w:rsidRDefault="003D6031" w:rsidP="003D6031">
      <w:pPr>
        <w:pStyle w:val="Heading1"/>
        <w:rPr>
          <w:szCs w:val="22"/>
        </w:rPr>
      </w:pPr>
      <w:r w:rsidRPr="00CB58FC">
        <w:rPr>
          <w:szCs w:val="22"/>
        </w:rPr>
        <w:t>ROLE OF CMOS</w:t>
      </w:r>
    </w:p>
    <w:p w14:paraId="07769007" w14:textId="77777777" w:rsidR="003D6031" w:rsidRPr="00CB58FC" w:rsidRDefault="003D6031" w:rsidP="003D6031"/>
    <w:p w14:paraId="565DC837" w14:textId="38DEBF57" w:rsidR="00A84F73" w:rsidRPr="00CB58FC" w:rsidRDefault="003D6031" w:rsidP="003D6031">
      <w:pPr>
        <w:pStyle w:val="ListParagraph"/>
        <w:numPr>
          <w:ilvl w:val="0"/>
          <w:numId w:val="16"/>
        </w:numPr>
        <w:rPr>
          <w:rFonts w:cs="Arial"/>
          <w:lang w:val="en-US"/>
        </w:rPr>
      </w:pPr>
      <w:r w:rsidRPr="00CB58FC">
        <w:rPr>
          <w:rFonts w:cs="Arial"/>
          <w:lang w:val="en-US"/>
        </w:rPr>
        <w:t xml:space="preserve">It follows from the </w:t>
      </w:r>
      <w:r w:rsidR="006665F3" w:rsidRPr="00CB58FC">
        <w:rPr>
          <w:rFonts w:cs="Arial"/>
          <w:lang w:val="en-US"/>
        </w:rPr>
        <w:t>examples in Table</w:t>
      </w:r>
      <w:r w:rsidR="008D34BA" w:rsidRPr="00CB58FC">
        <w:rPr>
          <w:rFonts w:cs="Arial"/>
          <w:lang w:val="en-US"/>
        </w:rPr>
        <w:t xml:space="preserve"> 19 </w:t>
      </w:r>
      <w:r w:rsidR="006665F3" w:rsidRPr="00CB58FC">
        <w:rPr>
          <w:rFonts w:cs="Arial"/>
          <w:lang w:val="en-US"/>
        </w:rPr>
        <w:t xml:space="preserve">that a number of Berne countries that recognize ARR have also adopted forms of collective management which, in their view, represent the </w:t>
      </w:r>
      <w:r w:rsidRPr="00CB58FC">
        <w:rPr>
          <w:rFonts w:cs="Arial"/>
          <w:lang w:val="en-US"/>
        </w:rPr>
        <w:t>most practical way of administering and enforcing this right</w:t>
      </w:r>
      <w:r w:rsidR="006665F3" w:rsidRPr="00CB58FC">
        <w:rPr>
          <w:rFonts w:cs="Arial"/>
          <w:lang w:val="en-US"/>
        </w:rPr>
        <w:t>. Having said this, it must also be said that there are</w:t>
      </w:r>
      <w:r w:rsidRPr="00CB58FC">
        <w:rPr>
          <w:rFonts w:cs="Arial"/>
          <w:lang w:val="en-US"/>
        </w:rPr>
        <w:t xml:space="preserve"> differences </w:t>
      </w:r>
      <w:r w:rsidR="006665F3" w:rsidRPr="00CB58FC">
        <w:rPr>
          <w:rFonts w:cs="Arial"/>
          <w:lang w:val="en-US"/>
        </w:rPr>
        <w:t xml:space="preserve">in these national laws </w:t>
      </w:r>
      <w:r w:rsidRPr="00CB58FC">
        <w:rPr>
          <w:rFonts w:cs="Arial"/>
          <w:lang w:val="en-US"/>
        </w:rPr>
        <w:t>as to the mandatory, extended or optional nature of this arrangement</w:t>
      </w:r>
      <w:r w:rsidR="006665F3" w:rsidRPr="00CB58FC">
        <w:rPr>
          <w:rFonts w:cs="Arial"/>
          <w:lang w:val="en-US"/>
        </w:rPr>
        <w:t xml:space="preserve">. Furthermore, </w:t>
      </w:r>
      <w:r w:rsidR="0091214E" w:rsidRPr="00CB58FC">
        <w:rPr>
          <w:rFonts w:cs="Arial"/>
          <w:lang w:val="en-US"/>
        </w:rPr>
        <w:t>t</w:t>
      </w:r>
      <w:r w:rsidR="006665F3" w:rsidRPr="00CB58FC">
        <w:rPr>
          <w:rFonts w:cs="Arial"/>
          <w:lang w:val="en-US"/>
        </w:rPr>
        <w:t xml:space="preserve">he option of providing only for individual enforcement </w:t>
      </w:r>
      <w:r w:rsidR="0091214E" w:rsidRPr="00CB58FC">
        <w:rPr>
          <w:rFonts w:cs="Arial"/>
          <w:lang w:val="en-US"/>
        </w:rPr>
        <w:t>remains and this does not in any way preclude the possibility of authors themselves entering into their own collective management arrangement, although the latter will then lack more formal recognition or enhancement at the legislative level.</w:t>
      </w:r>
      <w:r w:rsidRPr="00CB58FC">
        <w:rPr>
          <w:rFonts w:cs="Arial"/>
          <w:lang w:val="en-US"/>
        </w:rPr>
        <w:t xml:space="preserve"> The remaining sections of this Part of the Toolkit are therefore directed at the practical aspects of collective management of ARR through a CMO.</w:t>
      </w:r>
    </w:p>
    <w:p w14:paraId="6A80096C" w14:textId="4456F0B9" w:rsidR="003D6031" w:rsidRPr="00CB58FC" w:rsidRDefault="003D6031" w:rsidP="0015390C">
      <w:pPr>
        <w:pStyle w:val="ListParagraph"/>
        <w:ind w:left="360"/>
        <w:rPr>
          <w:rFonts w:cs="Arial"/>
          <w:lang w:val="en-US"/>
        </w:rPr>
      </w:pPr>
      <w:r w:rsidRPr="00CB58FC">
        <w:rPr>
          <w:rFonts w:cs="Arial"/>
          <w:lang w:val="en-US"/>
        </w:rPr>
        <w:t xml:space="preserve"> </w:t>
      </w:r>
    </w:p>
    <w:p w14:paraId="4CF66CDE" w14:textId="53629C33" w:rsidR="003D6031" w:rsidRPr="00CB58FC" w:rsidRDefault="003D6031" w:rsidP="003D6031">
      <w:pPr>
        <w:pStyle w:val="ListParagraph"/>
        <w:numPr>
          <w:ilvl w:val="0"/>
          <w:numId w:val="16"/>
        </w:numPr>
        <w:rPr>
          <w:rFonts w:cs="Arial"/>
          <w:lang w:val="en-US"/>
        </w:rPr>
      </w:pPr>
      <w:r w:rsidRPr="00CB58FC">
        <w:rPr>
          <w:rFonts w:cs="Arial"/>
          <w:lang w:val="en-US"/>
        </w:rPr>
        <w:t xml:space="preserve">In this regard, it should be borne in mind that WIPO has produced another and very detailed Toolkit on CMOs generally: see the </w:t>
      </w:r>
      <w:r w:rsidRPr="00CB58FC">
        <w:rPr>
          <w:rFonts w:cs="Arial"/>
          <w:i/>
          <w:iCs/>
        </w:rPr>
        <w:t>WIPO Good Practice Toolkit for Collective Management Organizations (The Toolkit):  A Bridge between Right</w:t>
      </w:r>
      <w:r w:rsidR="005D1989" w:rsidRPr="00CB58FC">
        <w:rPr>
          <w:rFonts w:cs="Arial"/>
          <w:i/>
          <w:iCs/>
        </w:rPr>
        <w:t xml:space="preserve"> </w:t>
      </w:r>
      <w:r w:rsidRPr="00CB58FC">
        <w:rPr>
          <w:rFonts w:cs="Arial"/>
          <w:i/>
          <w:iCs/>
        </w:rPr>
        <w:t>holders and Users</w:t>
      </w:r>
      <w:r w:rsidRPr="00CB58FC">
        <w:rPr>
          <w:rFonts w:cs="Arial"/>
        </w:rPr>
        <w:t xml:space="preserve">, Working Document, 15 September 2021 (referred to hereafter as </w:t>
      </w:r>
      <w:r w:rsidRPr="00CB58FC">
        <w:rPr>
          <w:rFonts w:cs="Arial"/>
          <w:b/>
          <w:bCs/>
        </w:rPr>
        <w:t>CMO Toolkit</w:t>
      </w:r>
      <w:r w:rsidRPr="00CB58FC">
        <w:rPr>
          <w:rFonts w:cs="Arial"/>
        </w:rPr>
        <w:t>). The subject of collective management generally is also dealt with at length in Dr Ficsor’s 3</w:t>
      </w:r>
      <w:r w:rsidRPr="00CB58FC">
        <w:rPr>
          <w:rFonts w:cs="Arial"/>
          <w:vertAlign w:val="superscript"/>
        </w:rPr>
        <w:t>rd</w:t>
      </w:r>
      <w:r w:rsidRPr="00CB58FC">
        <w:rPr>
          <w:rFonts w:cs="Arial"/>
        </w:rPr>
        <w:t xml:space="preserve"> edition of </w:t>
      </w:r>
      <w:r w:rsidRPr="00CB58FC">
        <w:rPr>
          <w:rFonts w:cs="Arial"/>
          <w:i/>
          <w:iCs/>
        </w:rPr>
        <w:t>Collective Management of Copyright and Related Rights</w:t>
      </w:r>
      <w:r w:rsidR="00A84F73" w:rsidRPr="00CB58FC">
        <w:rPr>
          <w:rFonts w:cs="Arial"/>
          <w:i/>
          <w:iCs/>
        </w:rPr>
        <w:t>.</w:t>
      </w:r>
      <w:r w:rsidR="00A84F73" w:rsidRPr="00CB58FC">
        <w:rPr>
          <w:rStyle w:val="FootnoteReference"/>
          <w:rFonts w:cs="Arial"/>
          <w:i/>
          <w:iCs/>
        </w:rPr>
        <w:footnoteReference w:id="22"/>
      </w:r>
      <w:r w:rsidRPr="00CB58FC">
        <w:rPr>
          <w:rFonts w:cs="Arial"/>
        </w:rPr>
        <w:t xml:space="preserve"> </w:t>
      </w:r>
      <w:r w:rsidRPr="00CB58FC">
        <w:rPr>
          <w:rFonts w:cs="Arial"/>
          <w:lang w:val="en-US"/>
        </w:rPr>
        <w:t xml:space="preserve">It is therefore not intended, in this Part, to repeat the detailed and extensive information that is available in these documents, other than </w:t>
      </w:r>
      <w:r w:rsidRPr="00CB58FC">
        <w:rPr>
          <w:rFonts w:cs="Arial"/>
          <w:lang w:val="en-US"/>
        </w:rPr>
        <w:lastRenderedPageBreak/>
        <w:t>in general terms: appropriate cross-references will be made where relevant as many of the important tools and guidelines contained in these documents, in particular in the CMO Toolkit, will be equally applicable to a CMO that is administering ARR.</w:t>
      </w:r>
      <w:r w:rsidRPr="00CB58FC">
        <w:rPr>
          <w:rStyle w:val="FootnoteReference"/>
          <w:rFonts w:cs="Arial"/>
          <w:lang w:val="fr-CH"/>
        </w:rPr>
        <w:footnoteReference w:id="23"/>
      </w:r>
      <w:r w:rsidRPr="00CB58FC">
        <w:rPr>
          <w:rFonts w:cs="Arial"/>
          <w:lang w:val="en-US"/>
        </w:rPr>
        <w:t xml:space="preserve"> This Part</w:t>
      </w:r>
      <w:r w:rsidR="00877691" w:rsidRPr="00CB58FC">
        <w:rPr>
          <w:rFonts w:cs="Arial"/>
          <w:lang w:val="en-US"/>
        </w:rPr>
        <w:t>, therefore,</w:t>
      </w:r>
      <w:r w:rsidRPr="00CB58FC">
        <w:rPr>
          <w:rFonts w:cs="Arial"/>
          <w:lang w:val="en-US"/>
        </w:rPr>
        <w:t xml:space="preserve"> is concerned primarily with matters that are particular to ARR. </w:t>
      </w:r>
    </w:p>
    <w:p w14:paraId="2225572B" w14:textId="77777777" w:rsidR="00A84F73" w:rsidRPr="00CB58FC" w:rsidRDefault="00A84F73" w:rsidP="0015390C"/>
    <w:p w14:paraId="24BB6B6C" w14:textId="688345A6" w:rsidR="003D6031" w:rsidRPr="00CB58FC" w:rsidRDefault="003D6031" w:rsidP="003D6031">
      <w:pPr>
        <w:pStyle w:val="ListParagraph"/>
        <w:numPr>
          <w:ilvl w:val="0"/>
          <w:numId w:val="16"/>
        </w:numPr>
        <w:rPr>
          <w:rFonts w:cs="Arial"/>
          <w:lang w:val="en-US"/>
        </w:rPr>
      </w:pPr>
      <w:r w:rsidRPr="00CB58FC">
        <w:rPr>
          <w:rFonts w:cs="Arial"/>
          <w:lang w:val="en-US"/>
        </w:rPr>
        <w:t xml:space="preserve">Having said this, it should be remembered that the role of a CMO in relation to </w:t>
      </w:r>
      <w:r w:rsidR="0091214E" w:rsidRPr="00CB58FC">
        <w:rPr>
          <w:rFonts w:cs="Arial"/>
          <w:lang w:val="en-US"/>
        </w:rPr>
        <w:t xml:space="preserve">administering </w:t>
      </w:r>
      <w:r w:rsidRPr="00CB58FC">
        <w:rPr>
          <w:rFonts w:cs="Arial"/>
          <w:lang w:val="en-US"/>
        </w:rPr>
        <w:t xml:space="preserve">ARR differs significantly from the more traditional licensing role of CMOs with respect to other authors’ and related rights: a CMO for ARR is primarily concerned with the collection and distribution of ARR, coupled with an important monitoring and identification role. </w:t>
      </w:r>
      <w:r w:rsidR="00A84F73" w:rsidRPr="00CB58FC">
        <w:rPr>
          <w:rFonts w:cs="Arial"/>
          <w:lang w:val="en-US"/>
        </w:rPr>
        <w:t>The</w:t>
      </w:r>
      <w:r w:rsidRPr="00CB58FC">
        <w:rPr>
          <w:rFonts w:cs="Arial"/>
          <w:lang w:val="en-US"/>
        </w:rPr>
        <w:t xml:space="preserve"> </w:t>
      </w:r>
      <w:r w:rsidR="0091214E" w:rsidRPr="00CB58FC">
        <w:rPr>
          <w:rFonts w:cs="Arial"/>
          <w:lang w:val="en-US"/>
        </w:rPr>
        <w:t xml:space="preserve">collection and payment </w:t>
      </w:r>
      <w:r w:rsidRPr="00CB58FC">
        <w:rPr>
          <w:rFonts w:cs="Arial"/>
          <w:lang w:val="en-US"/>
        </w:rPr>
        <w:t xml:space="preserve">of ARR will occur after the commercial resale of an eligible work has taken place, </w:t>
      </w:r>
      <w:r w:rsidRPr="00CB58FC">
        <w:rPr>
          <w:rFonts w:cs="Arial"/>
          <w:i/>
          <w:iCs/>
          <w:lang w:val="en-US"/>
        </w:rPr>
        <w:t xml:space="preserve">ex post facto </w:t>
      </w:r>
      <w:r w:rsidRPr="00CB58FC">
        <w:rPr>
          <w:rFonts w:cs="Arial"/>
          <w:lang w:val="en-US"/>
        </w:rPr>
        <w:t xml:space="preserve">rather than </w:t>
      </w:r>
      <w:r w:rsidRPr="00CB58FC">
        <w:rPr>
          <w:rFonts w:cs="Arial"/>
          <w:i/>
          <w:iCs/>
          <w:lang w:val="en-US"/>
        </w:rPr>
        <w:t>ex ante</w:t>
      </w:r>
      <w:r w:rsidRPr="00CB58FC">
        <w:rPr>
          <w:rFonts w:cs="Arial"/>
          <w:lang w:val="en-US"/>
        </w:rPr>
        <w:t xml:space="preserve"> as </w:t>
      </w:r>
      <w:r w:rsidR="0091214E" w:rsidRPr="00CB58FC">
        <w:rPr>
          <w:rFonts w:cs="Arial"/>
          <w:lang w:val="en-US"/>
        </w:rPr>
        <w:t xml:space="preserve">will often be </w:t>
      </w:r>
      <w:r w:rsidRPr="00CB58FC">
        <w:rPr>
          <w:rFonts w:cs="Arial"/>
          <w:lang w:val="en-US"/>
        </w:rPr>
        <w:t>the case of the other licensing activit</w:t>
      </w:r>
      <w:r w:rsidR="00060989" w:rsidRPr="00CB58FC">
        <w:rPr>
          <w:rFonts w:cs="Arial"/>
          <w:lang w:val="en-US"/>
        </w:rPr>
        <w:t>ies</w:t>
      </w:r>
      <w:r w:rsidRPr="00CB58FC">
        <w:rPr>
          <w:rFonts w:cs="Arial"/>
          <w:lang w:val="en-US"/>
        </w:rPr>
        <w:t xml:space="preserve"> carried out by CMOs</w:t>
      </w:r>
      <w:r w:rsidR="0091214E" w:rsidRPr="00CB58FC">
        <w:rPr>
          <w:rFonts w:cs="Arial"/>
          <w:lang w:val="en-US"/>
        </w:rPr>
        <w:t xml:space="preserve"> (such licensing may also be </w:t>
      </w:r>
      <w:r w:rsidR="0091214E" w:rsidRPr="00CB58FC">
        <w:rPr>
          <w:rFonts w:cs="Arial"/>
          <w:i/>
          <w:iCs/>
          <w:lang w:val="en-US"/>
        </w:rPr>
        <w:t>ex post facto</w:t>
      </w:r>
      <w:r w:rsidR="0091214E" w:rsidRPr="00CB58FC">
        <w:rPr>
          <w:rFonts w:cs="Arial"/>
          <w:lang w:val="en-US"/>
        </w:rPr>
        <w:t>)</w:t>
      </w:r>
      <w:r w:rsidRPr="00CB58FC">
        <w:rPr>
          <w:rFonts w:cs="Arial"/>
          <w:lang w:val="en-US"/>
        </w:rPr>
        <w:t>.</w:t>
      </w:r>
    </w:p>
    <w:p w14:paraId="4514E1DB" w14:textId="77777777" w:rsidR="003D6031" w:rsidRPr="00CB58FC" w:rsidRDefault="003D6031" w:rsidP="003D6031">
      <w:pPr>
        <w:pStyle w:val="Heading1"/>
        <w:rPr>
          <w:szCs w:val="22"/>
        </w:rPr>
      </w:pPr>
      <w:r w:rsidRPr="00CB58FC">
        <w:rPr>
          <w:szCs w:val="22"/>
        </w:rPr>
        <w:t>CONSTITUTION OF CMO – IN GENERAL</w:t>
      </w:r>
    </w:p>
    <w:p w14:paraId="4D295D4F" w14:textId="77777777" w:rsidR="003D6031" w:rsidRPr="00CB58FC" w:rsidRDefault="003D6031" w:rsidP="003D6031"/>
    <w:p w14:paraId="5F482671" w14:textId="5AFC2AEA" w:rsidR="00A84F73" w:rsidRPr="00CB58FC" w:rsidRDefault="003D6031" w:rsidP="003D6031">
      <w:pPr>
        <w:pStyle w:val="ListParagraph"/>
        <w:numPr>
          <w:ilvl w:val="0"/>
          <w:numId w:val="16"/>
        </w:numPr>
        <w:rPr>
          <w:rFonts w:cs="Arial"/>
          <w:lang w:val="en-US"/>
        </w:rPr>
      </w:pPr>
      <w:r w:rsidRPr="00CB58FC">
        <w:rPr>
          <w:rFonts w:cs="Arial"/>
          <w:lang w:val="en-US"/>
        </w:rPr>
        <w:t>This may be done in different ways under national laws, for example, through specific legislative provisions in a national copyright law or a collective management related regulation, or under the general laws relating to the establishment of corporate entities, associations or co-operatives. Examples of the first kind are to be found in number of national laws</w:t>
      </w:r>
      <w:r w:rsidR="0091214E" w:rsidRPr="00CB58FC">
        <w:rPr>
          <w:rFonts w:cs="Arial"/>
          <w:lang w:val="en-US"/>
        </w:rPr>
        <w:t>,</w:t>
      </w:r>
      <w:r w:rsidRPr="00CB58FC">
        <w:rPr>
          <w:rFonts w:cs="Arial"/>
          <w:lang w:val="en-US"/>
        </w:rPr>
        <w:t xml:space="preserve"> including Algeria, Brazil, Mexico, Morocco, Cote d’Ivoire, </w:t>
      </w:r>
      <w:r w:rsidR="0091214E" w:rsidRPr="00CB58FC">
        <w:rPr>
          <w:rFonts w:cs="Arial"/>
          <w:lang w:val="en-US"/>
        </w:rPr>
        <w:t xml:space="preserve">and </w:t>
      </w:r>
      <w:r w:rsidRPr="00CB58FC">
        <w:rPr>
          <w:rFonts w:cs="Arial"/>
          <w:lang w:val="en-US"/>
        </w:rPr>
        <w:t>Tunisia</w:t>
      </w:r>
      <w:r w:rsidR="0091214E" w:rsidRPr="00CB58FC">
        <w:rPr>
          <w:rFonts w:cs="Arial"/>
          <w:lang w:val="en-US"/>
        </w:rPr>
        <w:t>.</w:t>
      </w:r>
      <w:r w:rsidR="0091214E" w:rsidRPr="00CB58FC">
        <w:rPr>
          <w:rStyle w:val="FootnoteReference"/>
          <w:rFonts w:cs="Arial"/>
          <w:lang w:val="en-US"/>
        </w:rPr>
        <w:footnoteReference w:id="24"/>
      </w:r>
      <w:r w:rsidRPr="00CB58FC">
        <w:rPr>
          <w:rFonts w:cs="Arial"/>
          <w:lang w:val="en-US"/>
        </w:rPr>
        <w:t xml:space="preserve"> Examples of the second kind are to be found in countries with both common law and civil law systems. For instance, in the UK one CMO (DACS) is established as a company limited by guarantee and the other CMO (ACS) is formed as a Community Interest Company, with slightly </w:t>
      </w:r>
      <w:r w:rsidRPr="00CB58FC">
        <w:rPr>
          <w:rFonts w:cs="Arial"/>
        </w:rPr>
        <w:t>different</w:t>
      </w:r>
      <w:r w:rsidRPr="00CB58FC">
        <w:rPr>
          <w:rFonts w:cs="Arial"/>
          <w:lang w:val="en-US"/>
        </w:rPr>
        <w:t xml:space="preserve"> legislative regimes applying to each </w:t>
      </w:r>
      <w:r w:rsidR="00441858" w:rsidRPr="00CB58FC">
        <w:rPr>
          <w:rFonts w:cs="Arial"/>
          <w:lang w:val="en-US"/>
        </w:rPr>
        <w:t>category</w:t>
      </w:r>
      <w:r w:rsidRPr="00CB58FC">
        <w:rPr>
          <w:rFonts w:cs="Arial"/>
          <w:lang w:val="en-US"/>
        </w:rPr>
        <w:t xml:space="preserve"> of company under UK companies legislation; in Norway, BONO is established under Norwegian co-operative law; in Denmark, VISDA is established under Danish associations law; in Slovakia, LITA is established as a ‘civic association’ under general law; in the Netherlands, Pictoright is established as a non-profit </w:t>
      </w:r>
      <w:r w:rsidRPr="00CB58FC">
        <w:rPr>
          <w:rFonts w:cs="Arial"/>
        </w:rPr>
        <w:t>organization</w:t>
      </w:r>
      <w:r w:rsidRPr="00CB58FC">
        <w:rPr>
          <w:rFonts w:cs="Arial"/>
          <w:lang w:val="en-US"/>
        </w:rPr>
        <w:t xml:space="preserve">, while in Belgium, the </w:t>
      </w:r>
      <w:r w:rsidR="0020741A" w:rsidRPr="00CB58FC">
        <w:rPr>
          <w:rFonts w:cs="Arial"/>
          <w:lang w:val="en-US"/>
        </w:rPr>
        <w:t xml:space="preserve">relevant provision of the Code of Economic Law states that the CMO needs to have a legal personality and limited responsibility: in practice, Belgian CMOs are established </w:t>
      </w:r>
      <w:r w:rsidRPr="00CB58FC">
        <w:rPr>
          <w:rFonts w:cs="Arial"/>
          <w:lang w:val="en-US"/>
        </w:rPr>
        <w:t>as co-operative societies</w:t>
      </w:r>
      <w:r w:rsidR="0020741A" w:rsidRPr="00CB58FC">
        <w:rPr>
          <w:rFonts w:cs="Arial"/>
          <w:lang w:val="en-US"/>
        </w:rPr>
        <w:t xml:space="preserve"> which is the most suitable legal form.</w:t>
      </w:r>
      <w:r w:rsidRPr="00CB58FC">
        <w:rPr>
          <w:rFonts w:cs="Arial"/>
          <w:lang w:val="en-US"/>
        </w:rPr>
        <w:t xml:space="preserve"> It may also be the case that the national copyright law specifies the role and objectives of the CMO, but then provides that it should be a body established under the general laws of that country relating to corporations, associations and so on, as in France.</w:t>
      </w:r>
      <w:r w:rsidRPr="00CB58FC">
        <w:rPr>
          <w:rStyle w:val="FootnoteReference"/>
          <w:rFonts w:cs="Arial"/>
          <w:lang w:val="fr-CH"/>
        </w:rPr>
        <w:footnoteReference w:id="25"/>
      </w:r>
      <w:r w:rsidRPr="00CB58FC">
        <w:rPr>
          <w:rFonts w:cs="Arial"/>
          <w:lang w:val="en-US"/>
        </w:rPr>
        <w:t xml:space="preserve"> </w:t>
      </w:r>
    </w:p>
    <w:p w14:paraId="46ED75DE" w14:textId="170731B8" w:rsidR="003D6031" w:rsidRPr="00CB58FC" w:rsidRDefault="003D6031" w:rsidP="0015390C">
      <w:pPr>
        <w:pStyle w:val="ListParagraph"/>
        <w:ind w:left="360"/>
        <w:rPr>
          <w:rFonts w:cs="Arial"/>
          <w:lang w:val="en-US"/>
        </w:rPr>
      </w:pPr>
      <w:r w:rsidRPr="00CB58FC">
        <w:rPr>
          <w:rFonts w:cs="Arial"/>
          <w:lang w:val="en-US"/>
        </w:rPr>
        <w:t xml:space="preserve"> </w:t>
      </w:r>
    </w:p>
    <w:p w14:paraId="1ECF9B25" w14:textId="5AA46C06" w:rsidR="003D6031" w:rsidRPr="00CB58FC" w:rsidRDefault="003D6031" w:rsidP="003D6031">
      <w:pPr>
        <w:pStyle w:val="ListParagraph"/>
        <w:numPr>
          <w:ilvl w:val="0"/>
          <w:numId w:val="16"/>
        </w:numPr>
        <w:rPr>
          <w:rFonts w:cs="Arial"/>
          <w:lang w:val="en-US"/>
        </w:rPr>
      </w:pPr>
      <w:r w:rsidRPr="00CB58FC">
        <w:rPr>
          <w:rFonts w:cs="Arial"/>
          <w:lang w:val="en-US"/>
        </w:rPr>
        <w:t xml:space="preserve">As stated above, there is no </w:t>
      </w:r>
      <w:r w:rsidR="00441858" w:rsidRPr="00CB58FC">
        <w:rPr>
          <w:rFonts w:cs="Arial"/>
          <w:lang w:val="en-US"/>
        </w:rPr>
        <w:t xml:space="preserve">one </w:t>
      </w:r>
      <w:r w:rsidRPr="00CB58FC">
        <w:rPr>
          <w:rFonts w:cs="Arial"/>
          <w:lang w:val="en-US"/>
        </w:rPr>
        <w:t xml:space="preserve">normative prescription that can be made in this regard: each country will work within its general legal, economic and cultural framework. Furthermore, it may be the case that management of ARR is folded into the operations of an existing CMO that is already managing other rights of the more traditional kind: see further </w:t>
      </w:r>
      <w:r w:rsidR="00441858" w:rsidRPr="00CB58FC">
        <w:rPr>
          <w:rFonts w:cs="Arial"/>
          <w:lang w:val="en-US"/>
        </w:rPr>
        <w:t xml:space="preserve">the discussion at </w:t>
      </w:r>
      <w:r w:rsidRPr="00CB58FC">
        <w:rPr>
          <w:rFonts w:cs="Arial"/>
          <w:lang w:val="en-US"/>
        </w:rPr>
        <w:t xml:space="preserve">pars 16 ff below.  But regardless of how a CMO is set up, a common feature of those presently operating in </w:t>
      </w:r>
      <w:r w:rsidR="00441858" w:rsidRPr="00CB58FC">
        <w:rPr>
          <w:rFonts w:cs="Arial"/>
          <w:lang w:val="en-US"/>
        </w:rPr>
        <w:t xml:space="preserve">Berne </w:t>
      </w:r>
      <w:r w:rsidRPr="00CB58FC">
        <w:rPr>
          <w:rFonts w:cs="Arial"/>
          <w:lang w:val="en-US"/>
        </w:rPr>
        <w:t>member countries is that their primary purpose is that they have been established to operate for the collective benefit of their members, i</w:t>
      </w:r>
      <w:r w:rsidR="00877691" w:rsidRPr="00CB58FC">
        <w:rPr>
          <w:rFonts w:cs="Arial"/>
          <w:lang w:val="en-US"/>
        </w:rPr>
        <w:t>.</w:t>
      </w:r>
      <w:r w:rsidRPr="00CB58FC">
        <w:rPr>
          <w:rFonts w:cs="Arial"/>
          <w:lang w:val="en-US"/>
        </w:rPr>
        <w:t>e</w:t>
      </w:r>
      <w:r w:rsidR="00877691" w:rsidRPr="00CB58FC">
        <w:rPr>
          <w:rFonts w:cs="Arial"/>
          <w:lang w:val="en-US"/>
        </w:rPr>
        <w:t>.</w:t>
      </w:r>
      <w:r w:rsidRPr="00CB58FC">
        <w:rPr>
          <w:rFonts w:cs="Arial"/>
          <w:lang w:val="en-US"/>
        </w:rPr>
        <w:t xml:space="preserve"> the right holders. Important consequences flow from this, for example, </w:t>
      </w:r>
      <w:r w:rsidR="00A84F73" w:rsidRPr="00CB58FC">
        <w:rPr>
          <w:rFonts w:cs="Arial"/>
          <w:lang w:val="en-US"/>
        </w:rPr>
        <w:t xml:space="preserve">the notion </w:t>
      </w:r>
      <w:r w:rsidRPr="00CB58FC">
        <w:rPr>
          <w:rFonts w:cs="Arial"/>
          <w:lang w:val="en-US"/>
        </w:rPr>
        <w:t>that the management of the CMO should be clearly accountable to,</w:t>
      </w:r>
      <w:r w:rsidR="00441858" w:rsidRPr="00CB58FC">
        <w:rPr>
          <w:rStyle w:val="FootnoteReference"/>
          <w:rFonts w:cs="Arial"/>
          <w:lang w:val="en-US"/>
        </w:rPr>
        <w:footnoteReference w:id="26"/>
      </w:r>
      <w:r w:rsidRPr="00CB58FC">
        <w:rPr>
          <w:rFonts w:cs="Arial"/>
          <w:lang w:val="en-US"/>
        </w:rPr>
        <w:t xml:space="preserve"> if not controlled, by its membership; its operations should be transparent to both its members and the wider public; distributions to members </w:t>
      </w:r>
      <w:r w:rsidRPr="00CB58FC">
        <w:rPr>
          <w:rFonts w:cs="Arial"/>
          <w:lang w:val="en-US"/>
        </w:rPr>
        <w:lastRenderedPageBreak/>
        <w:t xml:space="preserve">should be administered in a fair and timely manner; it may be appropriate to have regard to wider social and cultural objectives that promote awareness and support for the rights administered (in this case, ARR); and the costs of administration should be kept to an acceptable minimum. Furthermore, such CMOs will usually (but not necessarily) be organized on a non-profit basis: such a requirement </w:t>
      </w:r>
      <w:r w:rsidR="005B642D" w:rsidRPr="00CB58FC">
        <w:rPr>
          <w:rFonts w:cs="Arial"/>
          <w:lang w:val="en-US"/>
        </w:rPr>
        <w:t>focuses</w:t>
      </w:r>
      <w:r w:rsidRPr="00CB58FC">
        <w:rPr>
          <w:rFonts w:cs="Arial"/>
          <w:lang w:val="en-US"/>
        </w:rPr>
        <w:t xml:space="preserve"> back on ensuring and promoting the collective benefit of the membership.</w:t>
      </w:r>
    </w:p>
    <w:p w14:paraId="5FB95F37" w14:textId="77777777" w:rsidR="00A84F73" w:rsidRPr="00CB58FC" w:rsidRDefault="00A84F73" w:rsidP="0015390C">
      <w:pPr>
        <w:pStyle w:val="ListParagraph"/>
        <w:ind w:left="360"/>
        <w:rPr>
          <w:rFonts w:cs="Arial"/>
          <w:lang w:val="en-US"/>
        </w:rPr>
      </w:pPr>
    </w:p>
    <w:p w14:paraId="1D7F9796" w14:textId="77777777" w:rsidR="003D6031" w:rsidRPr="00CB58FC" w:rsidRDefault="003D6031" w:rsidP="003D6031">
      <w:pPr>
        <w:pStyle w:val="ListParagraph"/>
        <w:numPr>
          <w:ilvl w:val="0"/>
          <w:numId w:val="16"/>
        </w:numPr>
        <w:rPr>
          <w:rFonts w:cs="Arial"/>
          <w:lang w:val="en-US"/>
        </w:rPr>
      </w:pPr>
      <w:r w:rsidRPr="00CB58FC">
        <w:rPr>
          <w:rFonts w:cs="Arial"/>
          <w:lang w:val="en-US"/>
        </w:rPr>
        <w:t xml:space="preserve">In the case of CMOs generally, these matters are addressed in considerable detail in the </w:t>
      </w:r>
      <w:r w:rsidRPr="00CB58FC">
        <w:rPr>
          <w:rFonts w:cs="Arial"/>
          <w:b/>
          <w:bCs/>
          <w:lang w:val="en-US"/>
        </w:rPr>
        <w:t>CMO Toolkit</w:t>
      </w:r>
      <w:r w:rsidRPr="00CB58FC">
        <w:rPr>
          <w:rFonts w:cs="Arial"/>
          <w:lang w:val="en-US"/>
        </w:rPr>
        <w:t xml:space="preserve">: Parts 2-5. More specific issues that arise in the case of a CMO concerned with ARR are discussed in the following sections.  </w:t>
      </w:r>
    </w:p>
    <w:p w14:paraId="42E7115C" w14:textId="77777777" w:rsidR="003D6031" w:rsidRPr="00CB58FC" w:rsidRDefault="003D6031" w:rsidP="003D6031">
      <w:pPr>
        <w:pStyle w:val="Heading1"/>
        <w:rPr>
          <w:szCs w:val="22"/>
        </w:rPr>
      </w:pPr>
      <w:r w:rsidRPr="00CB58FC">
        <w:rPr>
          <w:szCs w:val="22"/>
        </w:rPr>
        <w:t>SINGLE AND MULTI-REPERTOIRE CMOS</w:t>
      </w:r>
    </w:p>
    <w:p w14:paraId="3591D548" w14:textId="77777777" w:rsidR="003D6031" w:rsidRPr="00CB58FC" w:rsidRDefault="003D6031" w:rsidP="003D6031"/>
    <w:p w14:paraId="36B00359" w14:textId="2B21FD89" w:rsidR="003D6031" w:rsidRPr="00CB58FC" w:rsidRDefault="003D6031" w:rsidP="003D6031">
      <w:pPr>
        <w:pStyle w:val="ListParagraph"/>
        <w:numPr>
          <w:ilvl w:val="0"/>
          <w:numId w:val="16"/>
        </w:numPr>
        <w:rPr>
          <w:rFonts w:cs="Arial"/>
        </w:rPr>
      </w:pPr>
      <w:r w:rsidRPr="00CB58FC">
        <w:rPr>
          <w:rFonts w:cs="Arial"/>
        </w:rPr>
        <w:t xml:space="preserve">While there is no reason why a CMO could not be constituted for the administration of ARR alone, there appears to be only </w:t>
      </w:r>
      <w:r w:rsidR="00C260A6" w:rsidRPr="00CB58FC">
        <w:rPr>
          <w:rFonts w:cs="Arial"/>
        </w:rPr>
        <w:t xml:space="preserve">two </w:t>
      </w:r>
      <w:r w:rsidRPr="00CB58FC">
        <w:rPr>
          <w:rFonts w:cs="Arial"/>
        </w:rPr>
        <w:t>Berne member country where this is presently the case (the Czech Republic</w:t>
      </w:r>
      <w:r w:rsidRPr="00CB58FC">
        <w:rPr>
          <w:rStyle w:val="FootnoteReference"/>
          <w:rFonts w:cs="Arial"/>
        </w:rPr>
        <w:footnoteReference w:id="27"/>
      </w:r>
      <w:r w:rsidR="00C260A6" w:rsidRPr="00CB58FC">
        <w:rPr>
          <w:rFonts w:cs="Arial"/>
        </w:rPr>
        <w:t xml:space="preserve"> and the UK</w:t>
      </w:r>
      <w:r w:rsidR="00C260A6" w:rsidRPr="00CB58FC">
        <w:rPr>
          <w:rStyle w:val="FootnoteReference"/>
          <w:rFonts w:cs="Arial"/>
        </w:rPr>
        <w:footnoteReference w:id="28"/>
      </w:r>
      <w:r w:rsidR="00C260A6" w:rsidRPr="00CB58FC">
        <w:rPr>
          <w:rFonts w:cs="Arial"/>
        </w:rPr>
        <w:t>)</w:t>
      </w:r>
      <w:r w:rsidRPr="00CB58FC">
        <w:rPr>
          <w:rFonts w:cs="Arial"/>
        </w:rPr>
        <w:t xml:space="preserve">. In practice, ARR management has </w:t>
      </w:r>
      <w:r w:rsidR="00E95157" w:rsidRPr="00CB58FC">
        <w:rPr>
          <w:rFonts w:cs="Arial"/>
        </w:rPr>
        <w:t xml:space="preserve">usually been </w:t>
      </w:r>
      <w:r w:rsidRPr="00CB58FC">
        <w:rPr>
          <w:rFonts w:cs="Arial"/>
        </w:rPr>
        <w:t xml:space="preserve">taken over by existing CMOs that are administering other exclusive rights, such as those of reproduction and communication. Typically, such CMOs are concerned with the visual arts only rather than other kinds of works, such as literary and musical works. Examples of such CMOs are to be found in the UK (DACS and ACS), France (AGADP), Germany (Bildkunst), </w:t>
      </w:r>
      <w:r w:rsidR="00E264CE" w:rsidRPr="00CB58FC">
        <w:rPr>
          <w:rFonts w:cs="Arial"/>
        </w:rPr>
        <w:t>Austria (</w:t>
      </w:r>
      <w:r w:rsidRPr="00CB58FC">
        <w:rPr>
          <w:rFonts w:cs="Arial"/>
        </w:rPr>
        <w:t>Bildrecht</w:t>
      </w:r>
      <w:r w:rsidR="00E264CE" w:rsidRPr="00CB58FC">
        <w:rPr>
          <w:rFonts w:cs="Arial"/>
        </w:rPr>
        <w:t>), Hungary (</w:t>
      </w:r>
      <w:r w:rsidRPr="00CB58FC">
        <w:rPr>
          <w:rFonts w:cs="Arial"/>
        </w:rPr>
        <w:t>HUNGART</w:t>
      </w:r>
      <w:r w:rsidR="00E264CE" w:rsidRPr="00CB58FC">
        <w:rPr>
          <w:rFonts w:cs="Arial"/>
        </w:rPr>
        <w:t>)</w:t>
      </w:r>
      <w:r w:rsidRPr="00CB58FC">
        <w:rPr>
          <w:rFonts w:cs="Arial"/>
        </w:rPr>
        <w:t>, Norway (BONO), Romania (VISARTA), Pictoright (Netherlands) and Finland (KUVASTO). In some instances, however, administration of ARR is carried on by a CMO managing rights in relation to other kinds of works, such as Australia (the Copyright Agency or CA) where the establishment of a visual arts CMO (Viscopy) in the 1990s was later folded into CA which had been initially established for the purposes of administering reproduction rights for photocopying in educational institutions. Again, in Latvia, AKKA/LAA is a multi-repertoire organization, administering rights of the rightsholders of musical, literary, dramatic and visual works, with ARR administration forming only a fraction of AKKA/LAA’s activities in administration of copyright. The same is true in Italy with SIAE.</w:t>
      </w:r>
    </w:p>
    <w:p w14:paraId="197D3F28" w14:textId="77777777" w:rsidR="003D6031" w:rsidRPr="00CB58FC" w:rsidRDefault="003D6031" w:rsidP="003D6031">
      <w:pPr>
        <w:pStyle w:val="ListParagraph"/>
        <w:ind w:left="360"/>
        <w:rPr>
          <w:rFonts w:cs="Arial"/>
          <w:lang w:val="en-US"/>
        </w:rPr>
      </w:pPr>
    </w:p>
    <w:p w14:paraId="74ECA27E" w14:textId="77777777" w:rsidR="003D6031" w:rsidRPr="00CB58FC" w:rsidRDefault="003D6031" w:rsidP="003D6031">
      <w:pPr>
        <w:pStyle w:val="ListParagraph"/>
        <w:numPr>
          <w:ilvl w:val="0"/>
          <w:numId w:val="16"/>
        </w:numPr>
        <w:rPr>
          <w:rFonts w:cs="Arial"/>
          <w:lang w:val="en-US"/>
        </w:rPr>
      </w:pPr>
      <w:r w:rsidRPr="00CB58FC">
        <w:rPr>
          <w:rFonts w:cs="Arial"/>
          <w:lang w:val="en-US"/>
        </w:rPr>
        <w:t>The advantages of adding ARR to an existing CMO, particularly one already concerned with visual artists, can be simply stated:</w:t>
      </w:r>
    </w:p>
    <w:p w14:paraId="3522A81F" w14:textId="77777777" w:rsidR="003D6031" w:rsidRPr="00CB58FC" w:rsidRDefault="003D6031" w:rsidP="003D6031">
      <w:pPr>
        <w:pStyle w:val="ListParagraph"/>
        <w:rPr>
          <w:rFonts w:cs="Arial"/>
          <w:lang w:val="en-US"/>
        </w:rPr>
      </w:pPr>
    </w:p>
    <w:p w14:paraId="0D9879EB" w14:textId="77777777" w:rsidR="003D6031" w:rsidRPr="00CB58FC" w:rsidRDefault="003D6031" w:rsidP="003D6031">
      <w:pPr>
        <w:pStyle w:val="ListParagraph"/>
        <w:numPr>
          <w:ilvl w:val="1"/>
          <w:numId w:val="16"/>
        </w:numPr>
        <w:rPr>
          <w:rFonts w:cs="Arial"/>
          <w:lang w:val="en-US"/>
        </w:rPr>
      </w:pPr>
      <w:r w:rsidRPr="00CB58FC">
        <w:rPr>
          <w:rFonts w:cs="Arial"/>
          <w:lang w:val="en-US"/>
        </w:rPr>
        <w:t>Existing infrastructure for collection and distribution of funds can be readily deployed into ARR collection and distribution.</w:t>
      </w:r>
    </w:p>
    <w:p w14:paraId="2D89D8E1" w14:textId="77777777" w:rsidR="003D6031" w:rsidRPr="00CB58FC" w:rsidRDefault="003D6031" w:rsidP="003D6031">
      <w:pPr>
        <w:pStyle w:val="ListParagraph"/>
        <w:numPr>
          <w:ilvl w:val="1"/>
          <w:numId w:val="16"/>
        </w:numPr>
        <w:rPr>
          <w:rFonts w:cs="Arial"/>
          <w:lang w:val="en-US"/>
        </w:rPr>
      </w:pPr>
      <w:r w:rsidRPr="00CB58FC">
        <w:rPr>
          <w:rFonts w:cs="Arial"/>
          <w:lang w:val="en-US"/>
        </w:rPr>
        <w:t xml:space="preserve">Staff with experience in relation to the visual arts generally can be more readily deployed in relation to ARR management. </w:t>
      </w:r>
    </w:p>
    <w:p w14:paraId="1C520589" w14:textId="4CCA6660" w:rsidR="003D6031" w:rsidRPr="00CB58FC" w:rsidRDefault="003D6031" w:rsidP="003D6031">
      <w:pPr>
        <w:pStyle w:val="ListParagraph"/>
        <w:numPr>
          <w:ilvl w:val="1"/>
          <w:numId w:val="16"/>
        </w:numPr>
        <w:rPr>
          <w:rFonts w:cs="Arial"/>
          <w:lang w:val="en-US"/>
        </w:rPr>
      </w:pPr>
      <w:r w:rsidRPr="00CB58FC">
        <w:rPr>
          <w:rFonts w:cs="Arial"/>
          <w:lang w:val="en-US"/>
        </w:rPr>
        <w:t>The interests of visual artists more generally can be represented in a CMO that is administering the range of rights relating to visual artists, rather than just one of these rights, i</w:t>
      </w:r>
      <w:r w:rsidR="005B642D" w:rsidRPr="00CB58FC">
        <w:rPr>
          <w:rFonts w:cs="Arial"/>
          <w:lang w:val="en-US"/>
        </w:rPr>
        <w:t>.</w:t>
      </w:r>
      <w:r w:rsidRPr="00CB58FC">
        <w:rPr>
          <w:rFonts w:cs="Arial"/>
          <w:lang w:val="en-US"/>
        </w:rPr>
        <w:t>e</w:t>
      </w:r>
      <w:r w:rsidR="005B642D" w:rsidRPr="00CB58FC">
        <w:rPr>
          <w:rFonts w:cs="Arial"/>
          <w:lang w:val="en-US"/>
        </w:rPr>
        <w:t>.</w:t>
      </w:r>
      <w:r w:rsidRPr="00CB58FC">
        <w:rPr>
          <w:rFonts w:cs="Arial"/>
          <w:lang w:val="en-US"/>
        </w:rPr>
        <w:t xml:space="preserve"> ARR. Furthermore, ARR will be potentially relevant to most, if not all, categories of visual artists, as a useful supplement to their existing income streams. </w:t>
      </w:r>
    </w:p>
    <w:p w14:paraId="11AB0B6D" w14:textId="5208443D" w:rsidR="003D6031" w:rsidRPr="00CB58FC" w:rsidRDefault="003D6031" w:rsidP="003D6031">
      <w:pPr>
        <w:pStyle w:val="ListParagraph"/>
        <w:numPr>
          <w:ilvl w:val="1"/>
          <w:numId w:val="16"/>
        </w:numPr>
        <w:rPr>
          <w:rFonts w:cs="Arial"/>
          <w:lang w:val="en-US"/>
        </w:rPr>
      </w:pPr>
      <w:r w:rsidRPr="00CB58FC">
        <w:rPr>
          <w:rFonts w:cs="Arial"/>
          <w:lang w:val="en-US"/>
        </w:rPr>
        <w:t>The size of the art resale market in a particular country may be insufficient to support the operations of a CMO dedicated just to one right such as ARR. In smaller countries, it may only be economically viable to have one CMO which covers multiple repertoires, including for works other than those of visual artists. Each country will have differing circumstances, and these need to be considered along with those relating to legal requirements.</w:t>
      </w:r>
    </w:p>
    <w:p w14:paraId="3D5DF0C5" w14:textId="77777777" w:rsidR="00A84F73" w:rsidRPr="00CB58FC" w:rsidRDefault="00A84F73" w:rsidP="0015390C">
      <w:pPr>
        <w:pStyle w:val="ListParagraph"/>
        <w:ind w:left="1080"/>
        <w:rPr>
          <w:rFonts w:cs="Arial"/>
          <w:lang w:val="en-US"/>
        </w:rPr>
      </w:pPr>
    </w:p>
    <w:p w14:paraId="69E1FFFB" w14:textId="766F24A6" w:rsidR="003D6031" w:rsidRPr="00CB58FC" w:rsidRDefault="003D6031" w:rsidP="003D6031">
      <w:pPr>
        <w:pStyle w:val="ListParagraph"/>
        <w:numPr>
          <w:ilvl w:val="0"/>
          <w:numId w:val="16"/>
        </w:numPr>
        <w:rPr>
          <w:rFonts w:cs="Arial"/>
          <w:lang w:val="en-US"/>
        </w:rPr>
      </w:pPr>
      <w:r w:rsidRPr="00CB58FC">
        <w:rPr>
          <w:rFonts w:cs="Arial"/>
          <w:lang w:val="en-US"/>
        </w:rPr>
        <w:lastRenderedPageBreak/>
        <w:t xml:space="preserve"> On the other hand, there may be disadvantages in folding management of ARR into an existing CMO that is managing a wide range of rights beyond those of visual artists, even if there are apparent economies of scale and efficiencies that may otherwise arise. The interests of visual artists in such a CMO may be deferred to those of other right holders, particularly if the latter bring in more </w:t>
      </w:r>
      <w:r w:rsidR="002B10D4" w:rsidRPr="00CB58FC">
        <w:rPr>
          <w:rFonts w:cs="Arial"/>
          <w:lang w:val="en-US"/>
        </w:rPr>
        <w:t xml:space="preserve">royalties </w:t>
      </w:r>
      <w:r w:rsidRPr="00CB58FC">
        <w:rPr>
          <w:rFonts w:cs="Arial"/>
          <w:lang w:val="en-US"/>
        </w:rPr>
        <w:t xml:space="preserve">that </w:t>
      </w:r>
      <w:r w:rsidR="00A84F73" w:rsidRPr="00CB58FC">
        <w:rPr>
          <w:rFonts w:cs="Arial"/>
          <w:lang w:val="en-US"/>
        </w:rPr>
        <w:t>are</w:t>
      </w:r>
      <w:r w:rsidRPr="00CB58FC">
        <w:rPr>
          <w:rFonts w:cs="Arial"/>
          <w:lang w:val="en-US"/>
        </w:rPr>
        <w:t xml:space="preserve"> easier to collect. Accordingly, where a CMO is managing a range of rights, non-visual and visual, a ‘pecking order’ may emerge and it will be necessary to ensure that the internal regulations of the CMO give appropriate representation to visual artists to ensure that their interests are properly represented. Such regulations, for instance, could deal with such matters as voting powers within the CMO and election of board members, although this may still leave visual artists at a disadvantage where there are other – and larger – groups of right holders involved. That said, the advantages of a more specialized CMO dealing only with visual artists, including ARR, are considerable, as this allows for an </w:t>
      </w:r>
      <w:r w:rsidRPr="00CB58FC">
        <w:rPr>
          <w:rFonts w:cs="Arial"/>
        </w:rPr>
        <w:t>increased focus on fund allocation, collective participation in shared objectives, and the provision of social assistance for visual artists (as in France, where a portion of the undistributed ARR is allocated to a public organization that manages artists' retirement funds (IRCEC)).</w:t>
      </w:r>
      <w:r w:rsidRPr="00CB58FC">
        <w:rPr>
          <w:rFonts w:cs="Arial"/>
          <w:lang w:val="en-US"/>
        </w:rPr>
        <w:t xml:space="preserve"> </w:t>
      </w:r>
    </w:p>
    <w:p w14:paraId="1E26208B" w14:textId="77777777" w:rsidR="003D6031" w:rsidRPr="00CB58FC" w:rsidRDefault="003D6031" w:rsidP="003D6031">
      <w:pPr>
        <w:pStyle w:val="Heading1"/>
        <w:rPr>
          <w:szCs w:val="22"/>
        </w:rPr>
      </w:pPr>
      <w:r w:rsidRPr="00CB58FC">
        <w:rPr>
          <w:szCs w:val="22"/>
        </w:rPr>
        <w:t>INTERNAL AND EXTERNAL CONTROLS</w:t>
      </w:r>
    </w:p>
    <w:p w14:paraId="37BB3E9A" w14:textId="77777777" w:rsidR="003D6031" w:rsidRPr="00CB58FC" w:rsidRDefault="003D6031" w:rsidP="003D6031"/>
    <w:p w14:paraId="255D6613" w14:textId="77777777" w:rsidR="003D6031" w:rsidRPr="00CB58FC" w:rsidRDefault="003D6031" w:rsidP="003D6031">
      <w:pPr>
        <w:pStyle w:val="ListParagraph"/>
        <w:numPr>
          <w:ilvl w:val="0"/>
          <w:numId w:val="16"/>
        </w:numPr>
        <w:rPr>
          <w:rFonts w:cs="Arial"/>
          <w:lang w:val="en-US"/>
        </w:rPr>
      </w:pPr>
      <w:r w:rsidRPr="00CB58FC">
        <w:rPr>
          <w:rFonts w:cs="Arial"/>
          <w:lang w:val="en-US"/>
        </w:rPr>
        <w:t xml:space="preserve">National laws typically stipulate that control over the activities of any CMO will occur in two ways. The first is through the internal rules or statutes of the CMO that establish the governance and accountability of the CMO to its members. These will need to comply with the provisions of national law relating to these kinds of entities, for example, the national laws relating to companies or associations, and so on. They will typically include provisions for a board of directors, meetings of members, financial and reporting requirements in the same way as for other entities in the wider economic sphere, but also a summary of the CMO’s role and function, and an explanation of each category of right holders and the rights which it represents. The </w:t>
      </w:r>
      <w:r w:rsidRPr="00CB58FC">
        <w:rPr>
          <w:rFonts w:cs="Arial"/>
          <w:b/>
          <w:bCs/>
          <w:lang w:val="en-US"/>
        </w:rPr>
        <w:t>WIPO Toolkit</w:t>
      </w:r>
      <w:r w:rsidRPr="00CB58FC">
        <w:rPr>
          <w:rFonts w:cs="Arial"/>
          <w:lang w:val="en-US"/>
        </w:rPr>
        <w:t xml:space="preserve"> for CMOs deals with these matters in considerable detail: see Part 5.</w:t>
      </w:r>
    </w:p>
    <w:p w14:paraId="390218EB" w14:textId="77777777" w:rsidR="00E95157" w:rsidRPr="00CB58FC" w:rsidRDefault="00E95157" w:rsidP="0015390C">
      <w:pPr>
        <w:pStyle w:val="ListParagraph"/>
        <w:ind w:left="360"/>
        <w:rPr>
          <w:rFonts w:cs="Arial"/>
          <w:lang w:val="en-US"/>
        </w:rPr>
      </w:pPr>
    </w:p>
    <w:p w14:paraId="0B21AF5D" w14:textId="7D3679C4" w:rsidR="003D6031" w:rsidRPr="00CB58FC" w:rsidRDefault="003D6031" w:rsidP="003D6031">
      <w:pPr>
        <w:pStyle w:val="ListParagraph"/>
        <w:numPr>
          <w:ilvl w:val="0"/>
          <w:numId w:val="16"/>
        </w:numPr>
        <w:rPr>
          <w:rFonts w:cs="Arial"/>
          <w:lang w:val="en-US"/>
        </w:rPr>
      </w:pPr>
      <w:r w:rsidRPr="00CB58FC">
        <w:rPr>
          <w:rFonts w:cs="Arial"/>
          <w:lang w:val="en-US"/>
        </w:rPr>
        <w:t xml:space="preserve">A second level of controls will usually also arise through an overlay of external regulations at the national level that are directed specifically at the recognition and operations of the entity as a CMO. Such controls may be of different kinds: legislative provisions prescribing the requirements for recognition of the CMO, and a continuing monitoring function performed by an external regulator, such as the relevant Minister, department or other governmental agency. It will be seen therefore that there is a symbiotic relation here between the internal and external controls that apply to a CMO, in that what happens internally within the CMO, which is controlled by its members, must take place within the parameters set by the </w:t>
      </w:r>
      <w:r w:rsidR="00D6685B" w:rsidRPr="00CB58FC">
        <w:rPr>
          <w:rFonts w:cs="Arial"/>
          <w:lang w:val="en-US"/>
        </w:rPr>
        <w:t xml:space="preserve">broader law and any </w:t>
      </w:r>
      <w:r w:rsidRPr="00CB58FC">
        <w:rPr>
          <w:rFonts w:cs="Arial"/>
          <w:lang w:val="en-US"/>
        </w:rPr>
        <w:t xml:space="preserve">external </w:t>
      </w:r>
      <w:r w:rsidR="00D6685B" w:rsidRPr="00CB58FC">
        <w:rPr>
          <w:rFonts w:cs="Arial"/>
          <w:lang w:val="en-US"/>
        </w:rPr>
        <w:t>regulator</w:t>
      </w:r>
      <w:r w:rsidRPr="00CB58FC">
        <w:rPr>
          <w:rFonts w:cs="Arial"/>
          <w:lang w:val="en-US"/>
        </w:rPr>
        <w:t xml:space="preserve">. </w:t>
      </w:r>
    </w:p>
    <w:p w14:paraId="6508CCC5" w14:textId="77777777" w:rsidR="00A84F73" w:rsidRPr="00CB58FC" w:rsidRDefault="00A84F73" w:rsidP="0015390C">
      <w:pPr>
        <w:pStyle w:val="ListParagraph"/>
        <w:ind w:left="360"/>
        <w:rPr>
          <w:rFonts w:cs="Arial"/>
          <w:lang w:val="en-US"/>
        </w:rPr>
      </w:pPr>
    </w:p>
    <w:p w14:paraId="034FF7A4" w14:textId="561CCB48" w:rsidR="005B6905" w:rsidRPr="00CB58FC" w:rsidRDefault="003D6031" w:rsidP="003D6031">
      <w:pPr>
        <w:pStyle w:val="ListParagraph"/>
        <w:numPr>
          <w:ilvl w:val="0"/>
          <w:numId w:val="16"/>
        </w:numPr>
        <w:rPr>
          <w:rFonts w:cs="Arial"/>
          <w:lang w:val="en-US"/>
        </w:rPr>
      </w:pPr>
      <w:r w:rsidRPr="00CB58FC">
        <w:rPr>
          <w:rFonts w:cs="Arial"/>
          <w:lang w:val="en-US"/>
        </w:rPr>
        <w:t xml:space="preserve">For example, in the European Union, there is a directive (Directive 2014/26/EU) which deals in detail with CMOs, covering such matters as their objectives, membership and representation of members, management, transparency and reporting, users’ obligations, complaints and dispute resolution. This directive is then reflected in corresponding regulations at the national level in member countries that have opted for collective management of ARR (most, but not all, EU members). Typical is Hungary which adopted an implementing law in 2016 (Act XCIII of 2016): at this point, HUNGART (and all other functioning Hungarian CMOs) had to modify their statutes and other internal rules to comply with the 2016 Act. Again, in the UK, no longer in the EU, its implementing regulation (The Collective Management of Copyright (EU Directive) Regulations 2016) continues to apply to CMOs in that country. Another EU country, Austria, has its own authority that monitors the works of CMOs, including the granting of </w:t>
      </w:r>
      <w:r w:rsidR="00E508B9" w:rsidRPr="00CB58FC">
        <w:rPr>
          <w:rFonts w:cs="Arial"/>
          <w:lang w:val="en-US"/>
        </w:rPr>
        <w:t>licenses</w:t>
      </w:r>
      <w:r w:rsidRPr="00CB58FC">
        <w:rPr>
          <w:rFonts w:cs="Arial"/>
          <w:lang w:val="en-US"/>
        </w:rPr>
        <w:t xml:space="preserve"> to operate and the rights they are allowed to manage.</w:t>
      </w:r>
    </w:p>
    <w:p w14:paraId="265128B3" w14:textId="04EFEC7C" w:rsidR="003D6031" w:rsidRPr="00CB58FC" w:rsidRDefault="003D6031" w:rsidP="0015390C">
      <w:pPr>
        <w:pStyle w:val="ListParagraph"/>
        <w:ind w:left="360"/>
        <w:rPr>
          <w:rFonts w:cs="Arial"/>
          <w:lang w:val="en-US"/>
        </w:rPr>
      </w:pPr>
      <w:r w:rsidRPr="00CB58FC">
        <w:rPr>
          <w:rFonts w:cs="Arial"/>
          <w:lang w:val="en-US"/>
        </w:rPr>
        <w:t xml:space="preserve">    </w:t>
      </w:r>
    </w:p>
    <w:p w14:paraId="1293316C" w14:textId="77777777" w:rsidR="003D6031" w:rsidRPr="00CB58FC" w:rsidRDefault="003D6031" w:rsidP="003D6031">
      <w:pPr>
        <w:pStyle w:val="ListParagraph"/>
        <w:numPr>
          <w:ilvl w:val="0"/>
          <w:numId w:val="16"/>
        </w:numPr>
        <w:rPr>
          <w:rFonts w:cs="Arial"/>
          <w:lang w:val="en-US"/>
        </w:rPr>
      </w:pPr>
      <w:r w:rsidRPr="00CB58FC">
        <w:rPr>
          <w:rFonts w:cs="Arial"/>
          <w:lang w:val="en-US"/>
        </w:rPr>
        <w:lastRenderedPageBreak/>
        <w:t>In addition to such specific legislative controls, as mentioned above further monitoring of CMO operations is typically carried out by the relevant minister, government department or agency. In Italy, for example, SIAE is subject to the joint control of the Ministry of Culture and Presidency of the Council of Ministers as well as the Ministry of Economy and Finance in certain respects. This is also the case for the ADAGP in France, which has been subject to control from the Ministry of Culture as well as the Court of Audit since 2000. National audit offices may also have a potential role here, as in Hungary and Estonia. In Australia, there is a requirement for the annual report of the CMO to be tabled in parliament each year. Regular renewal of authorizations of CMOs to administer ARR is generally provided as well: for example, every five years, as in Denmark and Australia.</w:t>
      </w:r>
    </w:p>
    <w:p w14:paraId="1D3BA5AB" w14:textId="77777777" w:rsidR="005B6905" w:rsidRPr="00CB58FC" w:rsidRDefault="005B6905" w:rsidP="0015390C">
      <w:pPr>
        <w:pStyle w:val="ListParagraph"/>
        <w:ind w:left="360"/>
        <w:rPr>
          <w:rFonts w:cs="Arial"/>
          <w:lang w:val="en-US"/>
        </w:rPr>
      </w:pPr>
    </w:p>
    <w:p w14:paraId="33DBC045" w14:textId="77777777" w:rsidR="003D6031" w:rsidRPr="00CB58FC" w:rsidRDefault="003D6031" w:rsidP="003D6031">
      <w:pPr>
        <w:pStyle w:val="ListParagraph"/>
        <w:numPr>
          <w:ilvl w:val="0"/>
          <w:numId w:val="16"/>
        </w:numPr>
        <w:rPr>
          <w:rFonts w:cs="Arial"/>
          <w:lang w:val="en-US"/>
        </w:rPr>
      </w:pPr>
      <w:r w:rsidRPr="00CB58FC">
        <w:rPr>
          <w:rFonts w:cs="Arial"/>
          <w:lang w:val="en-US"/>
        </w:rPr>
        <w:t>More generally, national CMOs also receive the benefit of ‘peer review’ through their membership and participation in the activities of CISAC, the relevant international ‘peak’ organization for CMOs. Some sample provisions from national laws follow in Table 20.</w:t>
      </w:r>
    </w:p>
    <w:p w14:paraId="106BEE36" w14:textId="77777777" w:rsidR="003D6031" w:rsidRPr="00CB58FC" w:rsidRDefault="003D6031" w:rsidP="003D6031">
      <w:pPr>
        <w:pStyle w:val="ListParagraph"/>
        <w:rPr>
          <w:rFonts w:cs="Arial"/>
          <w:lang w:val="en-US"/>
        </w:rPr>
      </w:pPr>
    </w:p>
    <w:p w14:paraId="179E4A9D" w14:textId="77777777" w:rsidR="003D6031" w:rsidRPr="00CB58FC" w:rsidRDefault="003D6031" w:rsidP="003D6031">
      <w:pPr>
        <w:pStyle w:val="Heading1"/>
        <w:rPr>
          <w:b w:val="0"/>
          <w:bCs w:val="0"/>
          <w:szCs w:val="22"/>
        </w:rPr>
      </w:pPr>
      <w:r w:rsidRPr="00CB58FC">
        <w:rPr>
          <w:b w:val="0"/>
          <w:bCs w:val="0"/>
          <w:szCs w:val="22"/>
        </w:rPr>
        <w:t>TABLE 20 – APPOINTMENT OR ACCREDITATION OF CMOS</w:t>
      </w:r>
    </w:p>
    <w:p w14:paraId="2EA116F8" w14:textId="77777777" w:rsidR="003D6031" w:rsidRPr="00CB58FC"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CB58FC" w14:paraId="33B9E937" w14:textId="77777777" w:rsidTr="009505EE">
        <w:tc>
          <w:tcPr>
            <w:tcW w:w="1365" w:type="dxa"/>
          </w:tcPr>
          <w:p w14:paraId="74FAE8D4" w14:textId="77777777" w:rsidR="003D6031" w:rsidRPr="00CB58FC" w:rsidRDefault="003D6031" w:rsidP="009505EE">
            <w:pPr>
              <w:autoSpaceDE w:val="0"/>
              <w:autoSpaceDN w:val="0"/>
              <w:adjustRightInd w:val="0"/>
              <w:rPr>
                <w:b/>
                <w:bCs/>
                <w:lang w:val="fr-CH"/>
              </w:rPr>
            </w:pPr>
            <w:r w:rsidRPr="00CB58FC">
              <w:rPr>
                <w:b/>
                <w:bCs/>
                <w:lang w:val="fr-CH"/>
              </w:rPr>
              <w:t>Country</w:t>
            </w:r>
          </w:p>
        </w:tc>
        <w:tc>
          <w:tcPr>
            <w:tcW w:w="4867" w:type="dxa"/>
          </w:tcPr>
          <w:p w14:paraId="58C30AD2" w14:textId="77777777" w:rsidR="003D6031" w:rsidRPr="00CB58FC" w:rsidRDefault="003D6031" w:rsidP="009505EE">
            <w:pPr>
              <w:autoSpaceDE w:val="0"/>
              <w:autoSpaceDN w:val="0"/>
              <w:adjustRightInd w:val="0"/>
              <w:rPr>
                <w:b/>
                <w:bCs/>
                <w:lang w:val="fr-CH"/>
              </w:rPr>
            </w:pPr>
            <w:r w:rsidRPr="00CB58FC">
              <w:rPr>
                <w:b/>
                <w:bCs/>
                <w:lang w:val="fr-CH"/>
              </w:rPr>
              <w:t>Legislative provision</w:t>
            </w:r>
          </w:p>
        </w:tc>
        <w:tc>
          <w:tcPr>
            <w:tcW w:w="2778" w:type="dxa"/>
          </w:tcPr>
          <w:p w14:paraId="22FBF175" w14:textId="77777777" w:rsidR="003D6031" w:rsidRPr="00CB58FC" w:rsidRDefault="003D6031" w:rsidP="009505EE">
            <w:pPr>
              <w:autoSpaceDE w:val="0"/>
              <w:autoSpaceDN w:val="0"/>
              <w:adjustRightInd w:val="0"/>
              <w:rPr>
                <w:b/>
                <w:bCs/>
                <w:lang w:val="fr-CH"/>
              </w:rPr>
            </w:pPr>
            <w:r w:rsidRPr="00CB58FC">
              <w:rPr>
                <w:b/>
                <w:bCs/>
                <w:lang w:val="fr-CH"/>
              </w:rPr>
              <w:t>Comments</w:t>
            </w:r>
          </w:p>
          <w:p w14:paraId="4D82F33A" w14:textId="77777777" w:rsidR="00D6685B" w:rsidRPr="00CB58FC" w:rsidRDefault="00D6685B" w:rsidP="009505EE">
            <w:pPr>
              <w:autoSpaceDE w:val="0"/>
              <w:autoSpaceDN w:val="0"/>
              <w:adjustRightInd w:val="0"/>
              <w:rPr>
                <w:b/>
                <w:bCs/>
                <w:lang w:val="fr-CH"/>
              </w:rPr>
            </w:pPr>
          </w:p>
        </w:tc>
      </w:tr>
      <w:tr w:rsidR="003D6031" w:rsidRPr="00CB58FC" w14:paraId="40799696" w14:textId="77777777" w:rsidTr="009505EE">
        <w:tc>
          <w:tcPr>
            <w:tcW w:w="1365" w:type="dxa"/>
          </w:tcPr>
          <w:p w14:paraId="7E34A118" w14:textId="04C215B0" w:rsidR="003D6031" w:rsidRPr="00CB58FC" w:rsidRDefault="003D6031" w:rsidP="009505EE">
            <w:pPr>
              <w:autoSpaceDE w:val="0"/>
              <w:autoSpaceDN w:val="0"/>
              <w:adjustRightInd w:val="0"/>
              <w:rPr>
                <w:sz w:val="20"/>
                <w:szCs w:val="20"/>
              </w:rPr>
            </w:pPr>
            <w:r w:rsidRPr="00CB58FC">
              <w:rPr>
                <w:sz w:val="20"/>
                <w:szCs w:val="20"/>
              </w:rPr>
              <w:t>Australia</w:t>
            </w:r>
            <w:r w:rsidR="002B10D4" w:rsidRPr="00CB58FC">
              <w:rPr>
                <w:rStyle w:val="FootnoteReference"/>
                <w:sz w:val="20"/>
                <w:szCs w:val="20"/>
              </w:rPr>
              <w:footnoteReference w:id="29"/>
            </w:r>
            <w:r w:rsidRPr="00CB58FC">
              <w:rPr>
                <w:sz w:val="20"/>
                <w:szCs w:val="20"/>
              </w:rPr>
              <w:t xml:space="preserve"> </w:t>
            </w:r>
          </w:p>
        </w:tc>
        <w:tc>
          <w:tcPr>
            <w:tcW w:w="4867" w:type="dxa"/>
          </w:tcPr>
          <w:p w14:paraId="441505D0"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14:ligatures w14:val="standardContextual"/>
              </w:rPr>
              <w:t>35 Appointment of the collecting society</w:t>
            </w:r>
          </w:p>
          <w:p w14:paraId="758CCC3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A body may apply to the Minister to be appointed as the collecting society.</w:t>
            </w:r>
          </w:p>
          <w:p w14:paraId="358310A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After receiving the application, the Minister must do one of the following:</w:t>
            </w:r>
          </w:p>
          <w:p w14:paraId="0023ADC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appoint the body to be the collecting society, by notice in the Gazette, for a period not exceeding 5 years specified in the notice;</w:t>
            </w:r>
          </w:p>
          <w:p w14:paraId="73CE07C6"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refuse to appoint the body to be the collecting society.</w:t>
            </w:r>
          </w:p>
          <w:p w14:paraId="420D3363" w14:textId="24C6AEDF"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Only one body may be appointed to be the</w:t>
            </w:r>
            <w:r w:rsidR="000D0922" w:rsidRPr="00CB58FC">
              <w:rPr>
                <w:rFonts w:eastAsiaTheme="minorHAnsi"/>
                <w:sz w:val="20"/>
                <w:szCs w:val="20"/>
                <w14:ligatures w14:val="standardContextual"/>
              </w:rPr>
              <w:t xml:space="preserve"> </w:t>
            </w:r>
            <w:r w:rsidRPr="00CB58FC">
              <w:rPr>
                <w:rFonts w:eastAsiaTheme="minorHAnsi"/>
                <w:sz w:val="20"/>
                <w:szCs w:val="20"/>
                <w14:ligatures w14:val="standardContextual"/>
              </w:rPr>
              <w:t>collecting society at a time. A body must not be appointed to be the collecting society while another body is appointed to be the collecting society.</w:t>
            </w:r>
          </w:p>
          <w:p w14:paraId="0F7939F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Minister must not appoint a body to be the collecting society unless:</w:t>
            </w:r>
          </w:p>
          <w:p w14:paraId="38B1091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 xml:space="preserve">(a) it is a company limited by guarantee and incorporated under the </w:t>
            </w:r>
            <w:r w:rsidRPr="00CB58FC">
              <w:rPr>
                <w:rFonts w:eastAsiaTheme="minorHAnsi"/>
                <w:i/>
                <w:iCs/>
                <w:sz w:val="20"/>
                <w14:ligatures w14:val="standardContextual"/>
              </w:rPr>
              <w:t>Corporations Act 2001</w:t>
            </w:r>
            <w:r w:rsidRPr="00CB58FC">
              <w:rPr>
                <w:rFonts w:eastAsiaTheme="minorHAnsi"/>
                <w:sz w:val="20"/>
                <w:szCs w:val="20"/>
                <w14:ligatures w14:val="standardContextual"/>
              </w:rPr>
              <w:t>; and</w:t>
            </w:r>
          </w:p>
          <w:p w14:paraId="7AB60A0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all resale royalty right holders are entitled to become its members; and</w:t>
            </w:r>
          </w:p>
          <w:p w14:paraId="2E7A4487" w14:textId="752F61BF"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its rules prohibit the payment of dividends to its members;</w:t>
            </w:r>
            <w:r w:rsidR="00D6685B" w:rsidRPr="00CB58FC">
              <w:rPr>
                <w:rFonts w:eastAsiaTheme="minorHAnsi"/>
                <w:sz w:val="20"/>
                <w:szCs w:val="20"/>
                <w14:ligatures w14:val="standardContextual"/>
              </w:rPr>
              <w:t xml:space="preserve"> </w:t>
            </w:r>
            <w:r w:rsidRPr="00CB58FC">
              <w:rPr>
                <w:rFonts w:eastAsiaTheme="minorHAnsi"/>
                <w:sz w:val="20"/>
                <w:szCs w:val="20"/>
                <w14:ligatures w14:val="standardContextual"/>
              </w:rPr>
              <w:t>and</w:t>
            </w:r>
          </w:p>
          <w:p w14:paraId="23A3B38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its rules contain provisions of the kind determined by legislative instrument by the Minister, being provisions necessary to ensure that the interests of holders of resale royalty rights or their agents are protected adequately, including, in particular, provisions about:</w:t>
            </w:r>
          </w:p>
          <w:p w14:paraId="5A2B1CA1"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the collection of amounts of resale royalty; and</w:t>
            </w:r>
          </w:p>
          <w:p w14:paraId="42F63D7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the distribution of amounts collected by the society; and</w:t>
            </w:r>
          </w:p>
          <w:p w14:paraId="7B0E790A" w14:textId="35C5DA31"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(iii) the holding on trust by the society of amounts for holders of resale royalty rights who are not its members;</w:t>
            </w:r>
            <w:r w:rsidR="00D6685B" w:rsidRPr="00CB58FC">
              <w:rPr>
                <w:rFonts w:eastAsiaTheme="minorHAnsi"/>
                <w:sz w:val="20"/>
                <w:szCs w:val="20"/>
                <w14:ligatures w14:val="standardContextual"/>
              </w:rPr>
              <w:t xml:space="preserve"> </w:t>
            </w:r>
            <w:r w:rsidRPr="00CB58FC">
              <w:rPr>
                <w:rFonts w:eastAsiaTheme="minorHAnsi"/>
                <w:sz w:val="20"/>
                <w:szCs w:val="20"/>
                <w14:ligatures w14:val="standardContextual"/>
              </w:rPr>
              <w:t>and</w:t>
            </w:r>
          </w:p>
          <w:p w14:paraId="75466A0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lastRenderedPageBreak/>
              <w:t>(iv) access to records of the society by holders of resale royalty rights and their agents.</w:t>
            </w:r>
          </w:p>
        </w:tc>
        <w:tc>
          <w:tcPr>
            <w:tcW w:w="2778" w:type="dxa"/>
          </w:tcPr>
          <w:p w14:paraId="7ABC8EB7" w14:textId="77777777" w:rsidR="008601E6" w:rsidRPr="00CB58FC" w:rsidRDefault="002B10D4" w:rsidP="008601E6">
            <w:pPr>
              <w:pStyle w:val="ListParagraph"/>
              <w:numPr>
                <w:ilvl w:val="0"/>
                <w:numId w:val="8"/>
              </w:numPr>
              <w:autoSpaceDE w:val="0"/>
              <w:autoSpaceDN w:val="0"/>
              <w:adjustRightInd w:val="0"/>
              <w:rPr>
                <w:rFonts w:eastAsiaTheme="minorHAnsi"/>
                <w:sz w:val="20"/>
                <w14:ligatures w14:val="standardContextual"/>
              </w:rPr>
            </w:pPr>
            <w:r w:rsidRPr="00CB58FC">
              <w:rPr>
                <w:rFonts w:eastAsiaTheme="minorHAnsi"/>
                <w:sz w:val="20"/>
                <w14:ligatures w14:val="standardContextual"/>
              </w:rPr>
              <w:lastRenderedPageBreak/>
              <w:t xml:space="preserve">These are the legislative prescriptions as to what is required for appointment as a collecting society under the Act. </w:t>
            </w:r>
          </w:p>
          <w:p w14:paraId="295F1A1D" w14:textId="76DB3C65" w:rsidR="003D6031" w:rsidRPr="00CB58FC" w:rsidRDefault="002B10D4" w:rsidP="0015390C">
            <w:pPr>
              <w:pStyle w:val="ListParagraph"/>
              <w:numPr>
                <w:ilvl w:val="0"/>
                <w:numId w:val="8"/>
              </w:numPr>
              <w:autoSpaceDE w:val="0"/>
              <w:autoSpaceDN w:val="0"/>
              <w:adjustRightInd w:val="0"/>
              <w:rPr>
                <w:rFonts w:eastAsiaTheme="minorHAnsi"/>
                <w:sz w:val="20"/>
                <w14:ligatures w14:val="standardContextual"/>
              </w:rPr>
            </w:pPr>
            <w:r w:rsidRPr="00CB58FC">
              <w:rPr>
                <w:rFonts w:eastAsiaTheme="minorHAnsi"/>
                <w:sz w:val="20"/>
                <w14:ligatures w14:val="standardContextual"/>
              </w:rPr>
              <w:t xml:space="preserve">In addition, the Australian Government promulgated </w:t>
            </w:r>
            <w:r w:rsidR="00D46383" w:rsidRPr="00CB58FC">
              <w:rPr>
                <w:rFonts w:eastAsiaTheme="minorHAnsi"/>
                <w:sz w:val="20"/>
                <w14:ligatures w14:val="standardContextual"/>
              </w:rPr>
              <w:t xml:space="preserve">informal </w:t>
            </w:r>
            <w:r w:rsidR="003D6031" w:rsidRPr="00CB58FC">
              <w:rPr>
                <w:rFonts w:eastAsiaTheme="minorHAnsi"/>
                <w:sz w:val="20"/>
                <w14:ligatures w14:val="standardContextual"/>
              </w:rPr>
              <w:t>‘tender’ requirements</w:t>
            </w:r>
            <w:r w:rsidRPr="00CB58FC">
              <w:rPr>
                <w:rFonts w:eastAsiaTheme="minorHAnsi"/>
                <w:sz w:val="20"/>
                <w14:ligatures w14:val="standardContextual"/>
              </w:rPr>
              <w:t xml:space="preserve">’ for entities that were seeking appointment </w:t>
            </w:r>
            <w:r w:rsidR="00D46383" w:rsidRPr="00CB58FC">
              <w:rPr>
                <w:rFonts w:eastAsiaTheme="minorHAnsi"/>
                <w:sz w:val="20"/>
                <w14:ligatures w14:val="standardContextual"/>
              </w:rPr>
              <w:t xml:space="preserve">and these were more detailed than those ion the legislation, </w:t>
            </w:r>
            <w:r w:rsidR="003D6031" w:rsidRPr="00CB58FC">
              <w:rPr>
                <w:rFonts w:eastAsiaTheme="minorHAnsi"/>
                <w:sz w:val="20"/>
                <w14:ligatures w14:val="standardContextual"/>
              </w:rPr>
              <w:t>going to such matters as the way the society would identify eligible right holders and works, communications strategies, timing of royalty payments, and so on</w:t>
            </w:r>
            <w:r w:rsidR="00244F42">
              <w:rPr>
                <w:rFonts w:eastAsiaTheme="minorHAnsi"/>
                <w:sz w:val="20"/>
                <w14:ligatures w14:val="standardContextual"/>
              </w:rPr>
              <w:t>.</w:t>
            </w:r>
            <w:r w:rsidR="003D6031" w:rsidRPr="00CB58FC">
              <w:rPr>
                <w:rFonts w:eastAsiaTheme="minorHAnsi"/>
                <w:sz w:val="20"/>
                <w14:ligatures w14:val="standardContextual"/>
              </w:rPr>
              <w:t xml:space="preserve">   </w:t>
            </w:r>
          </w:p>
        </w:tc>
      </w:tr>
      <w:tr w:rsidR="003D6031" w:rsidRPr="00CB58FC" w14:paraId="4783A1DF" w14:textId="77777777" w:rsidTr="009505EE">
        <w:tc>
          <w:tcPr>
            <w:tcW w:w="1365" w:type="dxa"/>
          </w:tcPr>
          <w:p w14:paraId="1392E059" w14:textId="42127D64" w:rsidR="003D6031" w:rsidRPr="00CB58FC" w:rsidRDefault="003D6031" w:rsidP="009505EE">
            <w:pPr>
              <w:autoSpaceDE w:val="0"/>
              <w:autoSpaceDN w:val="0"/>
              <w:adjustRightInd w:val="0"/>
              <w:rPr>
                <w:sz w:val="20"/>
                <w:szCs w:val="20"/>
              </w:rPr>
            </w:pPr>
            <w:r w:rsidRPr="00CB58FC">
              <w:rPr>
                <w:sz w:val="20"/>
                <w:szCs w:val="20"/>
              </w:rPr>
              <w:t>France</w:t>
            </w:r>
            <w:r w:rsidR="00D46383" w:rsidRPr="00CB58FC">
              <w:rPr>
                <w:rStyle w:val="FootnoteReference"/>
                <w:sz w:val="20"/>
                <w:szCs w:val="20"/>
              </w:rPr>
              <w:footnoteReference w:id="30"/>
            </w:r>
          </w:p>
        </w:tc>
        <w:tc>
          <w:tcPr>
            <w:tcW w:w="4867" w:type="dxa"/>
          </w:tcPr>
          <w:p w14:paraId="2EBAD963" w14:textId="77777777" w:rsidR="003D6031" w:rsidRPr="00CB58FC" w:rsidRDefault="003D6031" w:rsidP="0015390C">
            <w:pPr>
              <w:autoSpaceDE w:val="0"/>
              <w:autoSpaceDN w:val="0"/>
              <w:adjustRightInd w:val="0"/>
              <w:jc w:val="both"/>
              <w:rPr>
                <w:sz w:val="20"/>
              </w:rPr>
            </w:pPr>
            <w:r w:rsidRPr="00CB58FC">
              <w:rPr>
                <w:sz w:val="20"/>
              </w:rPr>
              <w:t>I. - The Minister responsible for culture establishes by order a list of collective management organizations capable of informing the beneficiaries of the resale right and likely, as such, to be informed of the sales of original graphic or plastic works under the conditions set out in II of Article R. 122-10.</w:t>
            </w:r>
          </w:p>
          <w:p w14:paraId="51327A9D" w14:textId="77777777" w:rsidR="003D6031" w:rsidRPr="00CB58FC" w:rsidRDefault="003D6031" w:rsidP="0015390C">
            <w:pPr>
              <w:autoSpaceDE w:val="0"/>
              <w:autoSpaceDN w:val="0"/>
              <w:adjustRightInd w:val="0"/>
              <w:jc w:val="both"/>
              <w:rPr>
                <w:sz w:val="20"/>
              </w:rPr>
            </w:pPr>
            <w:r w:rsidRPr="00CB58FC">
              <w:rPr>
                <w:sz w:val="20"/>
              </w:rPr>
              <w:t>II. - To be included on the list mentioned in I of this article, a collective management organization must, in support of its request:</w:t>
            </w:r>
          </w:p>
          <w:p w14:paraId="1896B619" w14:textId="77777777" w:rsidR="003D6031" w:rsidRPr="00CB58FC" w:rsidRDefault="003D6031" w:rsidP="0015390C">
            <w:pPr>
              <w:autoSpaceDE w:val="0"/>
              <w:autoSpaceDN w:val="0"/>
              <w:adjustRightInd w:val="0"/>
              <w:jc w:val="both"/>
              <w:rPr>
                <w:sz w:val="20"/>
              </w:rPr>
            </w:pPr>
            <w:r w:rsidRPr="00CB58FC">
              <w:rPr>
                <w:sz w:val="20"/>
              </w:rPr>
              <w:t>1° Provide proof of the diversity of its members and the number of rights holders;</w:t>
            </w:r>
          </w:p>
          <w:p w14:paraId="68D4A77C" w14:textId="77777777" w:rsidR="003D6031" w:rsidRPr="00CB58FC" w:rsidRDefault="003D6031" w:rsidP="0015390C">
            <w:pPr>
              <w:autoSpaceDE w:val="0"/>
              <w:autoSpaceDN w:val="0"/>
              <w:adjustRightInd w:val="0"/>
              <w:jc w:val="both"/>
              <w:rPr>
                <w:sz w:val="20"/>
              </w:rPr>
            </w:pPr>
            <w:r w:rsidRPr="00CB58FC">
              <w:rPr>
                <w:sz w:val="20"/>
              </w:rPr>
              <w:t>2° Justify the qualification of its managers and corporate officers, assessed based on their professional experience in the graphic or plastic arts sector or the management of professional organizations;</w:t>
            </w:r>
          </w:p>
          <w:p w14:paraId="412A280C" w14:textId="77777777" w:rsidR="003D6031" w:rsidRPr="00CB58FC" w:rsidRDefault="003D6031" w:rsidP="0015390C">
            <w:pPr>
              <w:autoSpaceDE w:val="0"/>
              <w:autoSpaceDN w:val="0"/>
              <w:adjustRightInd w:val="0"/>
              <w:jc w:val="both"/>
              <w:rPr>
                <w:sz w:val="20"/>
              </w:rPr>
            </w:pPr>
            <w:r w:rsidRPr="00CB58FC">
              <w:rPr>
                <w:sz w:val="20"/>
              </w:rPr>
              <w:t>3° Provide all information relating to its administrative organization, its installation and equipment conditions and its capacity to inform beneficiaries of the resale right, including abroad.</w:t>
            </w:r>
          </w:p>
          <w:p w14:paraId="094F32B3" w14:textId="77777777" w:rsidR="003D6031" w:rsidRPr="00CB58FC" w:rsidRDefault="003D6031" w:rsidP="0015390C">
            <w:pPr>
              <w:autoSpaceDE w:val="0"/>
              <w:autoSpaceDN w:val="0"/>
              <w:adjustRightInd w:val="0"/>
              <w:jc w:val="both"/>
              <w:rPr>
                <w:sz w:val="20"/>
              </w:rPr>
            </w:pPr>
            <w:r w:rsidRPr="00CB58FC">
              <w:rPr>
                <w:sz w:val="20"/>
              </w:rPr>
              <w:t>Any organization that requests it or, subject to having been given the opportunity to submit its observations within two months, any company that does not meet the requirements, is removed from the list by order of the Minister responsible for culture. plus the conditions to which registration on the list is subject.</w:t>
            </w:r>
          </w:p>
          <w:p w14:paraId="3E58A471" w14:textId="77777777" w:rsidR="003D6031" w:rsidRPr="00CB58FC" w:rsidRDefault="003D6031" w:rsidP="0015390C">
            <w:pPr>
              <w:autoSpaceDE w:val="0"/>
              <w:autoSpaceDN w:val="0"/>
              <w:adjustRightInd w:val="0"/>
              <w:jc w:val="both"/>
              <w:rPr>
                <w:sz w:val="20"/>
              </w:rPr>
            </w:pPr>
          </w:p>
          <w:p w14:paraId="69A94B5B" w14:textId="77777777" w:rsidR="003D6031" w:rsidRPr="00CB58FC" w:rsidRDefault="003D6031" w:rsidP="0015390C">
            <w:pPr>
              <w:autoSpaceDE w:val="0"/>
              <w:autoSpaceDN w:val="0"/>
              <w:adjustRightInd w:val="0"/>
              <w:jc w:val="both"/>
              <w:rPr>
                <w:sz w:val="20"/>
              </w:rPr>
            </w:pPr>
            <w:r w:rsidRPr="00CB58FC">
              <w:rPr>
                <w:sz w:val="20"/>
              </w:rPr>
              <w:t>III. - The orders of the Minister responsible for culture mentioned in I and II are published in the Official Journal of the French Republic</w:t>
            </w:r>
          </w:p>
          <w:p w14:paraId="54F32D49" w14:textId="77777777" w:rsidR="003D6031" w:rsidRPr="00CB58FC" w:rsidRDefault="003D6031" w:rsidP="009505EE">
            <w:pPr>
              <w:autoSpaceDE w:val="0"/>
              <w:autoSpaceDN w:val="0"/>
              <w:adjustRightInd w:val="0"/>
              <w:rPr>
                <w:sz w:val="20"/>
                <w:szCs w:val="20"/>
              </w:rPr>
            </w:pPr>
          </w:p>
        </w:tc>
        <w:tc>
          <w:tcPr>
            <w:tcW w:w="2778" w:type="dxa"/>
          </w:tcPr>
          <w:p w14:paraId="101D1A38" w14:textId="43B71EEA" w:rsidR="003D6031" w:rsidRPr="00CB58FC" w:rsidRDefault="003D6031"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This has a broad list of factors to be considered.</w:t>
            </w:r>
          </w:p>
        </w:tc>
      </w:tr>
      <w:tr w:rsidR="003D6031" w:rsidRPr="00CB58FC" w14:paraId="7250C9E3" w14:textId="77777777" w:rsidTr="009505EE">
        <w:tc>
          <w:tcPr>
            <w:tcW w:w="1365" w:type="dxa"/>
          </w:tcPr>
          <w:p w14:paraId="1FE5C573" w14:textId="5D6E2110" w:rsidR="003D6031" w:rsidRPr="00CB58FC" w:rsidRDefault="003D6031" w:rsidP="009505EE">
            <w:pPr>
              <w:autoSpaceDE w:val="0"/>
              <w:autoSpaceDN w:val="0"/>
              <w:adjustRightInd w:val="0"/>
              <w:rPr>
                <w:i/>
                <w:iCs/>
                <w:sz w:val="20"/>
                <w:szCs w:val="20"/>
              </w:rPr>
            </w:pPr>
            <w:r w:rsidRPr="00CB58FC">
              <w:rPr>
                <w:sz w:val="20"/>
                <w:szCs w:val="20"/>
              </w:rPr>
              <w:t>New Zealand</w:t>
            </w:r>
            <w:r w:rsidR="00D46383" w:rsidRPr="00CB58FC">
              <w:rPr>
                <w:rStyle w:val="FootnoteReference"/>
                <w:sz w:val="20"/>
                <w:szCs w:val="20"/>
              </w:rPr>
              <w:footnoteReference w:id="31"/>
            </w:r>
          </w:p>
        </w:tc>
        <w:tc>
          <w:tcPr>
            <w:tcW w:w="4867" w:type="dxa"/>
          </w:tcPr>
          <w:p w14:paraId="4CD493A9"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22 Minister may appoint collection agency</w:t>
            </w:r>
          </w:p>
          <w:p w14:paraId="12318DC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There must at all times be a person appointed by the Minister as the collection agency.</w:t>
            </w:r>
          </w:p>
          <w:p w14:paraId="12195E9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Minister may, by notice in the Gazette, appoint a person as the collection agency for the purposes of this Act.</w:t>
            </w:r>
          </w:p>
          <w:p w14:paraId="724EA96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Before appointing a person as the collection agency, the Minister must—</w:t>
            </w:r>
          </w:p>
          <w:p w14:paraId="4EC50F5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be satisfied that the appointee has the appropriate knowledge, skills, and experience to carry out the functions of the collection agency under this Act; and</w:t>
            </w:r>
          </w:p>
          <w:p w14:paraId="78EA1E1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consider, or be satisfied of, any other matters specified in the regulations.</w:t>
            </w:r>
          </w:p>
          <w:p w14:paraId="4891865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collection agency holds office for the term specified in the notice, unless the appointment is earlier revoked (see section 23).</w:t>
            </w:r>
          </w:p>
          <w:p w14:paraId="11DB88C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2E1A231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(6) The collection agency is subject to the Ombudsmen Act 1975, the Official Information Act 1982, and the Public Records Act 2005 in respect of functions that it performs under this Act.</w:t>
            </w:r>
          </w:p>
          <w:p w14:paraId="1D5E0B28"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4486C63E"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3BC0EE11" w14:textId="67550AA8"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lastRenderedPageBreak/>
              <w:t>23 Minister may revoke appointment</w:t>
            </w:r>
          </w:p>
          <w:p w14:paraId="7379CB4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Minister may, by notice in the Gazette, revoke the appointment of the collection agency—</w:t>
            </w:r>
          </w:p>
          <w:p w14:paraId="227953F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if, in the opinion of the Minister, the collection agency has failed to comply with any of the terms or conditions of the appointment or satisfactorily perform its functions or duties under this Act:</w:t>
            </w:r>
          </w:p>
          <w:p w14:paraId="2397027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requested to do so by the collection agency.</w:t>
            </w:r>
          </w:p>
          <w:p w14:paraId="7346AA5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Minister must give the collection agency reasonable notice of a revocation under subsection (1)(a).</w:t>
            </w:r>
          </w:p>
          <w:p w14:paraId="33D5FA77"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79015891" w14:textId="5F3949ED" w:rsidR="003D6031" w:rsidRPr="00CB58FC" w:rsidRDefault="003D6031"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24 Function, duties, and operation of collection agency</w:t>
            </w:r>
          </w:p>
          <w:p w14:paraId="43AF9CD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function of the collection agency is to collect and distribute resale royalties to right holders.</w:t>
            </w:r>
          </w:p>
          <w:p w14:paraId="4321198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collection agency must—</w:t>
            </w:r>
          </w:p>
          <w:p w14:paraId="67DC608C"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comply with the rules of operation set out in the regulations; and</w:t>
            </w:r>
          </w:p>
          <w:p w14:paraId="0C70D04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operate in a way that is transparent, accountable, and respectful; and</w:t>
            </w:r>
          </w:p>
          <w:p w14:paraId="5EF2D91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act in the best interests of right holders; and</w:t>
            </w:r>
          </w:p>
          <w:p w14:paraId="257FCC2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in carrying out its function and duties,—</w:t>
            </w:r>
          </w:p>
          <w:p w14:paraId="32C8E5B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acknowledge and respect the role of Māori as tangata whenua and provide culturally appropriate support to Māori artists; and</w:t>
            </w:r>
          </w:p>
          <w:p w14:paraId="602171A0" w14:textId="43586700"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be inclusive of, and recogni</w:t>
            </w:r>
            <w:r w:rsidR="00E508B9" w:rsidRPr="00CB58FC">
              <w:rPr>
                <w:rFonts w:eastAsiaTheme="minorHAnsi"/>
                <w:sz w:val="20"/>
                <w:szCs w:val="20"/>
                <w14:ligatures w14:val="standardContextual"/>
              </w:rPr>
              <w:t>z</w:t>
            </w:r>
            <w:r w:rsidRPr="00CB58FC">
              <w:rPr>
                <w:rFonts w:eastAsiaTheme="minorHAnsi"/>
                <w:sz w:val="20"/>
                <w:szCs w:val="20"/>
                <w14:ligatures w14:val="standardContextual"/>
              </w:rPr>
              <w:t>e the different needs of, all peoples in New Zealand.</w:t>
            </w:r>
          </w:p>
          <w:p w14:paraId="7E10E04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regulations may specify the rules of operation of the collection agency, including rules in relation to any or all of the following matters:</w:t>
            </w:r>
          </w:p>
          <w:p w14:paraId="68795690"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how resale royalties are to be collected, held, and distributed:</w:t>
            </w:r>
          </w:p>
          <w:p w14:paraId="11FAD0D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how resale royalties that are not distributed are to be used or managed (for example, where right holders decline payment or cannot be found):</w:t>
            </w:r>
          </w:p>
          <w:p w14:paraId="5E2BA67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how right holders are to be represented in the management of the collection agency:</w:t>
            </w:r>
          </w:p>
          <w:p w14:paraId="4B9E30E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(d) how financial records are to be disclosed:</w:t>
            </w:r>
          </w:p>
          <w:p w14:paraId="0EC793B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(e) how information relating to resale rights is to be collected and retained:</w:t>
            </w:r>
          </w:p>
          <w:p w14:paraId="197AC65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(f) what records must be kept and how they are to be kept and made available:</w:t>
            </w:r>
          </w:p>
          <w:p w14:paraId="1618094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(g) any other matter that relates to the role of the collection agency under this Act.</w:t>
            </w:r>
          </w:p>
          <w:p w14:paraId="332853BD"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The regulations may provide for the collection agency to establish and maintain a register of right holders.</w:t>
            </w:r>
          </w:p>
        </w:tc>
        <w:tc>
          <w:tcPr>
            <w:tcW w:w="2778" w:type="dxa"/>
          </w:tcPr>
          <w:p w14:paraId="2D2151ED" w14:textId="4084E3D7" w:rsidR="003D6031" w:rsidRPr="00CB58FC" w:rsidRDefault="003D6031" w:rsidP="0015390C">
            <w:pPr>
              <w:autoSpaceDE w:val="0"/>
              <w:autoSpaceDN w:val="0"/>
              <w:adjustRightInd w:val="0"/>
              <w:jc w:val="both"/>
              <w:rPr>
                <w:rFonts w:eastAsiaTheme="minorHAnsi"/>
                <w:sz w:val="23"/>
                <w:szCs w:val="23"/>
                <w14:ligatures w14:val="standardContextual"/>
              </w:rPr>
            </w:pPr>
            <w:r w:rsidRPr="00CB58FC">
              <w:rPr>
                <w:rFonts w:eastAsiaTheme="minorHAnsi"/>
                <w:sz w:val="23"/>
                <w:szCs w:val="23"/>
                <w14:ligatures w14:val="standardContextual"/>
              </w:rPr>
              <w:lastRenderedPageBreak/>
              <w:t>T</w:t>
            </w:r>
            <w:r w:rsidRPr="00CB58FC">
              <w:rPr>
                <w:rFonts w:eastAsiaTheme="minorHAnsi"/>
                <w:sz w:val="20"/>
                <w:szCs w:val="20"/>
                <w14:ligatures w14:val="standardContextual"/>
              </w:rPr>
              <w:t>his new legislation is particularly detailed on the qualities of the management of the CMO, its management, and the need for it to act in th</w:t>
            </w:r>
            <w:r w:rsidR="008601E6" w:rsidRPr="00CB58FC">
              <w:rPr>
                <w:rFonts w:eastAsiaTheme="minorHAnsi"/>
                <w:sz w:val="20"/>
                <w:szCs w:val="20"/>
                <w14:ligatures w14:val="standardContextual"/>
              </w:rPr>
              <w:t>e</w:t>
            </w:r>
            <w:r w:rsidRPr="00CB58FC">
              <w:rPr>
                <w:rFonts w:eastAsiaTheme="minorHAnsi"/>
                <w:sz w:val="20"/>
                <w:szCs w:val="20"/>
                <w14:ligatures w14:val="standardContextual"/>
              </w:rPr>
              <w:t xml:space="preserve"> interests of right holders, with particular reference to the interest of Māori artists.</w:t>
            </w:r>
          </w:p>
        </w:tc>
      </w:tr>
    </w:tbl>
    <w:p w14:paraId="205DECAC" w14:textId="77777777" w:rsidR="003D6031" w:rsidRPr="00CB58FC" w:rsidRDefault="003D6031" w:rsidP="003D6031">
      <w:pPr>
        <w:autoSpaceDE w:val="0"/>
        <w:autoSpaceDN w:val="0"/>
        <w:adjustRightInd w:val="0"/>
        <w:rPr>
          <w:rFonts w:eastAsiaTheme="minorHAnsi"/>
          <w:sz w:val="24"/>
          <w:szCs w:val="24"/>
          <w14:ligatures w14:val="standardContextual"/>
        </w:rPr>
      </w:pPr>
      <w:r w:rsidRPr="00CB58FC">
        <w:t xml:space="preserve">   </w:t>
      </w:r>
    </w:p>
    <w:p w14:paraId="4E4D48D7" w14:textId="77777777" w:rsidR="003D6031" w:rsidRPr="00CB58FC" w:rsidRDefault="003D6031" w:rsidP="003D6031">
      <w:pPr>
        <w:pStyle w:val="Heading1"/>
        <w:rPr>
          <w:szCs w:val="22"/>
        </w:rPr>
      </w:pPr>
      <w:r w:rsidRPr="00CB58FC">
        <w:rPr>
          <w:szCs w:val="22"/>
        </w:rPr>
        <w:t>THE LEGAL BASIS ON WHICH CMOS MANAGE ARR – THE QUESTION OF MANDATES</w:t>
      </w:r>
    </w:p>
    <w:p w14:paraId="05F04F74" w14:textId="77777777" w:rsidR="003D6031" w:rsidRPr="00CB58FC" w:rsidRDefault="003D6031" w:rsidP="003D6031"/>
    <w:p w14:paraId="227F889C" w14:textId="52DE6E96" w:rsidR="005B6905" w:rsidRPr="00CB58FC" w:rsidRDefault="003D6031" w:rsidP="003D6031">
      <w:pPr>
        <w:pStyle w:val="ListParagraph"/>
        <w:numPr>
          <w:ilvl w:val="0"/>
          <w:numId w:val="16"/>
        </w:numPr>
        <w:rPr>
          <w:rFonts w:cs="Arial"/>
        </w:rPr>
      </w:pPr>
      <w:r w:rsidRPr="00CB58FC">
        <w:rPr>
          <w:rFonts w:cs="Arial"/>
        </w:rPr>
        <w:t xml:space="preserve">The legal basis on which a CMO administers ARR may differ significantly from country to country. As a general matter, however, the relationship between </w:t>
      </w:r>
      <w:r w:rsidR="00E508B9" w:rsidRPr="00CB58FC">
        <w:rPr>
          <w:rFonts w:cs="Arial"/>
        </w:rPr>
        <w:t xml:space="preserve">the </w:t>
      </w:r>
      <w:r w:rsidRPr="00CB58FC">
        <w:rPr>
          <w:rFonts w:cs="Arial"/>
        </w:rPr>
        <w:t xml:space="preserve">right holder and the CMO is one of agency, where the CMO acts as an intermediary with authority to collect and distribute ARR royalties on behalf of rightsholders, rather than as an assignee or licensee of the right as may be the case with other exclusive rights that are collectively managed (indeed, any </w:t>
      </w:r>
      <w:r w:rsidR="00AE2FC8" w:rsidRPr="00CB58FC">
        <w:rPr>
          <w:rFonts w:cs="Arial"/>
        </w:rPr>
        <w:t xml:space="preserve">transfer </w:t>
      </w:r>
      <w:r w:rsidRPr="00CB58FC">
        <w:rPr>
          <w:rFonts w:cs="Arial"/>
        </w:rPr>
        <w:t xml:space="preserve">of ARR would be inconsistent with the requirement of inalienability under article </w:t>
      </w:r>
      <w:r w:rsidRPr="00CB58FC">
        <w:rPr>
          <w:rFonts w:cs="Arial"/>
          <w:i/>
          <w:iCs/>
        </w:rPr>
        <w:lastRenderedPageBreak/>
        <w:t>14ter</w:t>
      </w:r>
      <w:r w:rsidRPr="00CB58FC">
        <w:rPr>
          <w:rFonts w:cs="Arial"/>
        </w:rPr>
        <w:t>(1)</w:t>
      </w:r>
      <w:r w:rsidRPr="00CB58FC">
        <w:rPr>
          <w:rFonts w:cs="Arial"/>
          <w:i/>
          <w:iCs/>
        </w:rPr>
        <w:t xml:space="preserve"> </w:t>
      </w:r>
      <w:r w:rsidRPr="00CB58FC">
        <w:rPr>
          <w:rFonts w:cs="Arial"/>
        </w:rPr>
        <w:t xml:space="preserve">of Berne). This highlights the peculiar character of ARR, in that it is framed as a right to </w:t>
      </w:r>
      <w:r w:rsidR="00AE2FC8" w:rsidRPr="00CB58FC">
        <w:rPr>
          <w:rFonts w:cs="Arial"/>
        </w:rPr>
        <w:t xml:space="preserve">an ‘interest’ or royalty </w:t>
      </w:r>
      <w:r w:rsidRPr="00CB58FC">
        <w:rPr>
          <w:rFonts w:cs="Arial"/>
        </w:rPr>
        <w:t xml:space="preserve">– in effect, a debt obligation – </w:t>
      </w:r>
      <w:r w:rsidR="00AE2FC8" w:rsidRPr="00CB58FC">
        <w:rPr>
          <w:rFonts w:cs="Arial"/>
        </w:rPr>
        <w:t>that flows f</w:t>
      </w:r>
      <w:r w:rsidRPr="00CB58FC">
        <w:rPr>
          <w:rFonts w:cs="Arial"/>
        </w:rPr>
        <w:t>rom a particular transaction</w:t>
      </w:r>
      <w:r w:rsidR="00AE2FC8" w:rsidRPr="00CB58FC">
        <w:rPr>
          <w:rFonts w:cs="Arial"/>
        </w:rPr>
        <w:t xml:space="preserve"> - the resale -</w:t>
      </w:r>
      <w:r w:rsidRPr="00CB58FC">
        <w:rPr>
          <w:rFonts w:cs="Arial"/>
        </w:rPr>
        <w:t xml:space="preserve"> rather than </w:t>
      </w:r>
      <w:r w:rsidR="00AE2FC8" w:rsidRPr="00CB58FC">
        <w:rPr>
          <w:rFonts w:cs="Arial"/>
        </w:rPr>
        <w:t xml:space="preserve">from </w:t>
      </w:r>
      <w:r w:rsidRPr="00CB58FC">
        <w:rPr>
          <w:rFonts w:cs="Arial"/>
        </w:rPr>
        <w:t>the licensing of a particular usage of a copyright work which may be on a continuing (and future) basis, as typically occurs in the case of the exclusive reproduction, performance and communication rights. As noted above, article 14</w:t>
      </w:r>
      <w:r w:rsidRPr="00CB58FC">
        <w:rPr>
          <w:rFonts w:cs="Arial"/>
          <w:i/>
          <w:iCs/>
        </w:rPr>
        <w:t>ter</w:t>
      </w:r>
      <w:r w:rsidRPr="00CB58FC">
        <w:rPr>
          <w:rFonts w:cs="Arial"/>
        </w:rPr>
        <w:t>(3)</w:t>
      </w:r>
      <w:r w:rsidRPr="00CB58FC">
        <w:rPr>
          <w:rFonts w:cs="Arial"/>
          <w:i/>
          <w:iCs/>
        </w:rPr>
        <w:t xml:space="preserve"> </w:t>
      </w:r>
      <w:r w:rsidRPr="00CB58FC">
        <w:rPr>
          <w:rFonts w:cs="Arial"/>
        </w:rPr>
        <w:t xml:space="preserve">of the Berne Convention leaves it open to member countries to determine how the amounts due under ARR are to be collected, which allows a great deal of latitude as to how national laws deal with this matter, for example, under a collective management scheme or variant thereof. </w:t>
      </w:r>
    </w:p>
    <w:p w14:paraId="6F24C578" w14:textId="5F358015" w:rsidR="003D6031" w:rsidRPr="00CB58FC" w:rsidRDefault="003D6031" w:rsidP="0015390C">
      <w:pPr>
        <w:pStyle w:val="ListParagraph"/>
        <w:ind w:left="360"/>
        <w:rPr>
          <w:rFonts w:cs="Arial"/>
        </w:rPr>
      </w:pPr>
      <w:r w:rsidRPr="00CB58FC">
        <w:rPr>
          <w:rFonts w:cs="Arial"/>
        </w:rPr>
        <w:t xml:space="preserve"> </w:t>
      </w:r>
    </w:p>
    <w:p w14:paraId="70B86C80" w14:textId="2FA8570D" w:rsidR="003D6031" w:rsidRPr="00CB58FC" w:rsidRDefault="003D6031" w:rsidP="003D6031">
      <w:pPr>
        <w:pStyle w:val="ListParagraph"/>
        <w:numPr>
          <w:ilvl w:val="0"/>
          <w:numId w:val="16"/>
        </w:numPr>
        <w:rPr>
          <w:rFonts w:cs="Arial"/>
        </w:rPr>
      </w:pPr>
      <w:r w:rsidRPr="00CB58FC">
        <w:rPr>
          <w:rFonts w:cs="Arial"/>
        </w:rPr>
        <w:t>In many instances, the practice in national legislation where ARR is recogni</w:t>
      </w:r>
      <w:r w:rsidR="00155BF0" w:rsidRPr="00CB58FC">
        <w:rPr>
          <w:rFonts w:cs="Arial"/>
        </w:rPr>
        <w:t>z</w:t>
      </w:r>
      <w:r w:rsidRPr="00CB58FC">
        <w:rPr>
          <w:rFonts w:cs="Arial"/>
        </w:rPr>
        <w:t>ed is to provide further that the right may be collectively managed, that is, by an appointed or authori</w:t>
      </w:r>
      <w:r w:rsidR="00155BF0" w:rsidRPr="00CB58FC">
        <w:rPr>
          <w:rFonts w:cs="Arial"/>
        </w:rPr>
        <w:t>z</w:t>
      </w:r>
      <w:r w:rsidRPr="00CB58FC">
        <w:rPr>
          <w:rFonts w:cs="Arial"/>
        </w:rPr>
        <w:t xml:space="preserve">ed CMO, rather than individually managed. But, as we have seen, there may be significant differences here as to the scope of the CMO’s remit. </w:t>
      </w:r>
    </w:p>
    <w:p w14:paraId="568AC652" w14:textId="77777777" w:rsidR="005B6905" w:rsidRPr="00CB58FC" w:rsidRDefault="005B6905" w:rsidP="0015390C">
      <w:pPr>
        <w:pStyle w:val="ListParagraph"/>
        <w:ind w:left="360"/>
        <w:rPr>
          <w:rFonts w:cs="Arial"/>
        </w:rPr>
      </w:pPr>
    </w:p>
    <w:p w14:paraId="6E275785" w14:textId="0A762A29" w:rsidR="003D6031" w:rsidRPr="00CB58FC" w:rsidRDefault="003D6031" w:rsidP="003D6031">
      <w:pPr>
        <w:pStyle w:val="ListParagraph"/>
        <w:numPr>
          <w:ilvl w:val="0"/>
          <w:numId w:val="16"/>
        </w:numPr>
        <w:rPr>
          <w:rFonts w:cs="Arial"/>
          <w:lang w:val="en-US"/>
        </w:rPr>
      </w:pPr>
      <w:r w:rsidRPr="00CB58FC">
        <w:rPr>
          <w:rFonts w:cs="Arial"/>
        </w:rPr>
        <w:t>One approach is to be found in the UK</w:t>
      </w:r>
      <w:r w:rsidR="00155BF0" w:rsidRPr="00CB58FC">
        <w:rPr>
          <w:rFonts w:cs="Arial"/>
        </w:rPr>
        <w:t>,</w:t>
      </w:r>
      <w:r w:rsidRPr="00CB58FC">
        <w:rPr>
          <w:rFonts w:cs="Arial"/>
        </w:rPr>
        <w:t xml:space="preserve"> where the right may only be exercised through a CMO.</w:t>
      </w:r>
      <w:r w:rsidR="005B6905" w:rsidRPr="00CB58FC">
        <w:rPr>
          <w:rStyle w:val="FootnoteReference"/>
          <w:rFonts w:cs="Arial"/>
        </w:rPr>
        <w:footnoteReference w:id="32"/>
      </w:r>
      <w:r w:rsidRPr="00CB58FC">
        <w:rPr>
          <w:rFonts w:cs="Arial"/>
        </w:rPr>
        <w:t xml:space="preserve"> Thus, an individual holder of ARR (the visual artist or his or her heirs) may provide a ‘mandate’ to the CMO to act on their behalf, in other words</w:t>
      </w:r>
      <w:r w:rsidR="00155BF0" w:rsidRPr="00CB58FC">
        <w:rPr>
          <w:rFonts w:cs="Arial"/>
        </w:rPr>
        <w:t>,</w:t>
      </w:r>
      <w:r w:rsidRPr="00CB58FC">
        <w:rPr>
          <w:rFonts w:cs="Arial"/>
        </w:rPr>
        <w:t xml:space="preserve"> as the agent of the right holder. In the case of DACS, one of the active UK CMOs, the mandate requested of right holders is as follows: </w:t>
      </w:r>
    </w:p>
    <w:p w14:paraId="76556E3E" w14:textId="77777777" w:rsidR="003D6031" w:rsidRPr="00CB58FC" w:rsidRDefault="003D6031" w:rsidP="003D6031">
      <w:pPr>
        <w:pStyle w:val="Quote"/>
        <w:rPr>
          <w:rFonts w:ascii="Arial" w:hAnsi="Arial" w:cs="Arial"/>
          <w:color w:val="auto"/>
        </w:rPr>
      </w:pPr>
      <w:r w:rsidRPr="00CB58FC">
        <w:rPr>
          <w:rFonts w:ascii="Arial" w:hAnsi="Arial" w:cs="Arial"/>
          <w:color w:val="auto"/>
        </w:rPr>
        <w:t>Mandate</w:t>
      </w:r>
    </w:p>
    <w:p w14:paraId="46733423" w14:textId="673EA57A" w:rsidR="003D6031" w:rsidRPr="00CB58FC" w:rsidRDefault="003D6031" w:rsidP="003D6031">
      <w:pPr>
        <w:pStyle w:val="Quote"/>
        <w:rPr>
          <w:rFonts w:ascii="Arial" w:hAnsi="Arial" w:cs="Arial"/>
          <w:color w:val="auto"/>
        </w:rPr>
      </w:pPr>
      <w:r w:rsidRPr="00CB58FC">
        <w:rPr>
          <w:rFonts w:ascii="Arial" w:hAnsi="Arial" w:cs="Arial"/>
          <w:color w:val="auto"/>
        </w:rPr>
        <w:t xml:space="preserve">The Artist hereby </w:t>
      </w:r>
      <w:r w:rsidR="00155BF0" w:rsidRPr="00CB58FC">
        <w:rPr>
          <w:rFonts w:ascii="Arial" w:hAnsi="Arial" w:cs="Arial"/>
          <w:color w:val="auto"/>
        </w:rPr>
        <w:t>authorizes</w:t>
      </w:r>
      <w:r w:rsidRPr="00CB58FC">
        <w:rPr>
          <w:rFonts w:ascii="Arial" w:hAnsi="Arial" w:cs="Arial"/>
          <w:color w:val="auto"/>
        </w:rPr>
        <w:t xml:space="preserve"> DACS exclusively to administer and manage the Resale Right as amended or varied from time to time and any right of a similar nature in any part of the world in respect of Artistic Works created (whether solely or jointly) by the Artist.</w:t>
      </w:r>
    </w:p>
    <w:p w14:paraId="4CA4070B" w14:textId="2A03F4E5" w:rsidR="003D6031" w:rsidRPr="00CB58FC" w:rsidRDefault="003D6031" w:rsidP="003D6031">
      <w:pPr>
        <w:pStyle w:val="ListParagraph"/>
        <w:numPr>
          <w:ilvl w:val="0"/>
          <w:numId w:val="16"/>
        </w:numPr>
        <w:rPr>
          <w:rFonts w:cs="Arial"/>
        </w:rPr>
      </w:pPr>
      <w:r w:rsidRPr="00CB58FC">
        <w:rPr>
          <w:rFonts w:cs="Arial"/>
        </w:rPr>
        <w:t xml:space="preserve">Among other things, but most importantly, this mandate authorizes the CMO (DACS) to take whatever steps are necessary to enforce payment of any ARR that is due, as the CMO now stands in the same footing as the eligible right holder. This is in addition to any other statutory rights that the CMO may be given under UK law, such as the right to seek information about resales from AMPs: see further Table 23 below.  Where a right holder has not transferred the management of his or her ARR to a CMO, the latter </w:t>
      </w:r>
      <w:r w:rsidR="00E76DEF" w:rsidRPr="00CB58FC">
        <w:rPr>
          <w:rFonts w:cs="Arial"/>
        </w:rPr>
        <w:t>is ‘deemed to be mandated’ to manage that right on the right holder’s behalf.</w:t>
      </w:r>
      <w:r w:rsidR="00E76DEF" w:rsidRPr="00CB58FC">
        <w:rPr>
          <w:rStyle w:val="FootnoteReference"/>
          <w:rFonts w:cs="Arial"/>
        </w:rPr>
        <w:footnoteReference w:id="33"/>
      </w:r>
      <w:r w:rsidR="00E76DEF" w:rsidRPr="00CB58FC">
        <w:rPr>
          <w:rFonts w:cs="Arial"/>
        </w:rPr>
        <w:t xml:space="preserve"> </w:t>
      </w:r>
      <w:r w:rsidRPr="00CB58FC">
        <w:rPr>
          <w:rFonts w:cs="Arial"/>
        </w:rPr>
        <w:t>In broad terms, then, the UK scheme may be described as an example of mandatory collective management in the sense that ARR can only be exercised through a CMO, which may manage the ARR of a right holder regardless of whether it has received a mandate from that right holder to do so. However, as noted above in Table 19, if there is more than one CMO, UK right holders may decide which CMO is so mandated: see reg 14(3) (in the UK there are two active CMOs: DACS and ACS).</w:t>
      </w:r>
    </w:p>
    <w:p w14:paraId="101752E9" w14:textId="77777777" w:rsidR="005B6905" w:rsidRPr="00CB58FC" w:rsidRDefault="005B6905" w:rsidP="0015390C">
      <w:pPr>
        <w:pStyle w:val="ListParagraph"/>
        <w:ind w:left="360"/>
        <w:rPr>
          <w:rFonts w:cs="Arial"/>
        </w:rPr>
      </w:pPr>
    </w:p>
    <w:p w14:paraId="5EEA22DF" w14:textId="3B933730" w:rsidR="006F2688" w:rsidRPr="00CB58FC" w:rsidRDefault="003D6031" w:rsidP="006F2688">
      <w:pPr>
        <w:pStyle w:val="ListParagraph"/>
        <w:numPr>
          <w:ilvl w:val="0"/>
          <w:numId w:val="16"/>
        </w:numPr>
        <w:rPr>
          <w:rFonts w:cs="Arial"/>
        </w:rPr>
      </w:pPr>
      <w:r w:rsidRPr="00CB58FC">
        <w:rPr>
          <w:rFonts w:cs="Arial"/>
        </w:rPr>
        <w:t>A similar position applies in Hungary</w:t>
      </w:r>
      <w:r w:rsidR="00155BF0" w:rsidRPr="00CB58FC">
        <w:rPr>
          <w:rFonts w:cs="Arial"/>
        </w:rPr>
        <w:t>,</w:t>
      </w:r>
      <w:r w:rsidRPr="00CB58FC">
        <w:rPr>
          <w:rFonts w:cs="Arial"/>
        </w:rPr>
        <w:t xml:space="preserve"> where ARR is subject to mandatory collective management, but with an ‘extended effect’. Thus, the approved CMO, HUNGART, may receive a specific mandate from its members or right holders, but is authori</w:t>
      </w:r>
      <w:r w:rsidR="00155BF0" w:rsidRPr="00CB58FC">
        <w:rPr>
          <w:rFonts w:cs="Arial"/>
        </w:rPr>
        <w:t>z</w:t>
      </w:r>
      <w:r w:rsidRPr="00CB58FC">
        <w:rPr>
          <w:rFonts w:cs="Arial"/>
        </w:rPr>
        <w:t>ed under Hungarian law to proceed without a mandate to provide collective management services to all Hungarian and foreign right holders who cannot opt out of this.</w:t>
      </w:r>
      <w:r w:rsidRPr="00CB58FC">
        <w:rPr>
          <w:rStyle w:val="FootnoteReference"/>
          <w:rFonts w:cs="Arial"/>
        </w:rPr>
        <w:footnoteReference w:id="34"/>
      </w:r>
      <w:r w:rsidRPr="00CB58FC">
        <w:rPr>
          <w:rFonts w:cs="Arial"/>
        </w:rPr>
        <w:t xml:space="preserve"> Mandatory collective management also applies in Italy, with no opt-out being allowed: collections of ARR are made for members and non-members alike.</w:t>
      </w:r>
      <w:r w:rsidRPr="00CB58FC">
        <w:rPr>
          <w:rStyle w:val="FootnoteReference"/>
          <w:rFonts w:cs="Arial"/>
        </w:rPr>
        <w:footnoteReference w:id="35"/>
      </w:r>
      <w:r w:rsidRPr="00CB58FC">
        <w:rPr>
          <w:rFonts w:cs="Arial"/>
        </w:rPr>
        <w:t xml:space="preserve"> Mandatory collective management of ARR is likewise </w:t>
      </w:r>
      <w:r w:rsidRPr="00CB58FC">
        <w:rPr>
          <w:rFonts w:cs="Arial"/>
        </w:rPr>
        <w:lastRenderedPageBreak/>
        <w:t>to be found in a number of other EC member states, including Span, Belgium, Czech Republic, Denmark, Finland, Latvia, Romania, Slovakia and Sweden.</w:t>
      </w:r>
      <w:r w:rsidRPr="00CB58FC">
        <w:rPr>
          <w:rStyle w:val="FootnoteReference"/>
          <w:rFonts w:cs="Arial"/>
        </w:rPr>
        <w:footnoteReference w:id="36"/>
      </w:r>
    </w:p>
    <w:p w14:paraId="7234D1BC" w14:textId="77777777" w:rsidR="006F2688" w:rsidRPr="00CB58FC" w:rsidRDefault="006F2688" w:rsidP="0015390C">
      <w:pPr>
        <w:pStyle w:val="ListParagraph"/>
        <w:ind w:left="360"/>
        <w:rPr>
          <w:rFonts w:cs="Arial"/>
        </w:rPr>
      </w:pPr>
    </w:p>
    <w:p w14:paraId="2A6903BB" w14:textId="1DDAD74B" w:rsidR="006F2688" w:rsidRPr="00CB58FC" w:rsidRDefault="003D6031" w:rsidP="003D6031">
      <w:pPr>
        <w:pStyle w:val="ListParagraph"/>
        <w:numPr>
          <w:ilvl w:val="0"/>
          <w:numId w:val="16"/>
        </w:numPr>
        <w:rPr>
          <w:rFonts w:cs="Arial"/>
        </w:rPr>
      </w:pPr>
      <w:r w:rsidRPr="00CB58FC">
        <w:rPr>
          <w:rFonts w:cs="Arial"/>
        </w:rPr>
        <w:t xml:space="preserve">An alternative approach applies in Australia where the approved CMO (CA) is required under statute to collect ARR on reported resales (as to this, see Table 21 below), but the individual right holder can give 21 days’ notice that a particular payment is not to be collected or enforced and may then collect ARR him- or herself </w:t>
      </w:r>
      <w:r w:rsidR="00E76DEF" w:rsidRPr="00CB58FC">
        <w:rPr>
          <w:rFonts w:cs="Arial"/>
        </w:rPr>
        <w:t>(see Table 19 above)</w:t>
      </w:r>
      <w:r w:rsidRPr="00CB58FC">
        <w:rPr>
          <w:rFonts w:cs="Arial"/>
        </w:rPr>
        <w:t>. Right holders can register their details with the CMO or become members of the CMO, but in either instance the power of the CMO to manage ARR does not come from an express mandate or authority from the right holder but from the powers that are conferred on the CMO under the relevant legislation, although these indicate that the CMO acts only on behalf of the right holder(s).</w:t>
      </w:r>
    </w:p>
    <w:p w14:paraId="167E9710" w14:textId="6CDD14CC" w:rsidR="003D6031" w:rsidRPr="00CB58FC" w:rsidRDefault="003D6031" w:rsidP="0015390C">
      <w:pPr>
        <w:pStyle w:val="ListParagraph"/>
        <w:ind w:left="360"/>
        <w:rPr>
          <w:rFonts w:cs="Arial"/>
        </w:rPr>
      </w:pPr>
    </w:p>
    <w:p w14:paraId="1175F6C4" w14:textId="77777777" w:rsidR="003D6031" w:rsidRPr="00CB58FC" w:rsidRDefault="003D6031" w:rsidP="003D6031">
      <w:pPr>
        <w:pStyle w:val="ListParagraph"/>
        <w:numPr>
          <w:ilvl w:val="0"/>
          <w:numId w:val="16"/>
        </w:numPr>
        <w:rPr>
          <w:rFonts w:cs="Arial"/>
        </w:rPr>
      </w:pPr>
      <w:r w:rsidRPr="00CB58FC">
        <w:rPr>
          <w:rFonts w:cs="Arial"/>
        </w:rPr>
        <w:t>In the recently enacted New Zealand ARR law, a slightly different approach has been adopted: the proposed collection agency is the only entity entitled to claim and collect ARR payments, subject to an obligation to account for these payments, after deduction of administrative costs, to right holders. That said, the latter may decline to accept payments but cannot then individually enforce them: see the relevant provisions in Table 21 below. To similar effect is the position in Denmark: see further below.</w:t>
      </w:r>
    </w:p>
    <w:p w14:paraId="37E17EFF" w14:textId="77777777" w:rsidR="006F2688" w:rsidRPr="00CB58FC" w:rsidRDefault="006F2688" w:rsidP="0015390C">
      <w:pPr>
        <w:pStyle w:val="ListParagraph"/>
        <w:ind w:left="360"/>
        <w:rPr>
          <w:rFonts w:cs="Arial"/>
        </w:rPr>
      </w:pPr>
    </w:p>
    <w:p w14:paraId="75886849" w14:textId="4E89BAB7" w:rsidR="003D6031" w:rsidRPr="00CB58FC" w:rsidRDefault="003D6031" w:rsidP="003D6031">
      <w:pPr>
        <w:pStyle w:val="ListParagraph"/>
        <w:numPr>
          <w:ilvl w:val="0"/>
          <w:numId w:val="16"/>
        </w:numPr>
        <w:rPr>
          <w:rFonts w:cs="Arial"/>
        </w:rPr>
      </w:pPr>
      <w:r w:rsidRPr="00CB58FC">
        <w:rPr>
          <w:rFonts w:cs="Arial"/>
        </w:rPr>
        <w:t>In the above countries, the authority to the CMO is essentially derived from legislative provisions which empower the CMO to act on behalf of right holders. In countries with voluntary collective management schemes, however, this authority will be directly dependent upon an express mandate given by its members to the CMO</w:t>
      </w:r>
      <w:r w:rsidR="008601E6" w:rsidRPr="00CB58FC">
        <w:rPr>
          <w:rFonts w:cs="Arial"/>
        </w:rPr>
        <w:t xml:space="preserve">. The latter </w:t>
      </w:r>
      <w:r w:rsidRPr="00CB58FC">
        <w:rPr>
          <w:rFonts w:cs="Arial"/>
        </w:rPr>
        <w:t xml:space="preserve">can act only on behalf of those right holders who are members and not on behalf of non-members, in the absence of some provision of national law that allows for extended collective management. This is the case in countries such as Germany, Netherlands, and France where there are well established CMOs in the visual arts. In these countries, while the mandates sought from members include ARR together with other rights that the CMO administers, there is no deemed mandate or other deemed representation that applies to non-members. The individual mandates given by members may also vary from right to right: see, for example, the broad mandates with respect to all rights in visual works of art, including ARR that are sought from members of ADAGP (France) and Bildkunst (Germany: see the Table below). Another example is provided by AGADU in Uruguay, one of the oldest CMOs in this area, where visual artists become a member of the CMO by countersigning a mandate to represent them legally for all the copyrights that they have generated and that are contemplated in Uruguayan copyright law, including ARR. The power of these CMOs to enforce ARR, for example, through court proceedings, will therefore derive from the terms of the mandate they have received from their members and will be inapplicable with respect to non-members. However, such CMOs will also typically have the benefit of further powers given to them under their national laws, for example, the crucial power to request information about resales from AMPs: see further at Table 23 below, </w:t>
      </w:r>
      <w:r w:rsidR="00627B91" w:rsidRPr="00CB58FC">
        <w:rPr>
          <w:rFonts w:cs="Arial"/>
        </w:rPr>
        <w:t>and possibly</w:t>
      </w:r>
      <w:r w:rsidRPr="00CB58FC">
        <w:rPr>
          <w:rFonts w:cs="Arial"/>
        </w:rPr>
        <w:t xml:space="preserve"> further obligations to contact eligible non-member right holders where the CMO has knowledge of eligible resales, for example, as in the case of ADAGP. </w:t>
      </w:r>
    </w:p>
    <w:p w14:paraId="0D15A35F" w14:textId="77777777" w:rsidR="003D6031" w:rsidRPr="00CB58FC" w:rsidRDefault="003D6031" w:rsidP="003D6031">
      <w:pPr>
        <w:pStyle w:val="Heading1"/>
        <w:rPr>
          <w:b w:val="0"/>
          <w:bCs w:val="0"/>
          <w:szCs w:val="22"/>
        </w:rPr>
      </w:pPr>
      <w:r w:rsidRPr="00CB58FC">
        <w:rPr>
          <w:b w:val="0"/>
          <w:bCs w:val="0"/>
          <w:szCs w:val="22"/>
        </w:rPr>
        <w:t>TABLE 21 – LEGAL BASES FOR COLLECTIVE MANAGEMENT OF ARR</w:t>
      </w:r>
    </w:p>
    <w:p w14:paraId="122927E4" w14:textId="77777777" w:rsidR="003D6031" w:rsidRPr="00CB58FC" w:rsidRDefault="003D6031" w:rsidP="003D6031"/>
    <w:tbl>
      <w:tblPr>
        <w:tblStyle w:val="TableGrid"/>
        <w:tblW w:w="0" w:type="auto"/>
        <w:tblLook w:val="04A0" w:firstRow="1" w:lastRow="0" w:firstColumn="1" w:lastColumn="0" w:noHBand="0" w:noVBand="1"/>
      </w:tblPr>
      <w:tblGrid>
        <w:gridCol w:w="3115"/>
        <w:gridCol w:w="3115"/>
        <w:gridCol w:w="3115"/>
      </w:tblGrid>
      <w:tr w:rsidR="00B519EA" w:rsidRPr="00CB58FC" w14:paraId="5D311B84" w14:textId="77777777" w:rsidTr="00B519EA">
        <w:tc>
          <w:tcPr>
            <w:tcW w:w="3115" w:type="dxa"/>
          </w:tcPr>
          <w:p w14:paraId="1C17C34F" w14:textId="61FCB547" w:rsidR="00B519EA" w:rsidRPr="00CB58FC" w:rsidRDefault="00B519EA" w:rsidP="003D6031">
            <w:pPr>
              <w:rPr>
                <w:b/>
                <w:bCs/>
              </w:rPr>
            </w:pPr>
            <w:r w:rsidRPr="00CB58FC">
              <w:rPr>
                <w:b/>
                <w:bCs/>
              </w:rPr>
              <w:lastRenderedPageBreak/>
              <w:t>Country</w:t>
            </w:r>
          </w:p>
        </w:tc>
        <w:tc>
          <w:tcPr>
            <w:tcW w:w="3115" w:type="dxa"/>
          </w:tcPr>
          <w:p w14:paraId="56AC6046" w14:textId="734A9691" w:rsidR="00B519EA" w:rsidRPr="00CB58FC" w:rsidRDefault="00B519EA" w:rsidP="003D6031">
            <w:pPr>
              <w:rPr>
                <w:b/>
                <w:bCs/>
              </w:rPr>
            </w:pPr>
            <w:r w:rsidRPr="00CB58FC">
              <w:rPr>
                <w:b/>
                <w:bCs/>
              </w:rPr>
              <w:t>Legislative and other provisions</w:t>
            </w:r>
          </w:p>
        </w:tc>
        <w:tc>
          <w:tcPr>
            <w:tcW w:w="3115" w:type="dxa"/>
          </w:tcPr>
          <w:p w14:paraId="2DF64E93" w14:textId="434A6F1A" w:rsidR="00B519EA" w:rsidRPr="00CB58FC" w:rsidRDefault="00B519EA" w:rsidP="003D6031">
            <w:pPr>
              <w:rPr>
                <w:b/>
                <w:bCs/>
              </w:rPr>
            </w:pPr>
            <w:r w:rsidRPr="00CB58FC">
              <w:rPr>
                <w:b/>
                <w:bCs/>
              </w:rPr>
              <w:t>Comment</w:t>
            </w:r>
          </w:p>
        </w:tc>
      </w:tr>
      <w:tr w:rsidR="00B519EA" w:rsidRPr="00CB58FC" w14:paraId="450513C9" w14:textId="77777777" w:rsidTr="00B519EA">
        <w:tc>
          <w:tcPr>
            <w:tcW w:w="3115" w:type="dxa"/>
          </w:tcPr>
          <w:p w14:paraId="3FF9870C" w14:textId="44A9A618" w:rsidR="00B519EA" w:rsidRPr="00CB58FC" w:rsidRDefault="00B519EA" w:rsidP="0015390C">
            <w:pPr>
              <w:jc w:val="both"/>
            </w:pPr>
            <w:r w:rsidRPr="00CB58FC">
              <w:rPr>
                <w:sz w:val="20"/>
                <w:szCs w:val="20"/>
              </w:rPr>
              <w:t>Denmark</w:t>
            </w:r>
            <w:r w:rsidRPr="00CB58FC">
              <w:rPr>
                <w:rStyle w:val="FootnoteReference"/>
                <w:sz w:val="20"/>
                <w:szCs w:val="20"/>
              </w:rPr>
              <w:footnoteReference w:id="37"/>
            </w:r>
          </w:p>
        </w:tc>
        <w:tc>
          <w:tcPr>
            <w:tcW w:w="3115" w:type="dxa"/>
          </w:tcPr>
          <w:p w14:paraId="62BEA702" w14:textId="741DF6C9" w:rsidR="00B519EA" w:rsidRPr="00CB58FC" w:rsidRDefault="00B519EA" w:rsidP="0015390C">
            <w:pPr>
              <w:jc w:val="both"/>
            </w:pPr>
            <w:r w:rsidRPr="00CB58FC">
              <w:rPr>
                <w:sz w:val="20"/>
                <w:szCs w:val="20"/>
              </w:rPr>
              <w:t>(5) The right of remuneration of resale right may be exercised only by an organi</w:t>
            </w:r>
            <w:r w:rsidR="00100A2A" w:rsidRPr="00CB58FC">
              <w:rPr>
                <w:sz w:val="20"/>
                <w:szCs w:val="20"/>
              </w:rPr>
              <w:t>z</w:t>
            </w:r>
            <w:r w:rsidRPr="00CB58FC">
              <w:rPr>
                <w:sz w:val="20"/>
                <w:szCs w:val="20"/>
              </w:rPr>
              <w:t>ation approved by the Minister for Culture. The organi</w:t>
            </w:r>
            <w:r w:rsidR="00100A2A" w:rsidRPr="00CB58FC">
              <w:rPr>
                <w:sz w:val="20"/>
                <w:szCs w:val="20"/>
              </w:rPr>
              <w:t>z</w:t>
            </w:r>
            <w:r w:rsidRPr="00CB58FC">
              <w:rPr>
                <w:sz w:val="20"/>
                <w:szCs w:val="20"/>
              </w:rPr>
              <w:t xml:space="preserve">ation shall be in charge of the collection and make distribution to the beneficiaries. The beneficiary’s claim against the </w:t>
            </w:r>
            <w:r w:rsidR="00100A2A" w:rsidRPr="00CB58FC">
              <w:rPr>
                <w:sz w:val="20"/>
                <w:szCs w:val="20"/>
              </w:rPr>
              <w:t>organization</w:t>
            </w:r>
            <w:r w:rsidRPr="00CB58FC">
              <w:rPr>
                <w:sz w:val="20"/>
                <w:szCs w:val="20"/>
              </w:rPr>
              <w:t xml:space="preserve"> shall last until three years have elapsed from the end of the year in which the resale took place. The period of limitation shall be suspended by written demand from the beneficiary</w:t>
            </w:r>
          </w:p>
        </w:tc>
        <w:tc>
          <w:tcPr>
            <w:tcW w:w="3115" w:type="dxa"/>
          </w:tcPr>
          <w:p w14:paraId="1733451A" w14:textId="3C9181DE" w:rsidR="00B519EA" w:rsidRPr="00CB58FC" w:rsidRDefault="00DB0BB0" w:rsidP="00DB0BB0">
            <w:pPr>
              <w:pStyle w:val="ListParagraph"/>
              <w:numPr>
                <w:ilvl w:val="0"/>
                <w:numId w:val="8"/>
              </w:numPr>
              <w:rPr>
                <w:sz w:val="20"/>
                <w:szCs w:val="20"/>
              </w:rPr>
            </w:pPr>
            <w:r w:rsidRPr="00CB58FC">
              <w:rPr>
                <w:sz w:val="20"/>
                <w:szCs w:val="20"/>
              </w:rPr>
              <w:t>CMO is solely responsible for collection and distribution of royalty to benefi</w:t>
            </w:r>
            <w:r w:rsidR="00BA2EBE" w:rsidRPr="00CB58FC">
              <w:rPr>
                <w:sz w:val="20"/>
                <w:szCs w:val="20"/>
              </w:rPr>
              <w:t>ciaries (right</w:t>
            </w:r>
            <w:r w:rsidR="00100A2A" w:rsidRPr="00CB58FC">
              <w:rPr>
                <w:sz w:val="20"/>
                <w:szCs w:val="20"/>
              </w:rPr>
              <w:t xml:space="preserve"> </w:t>
            </w:r>
            <w:r w:rsidR="00BA2EBE" w:rsidRPr="00CB58FC">
              <w:rPr>
                <w:sz w:val="20"/>
                <w:szCs w:val="20"/>
              </w:rPr>
              <w:t>holders)</w:t>
            </w:r>
          </w:p>
          <w:p w14:paraId="4719D4CA" w14:textId="563BC693" w:rsidR="00DB0BB0" w:rsidRPr="00CB58FC" w:rsidRDefault="00DB0BB0" w:rsidP="0015390C">
            <w:pPr>
              <w:pStyle w:val="ListParagraph"/>
              <w:numPr>
                <w:ilvl w:val="0"/>
                <w:numId w:val="8"/>
              </w:numPr>
            </w:pPr>
            <w:r w:rsidRPr="00CB58FC">
              <w:rPr>
                <w:sz w:val="20"/>
                <w:szCs w:val="20"/>
              </w:rPr>
              <w:t>Beneficiary’s claim is against the CMO and must be made within 3 years</w:t>
            </w:r>
          </w:p>
        </w:tc>
      </w:tr>
      <w:tr w:rsidR="00B519EA" w:rsidRPr="00CB58FC" w14:paraId="10E7912B" w14:textId="77777777" w:rsidTr="00B519EA">
        <w:tc>
          <w:tcPr>
            <w:tcW w:w="3115" w:type="dxa"/>
          </w:tcPr>
          <w:p w14:paraId="6ED4EE04" w14:textId="6B910D9E" w:rsidR="00B519EA" w:rsidRPr="00CB58FC" w:rsidRDefault="00DB0BB0" w:rsidP="0015390C">
            <w:pPr>
              <w:jc w:val="both"/>
            </w:pPr>
            <w:r w:rsidRPr="00CB58FC">
              <w:rPr>
                <w:sz w:val="20"/>
                <w:szCs w:val="20"/>
              </w:rPr>
              <w:t xml:space="preserve"> </w:t>
            </w:r>
            <w:r w:rsidR="00B519EA" w:rsidRPr="00CB58FC">
              <w:rPr>
                <w:sz w:val="20"/>
                <w:szCs w:val="20"/>
              </w:rPr>
              <w:t>Australia</w:t>
            </w:r>
            <w:r w:rsidR="00B519EA" w:rsidRPr="00CB58FC">
              <w:rPr>
                <w:rStyle w:val="FootnoteReference"/>
                <w:sz w:val="20"/>
                <w:szCs w:val="20"/>
              </w:rPr>
              <w:footnoteReference w:id="38"/>
            </w:r>
          </w:p>
        </w:tc>
        <w:tc>
          <w:tcPr>
            <w:tcW w:w="3115" w:type="dxa"/>
          </w:tcPr>
          <w:p w14:paraId="79BC1426" w14:textId="15E41069" w:rsidR="00B519EA" w:rsidRPr="00CB58FC" w:rsidRDefault="00312C0E" w:rsidP="0015390C">
            <w:pPr>
              <w:autoSpaceDE w:val="0"/>
              <w:autoSpaceDN w:val="0"/>
              <w:adjustRightInd w:val="0"/>
              <w:jc w:val="both"/>
            </w:pPr>
            <w:r w:rsidRPr="00CB58FC">
              <w:rPr>
                <w:rFonts w:eastAsiaTheme="minorHAnsi"/>
                <w:b/>
                <w:bCs/>
                <w:sz w:val="20"/>
                <w:szCs w:val="20"/>
                <w14:ligatures w14:val="standardContextual"/>
              </w:rPr>
              <w:t>For the text of this provision, (s 23), see Table 19.</w:t>
            </w:r>
          </w:p>
        </w:tc>
        <w:tc>
          <w:tcPr>
            <w:tcW w:w="3115" w:type="dxa"/>
          </w:tcPr>
          <w:p w14:paraId="00001B2B" w14:textId="2FF8E369" w:rsidR="00BA2EBE" w:rsidRPr="00CB58FC" w:rsidRDefault="00BA2EBE" w:rsidP="00BA2EBE">
            <w:pPr>
              <w:pStyle w:val="ListParagraph"/>
              <w:numPr>
                <w:ilvl w:val="0"/>
                <w:numId w:val="24"/>
              </w:numPr>
              <w:rPr>
                <w:sz w:val="20"/>
                <w:szCs w:val="20"/>
              </w:rPr>
            </w:pPr>
            <w:r w:rsidRPr="00CB58FC">
              <w:rPr>
                <w:sz w:val="20"/>
                <w:szCs w:val="20"/>
              </w:rPr>
              <w:t>Collection and distribution is by CMO</w:t>
            </w:r>
            <w:r w:rsidR="00312C0E" w:rsidRPr="00CB58FC">
              <w:rPr>
                <w:sz w:val="20"/>
                <w:szCs w:val="20"/>
              </w:rPr>
              <w:t xml:space="preserve"> which must use its ‘best </w:t>
            </w:r>
            <w:r w:rsidR="00100A2A" w:rsidRPr="00CB58FC">
              <w:rPr>
                <w:sz w:val="20"/>
                <w:szCs w:val="20"/>
              </w:rPr>
              <w:t>endeavors</w:t>
            </w:r>
            <w:r w:rsidR="00312C0E" w:rsidRPr="00CB58FC">
              <w:rPr>
                <w:sz w:val="20"/>
                <w:szCs w:val="20"/>
              </w:rPr>
              <w:t xml:space="preserve">’ to collect and enforce ARR on the right holder’s behalf (s 23(2)) </w:t>
            </w:r>
          </w:p>
          <w:p w14:paraId="2D76FF02" w14:textId="3C6EC755" w:rsidR="00BA2EBE" w:rsidRPr="00CB58FC" w:rsidRDefault="00312C0E" w:rsidP="00312C0E">
            <w:pPr>
              <w:pStyle w:val="ListParagraph"/>
              <w:numPr>
                <w:ilvl w:val="0"/>
                <w:numId w:val="24"/>
              </w:numPr>
              <w:rPr>
                <w:sz w:val="20"/>
                <w:szCs w:val="20"/>
              </w:rPr>
            </w:pPr>
            <w:r w:rsidRPr="00CB58FC">
              <w:rPr>
                <w:sz w:val="20"/>
                <w:szCs w:val="20"/>
              </w:rPr>
              <w:t>I</w:t>
            </w:r>
            <w:r w:rsidR="00BA2EBE" w:rsidRPr="00CB58FC">
              <w:rPr>
                <w:sz w:val="20"/>
                <w:szCs w:val="20"/>
              </w:rPr>
              <w:t xml:space="preserve">ndividual right holder may give timely notice (21 days) to CMO not to collect </w:t>
            </w:r>
            <w:r w:rsidR="00EB050A" w:rsidRPr="00CB58FC">
              <w:rPr>
                <w:sz w:val="20"/>
                <w:szCs w:val="20"/>
              </w:rPr>
              <w:t>ARR</w:t>
            </w:r>
            <w:r w:rsidRPr="00CB58FC">
              <w:rPr>
                <w:sz w:val="20"/>
                <w:szCs w:val="20"/>
              </w:rPr>
              <w:t xml:space="preserve"> and may collect on </w:t>
            </w:r>
            <w:r w:rsidR="00BA2EBE" w:rsidRPr="00CB58FC">
              <w:rPr>
                <w:sz w:val="20"/>
                <w:szCs w:val="20"/>
              </w:rPr>
              <w:t>his or her own behalf</w:t>
            </w:r>
            <w:r w:rsidRPr="00CB58FC">
              <w:rPr>
                <w:sz w:val="20"/>
                <w:szCs w:val="20"/>
              </w:rPr>
              <w:t xml:space="preserve"> (s 23(1))</w:t>
            </w:r>
          </w:p>
          <w:p w14:paraId="3F5DEA05" w14:textId="00E1DD3A" w:rsidR="00B519EA" w:rsidRPr="00CB58FC" w:rsidRDefault="00EB050A" w:rsidP="0015390C">
            <w:pPr>
              <w:pStyle w:val="ListParagraph"/>
              <w:numPr>
                <w:ilvl w:val="0"/>
                <w:numId w:val="24"/>
              </w:numPr>
            </w:pPr>
            <w:r w:rsidRPr="00CB58FC">
              <w:rPr>
                <w:sz w:val="20"/>
                <w:szCs w:val="20"/>
              </w:rPr>
              <w:t>Right holder cannot direct CMO to collect or enforce ARR (s 23(3)</w:t>
            </w:r>
            <w:r w:rsidR="00BA2EBE" w:rsidRPr="00CB58FC">
              <w:rPr>
                <w:szCs w:val="24"/>
              </w:rPr>
              <w:t xml:space="preserve">.    </w:t>
            </w:r>
          </w:p>
        </w:tc>
      </w:tr>
      <w:tr w:rsidR="00B519EA" w:rsidRPr="00CB58FC" w14:paraId="06153333" w14:textId="77777777" w:rsidTr="00B519EA">
        <w:tc>
          <w:tcPr>
            <w:tcW w:w="3115" w:type="dxa"/>
          </w:tcPr>
          <w:p w14:paraId="1EB8DFD0" w14:textId="17E92342" w:rsidR="00B519EA" w:rsidRPr="00CB58FC" w:rsidRDefault="00DB0BB0" w:rsidP="0015390C">
            <w:pPr>
              <w:jc w:val="both"/>
            </w:pPr>
            <w:r w:rsidRPr="00CB58FC">
              <w:rPr>
                <w:sz w:val="20"/>
                <w:szCs w:val="20"/>
              </w:rPr>
              <w:t xml:space="preserve">France (ADAGP) </w:t>
            </w:r>
          </w:p>
        </w:tc>
        <w:tc>
          <w:tcPr>
            <w:tcW w:w="3115" w:type="dxa"/>
          </w:tcPr>
          <w:p w14:paraId="184BC974"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Rights managed </w:t>
            </w:r>
          </w:p>
          <w:p w14:paraId="2E7C228F" w14:textId="7CFAB794"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In compliance with the ADAGP Statutes and General Rules (accessible at www.adagp.fr), including any further changes that may be made subsequently by the General </w:t>
            </w:r>
            <w:r w:rsidR="006F2688" w:rsidRPr="00CB58FC">
              <w:rPr>
                <w:rFonts w:eastAsia="Times New Roman"/>
                <w:sz w:val="20"/>
                <w:szCs w:val="20"/>
                <w:lang w:val="en-AU" w:eastAsia="en-GB"/>
              </w:rPr>
              <w:t>Meeting:</w:t>
            </w:r>
            <w:r w:rsidRPr="00CB58FC">
              <w:rPr>
                <w:rFonts w:eastAsia="Times New Roman"/>
                <w:sz w:val="20"/>
                <w:szCs w:val="20"/>
                <w:lang w:val="en-AU" w:eastAsia="en-GB"/>
              </w:rPr>
              <w:t xml:space="preserve"> </w:t>
            </w:r>
          </w:p>
          <w:p w14:paraId="6B46A35C"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I authorise the ADAGP to deduct my share of the Society registered capital of 15,24 € from my first copyrights payment. This sum, which will be returned if you cancel your membership, is only payable once, when you join.</w:t>
            </w:r>
          </w:p>
          <w:p w14:paraId="0FF5F158"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I exclusively entrust to ADAGP management of the following rights: </w:t>
            </w:r>
          </w:p>
          <w:p w14:paraId="69386641"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position w:val="-2"/>
                <w:sz w:val="20"/>
                <w:szCs w:val="20"/>
                <w:lang w:val="en-AU" w:eastAsia="en-GB"/>
              </w:rPr>
              <w:t xml:space="preserve">A </w:t>
            </w:r>
            <w:r w:rsidRPr="00CB58FC">
              <w:rPr>
                <w:rFonts w:eastAsia="Times New Roman"/>
                <w:sz w:val="20"/>
                <w:szCs w:val="20"/>
                <w:lang w:val="en-AU" w:eastAsia="en-GB"/>
              </w:rPr>
              <w:t xml:space="preserve">Collective rights </w:t>
            </w:r>
          </w:p>
          <w:p w14:paraId="33B7A8AD"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lastRenderedPageBreak/>
              <w:t xml:space="preserve">…. </w:t>
            </w:r>
          </w:p>
          <w:p w14:paraId="27CEBF41"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B Resale right, entitlement to a royalty when works are resold through an art market professional, including for sales prior to your membership   </w:t>
            </w:r>
          </w:p>
          <w:p w14:paraId="418BE240"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Unless otherwise instructed, management of the rights referred to above is entrusted to ADAGP worldwide. ADAGP may, where necessary, defend these rights in the courts. ADAGP may be replaced, in full or in part, in all territories, by other collective management bodies, both French and from other countries, insofar as is necessary to ensure correct royalties management. </w:t>
            </w:r>
          </w:p>
          <w:p w14:paraId="2E738F96" w14:textId="21BD6A4F"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Restrictions on the scope of management (territory, categories of works, etc.</w:t>
            </w:r>
            <w:r w:rsidR="006F2688" w:rsidRPr="00CB58FC">
              <w:rPr>
                <w:rFonts w:eastAsia="Times New Roman"/>
                <w:sz w:val="20"/>
                <w:szCs w:val="20"/>
                <w:lang w:val="en-AU" w:eastAsia="en-GB"/>
              </w:rPr>
              <w:t>);</w:t>
            </w:r>
            <w:r w:rsidRPr="00CB58FC">
              <w:rPr>
                <w:rFonts w:eastAsia="Times New Roman"/>
                <w:sz w:val="20"/>
                <w:szCs w:val="20"/>
                <w:lang w:val="en-AU" w:eastAsia="en-GB"/>
              </w:rPr>
              <w:t xml:space="preserve"> </w:t>
            </w:r>
          </w:p>
          <w:p w14:paraId="22583B45"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w:t>
            </w:r>
          </w:p>
          <w:p w14:paraId="2DE68E60"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By adhering to the Statutes and General Rules of ADAGP, I undertake to comply with them. </w:t>
            </w:r>
          </w:p>
          <w:p w14:paraId="00F0B738" w14:textId="77777777" w:rsidR="00DB0BB0" w:rsidRPr="00CB58FC" w:rsidRDefault="00DB0BB0" w:rsidP="0015390C">
            <w:pPr>
              <w:spacing w:before="100" w:beforeAutospacing="1" w:after="100" w:afterAutospacing="1"/>
              <w:jc w:val="both"/>
              <w:rPr>
                <w:rFonts w:eastAsia="Times New Roman"/>
                <w:sz w:val="20"/>
                <w:szCs w:val="20"/>
                <w:lang w:val="en-AU" w:eastAsia="en-GB"/>
              </w:rPr>
            </w:pPr>
            <w:r w:rsidRPr="00CB58FC">
              <w:rPr>
                <w:rFonts w:eastAsia="Times New Roman"/>
                <w:sz w:val="20"/>
                <w:szCs w:val="20"/>
                <w:lang w:val="en-AU" w:eastAsia="en-GB"/>
              </w:rPr>
              <w:t xml:space="preserve">Executed at , on Signature </w:t>
            </w:r>
          </w:p>
          <w:p w14:paraId="356EE317" w14:textId="2DB1979E" w:rsidR="00B519EA" w:rsidRPr="00CB58FC" w:rsidRDefault="00DB0BB0" w:rsidP="0015390C">
            <w:pPr>
              <w:jc w:val="both"/>
            </w:pPr>
            <w:r w:rsidRPr="00CB58FC">
              <w:rPr>
                <w:rFonts w:eastAsia="Times New Roman"/>
                <w:sz w:val="20"/>
                <w:szCs w:val="20"/>
                <w:lang w:val="en-AU" w:eastAsia="en-GB"/>
              </w:rPr>
              <w:t>Signature appearing on the works</w:t>
            </w:r>
            <w:r w:rsidRPr="00CB58FC">
              <w:rPr>
                <w:rStyle w:val="FootnoteReference"/>
                <w:rFonts w:eastAsia="Times New Roman"/>
                <w:sz w:val="20"/>
                <w:szCs w:val="20"/>
                <w:lang w:val="en-AU" w:eastAsia="en-GB"/>
              </w:rPr>
              <w:footnoteReference w:id="39"/>
            </w:r>
          </w:p>
        </w:tc>
        <w:tc>
          <w:tcPr>
            <w:tcW w:w="3115" w:type="dxa"/>
          </w:tcPr>
          <w:p w14:paraId="0ACFCD33" w14:textId="760A08DD" w:rsidR="00B519EA" w:rsidRPr="00CB58FC" w:rsidRDefault="00BA2EBE" w:rsidP="00BA2EBE">
            <w:pPr>
              <w:pStyle w:val="ListParagraph"/>
              <w:numPr>
                <w:ilvl w:val="0"/>
                <w:numId w:val="25"/>
              </w:numPr>
              <w:rPr>
                <w:szCs w:val="24"/>
              </w:rPr>
            </w:pPr>
            <w:r w:rsidRPr="00CB58FC">
              <w:rPr>
                <w:sz w:val="20"/>
                <w:szCs w:val="20"/>
              </w:rPr>
              <w:lastRenderedPageBreak/>
              <w:t>This is the general mandate sought from members, including ARR</w:t>
            </w:r>
            <w:r w:rsidR="00BE452A" w:rsidRPr="00CB58FC">
              <w:rPr>
                <w:sz w:val="20"/>
                <w:szCs w:val="20"/>
              </w:rPr>
              <w:t xml:space="preserve"> and</w:t>
            </w:r>
            <w:r w:rsidRPr="00CB58FC">
              <w:rPr>
                <w:sz w:val="20"/>
                <w:szCs w:val="20"/>
              </w:rPr>
              <w:t xml:space="preserve"> appears on the A</w:t>
            </w:r>
            <w:r w:rsidR="00BE452A" w:rsidRPr="00CB58FC">
              <w:rPr>
                <w:sz w:val="20"/>
                <w:szCs w:val="20"/>
              </w:rPr>
              <w:t>D</w:t>
            </w:r>
            <w:r w:rsidRPr="00CB58FC">
              <w:rPr>
                <w:sz w:val="20"/>
                <w:szCs w:val="20"/>
              </w:rPr>
              <w:t>A</w:t>
            </w:r>
            <w:r w:rsidR="00BE452A" w:rsidRPr="00CB58FC">
              <w:rPr>
                <w:sz w:val="20"/>
                <w:szCs w:val="20"/>
              </w:rPr>
              <w:t>G</w:t>
            </w:r>
            <w:r w:rsidRPr="00CB58FC">
              <w:rPr>
                <w:sz w:val="20"/>
                <w:szCs w:val="20"/>
              </w:rPr>
              <w:t>P website</w:t>
            </w:r>
          </w:p>
          <w:p w14:paraId="426F8A8B" w14:textId="3DCF370A" w:rsidR="00BA2EBE" w:rsidRPr="00CB58FC" w:rsidRDefault="00BA2EBE" w:rsidP="00BA2EBE">
            <w:pPr>
              <w:pStyle w:val="ListParagraph"/>
              <w:numPr>
                <w:ilvl w:val="0"/>
                <w:numId w:val="25"/>
              </w:numPr>
              <w:rPr>
                <w:sz w:val="20"/>
                <w:szCs w:val="20"/>
              </w:rPr>
            </w:pPr>
            <w:r w:rsidRPr="00CB58FC">
              <w:rPr>
                <w:sz w:val="20"/>
                <w:szCs w:val="20"/>
              </w:rPr>
              <w:t>ADAGP can act only with mandate from right</w:t>
            </w:r>
            <w:r w:rsidR="00100A2A" w:rsidRPr="00CB58FC">
              <w:rPr>
                <w:sz w:val="20"/>
                <w:szCs w:val="20"/>
              </w:rPr>
              <w:t xml:space="preserve"> </w:t>
            </w:r>
            <w:r w:rsidRPr="00CB58FC">
              <w:rPr>
                <w:sz w:val="20"/>
                <w:szCs w:val="20"/>
              </w:rPr>
              <w:t>holders who are members of ADAGP</w:t>
            </w:r>
          </w:p>
          <w:p w14:paraId="09132A6D" w14:textId="77777777" w:rsidR="00BA2EBE" w:rsidRPr="00CB58FC" w:rsidRDefault="00BA2EBE" w:rsidP="00BA2EBE">
            <w:pPr>
              <w:pStyle w:val="ListParagraph"/>
              <w:numPr>
                <w:ilvl w:val="0"/>
                <w:numId w:val="25"/>
              </w:numPr>
              <w:rPr>
                <w:sz w:val="20"/>
                <w:szCs w:val="20"/>
              </w:rPr>
            </w:pPr>
            <w:r w:rsidRPr="00CB58FC">
              <w:rPr>
                <w:sz w:val="20"/>
                <w:szCs w:val="20"/>
              </w:rPr>
              <w:t>Mandate is general in terms, applying to future resales of works</w:t>
            </w:r>
          </w:p>
          <w:p w14:paraId="3012B467" w14:textId="77777777" w:rsidR="00BA2EBE" w:rsidRPr="00CB58FC" w:rsidRDefault="00BA2EBE" w:rsidP="00BA2EBE">
            <w:pPr>
              <w:pStyle w:val="ListParagraph"/>
              <w:numPr>
                <w:ilvl w:val="0"/>
                <w:numId w:val="25"/>
              </w:numPr>
              <w:rPr>
                <w:sz w:val="20"/>
                <w:szCs w:val="20"/>
              </w:rPr>
            </w:pPr>
            <w:r w:rsidRPr="00CB58FC">
              <w:rPr>
                <w:sz w:val="20"/>
                <w:szCs w:val="20"/>
              </w:rPr>
              <w:t>Applies in other territories than France where ARR is protected</w:t>
            </w:r>
          </w:p>
          <w:p w14:paraId="2EDCBB27" w14:textId="77777777" w:rsidR="00BA2EBE" w:rsidRPr="00CB58FC" w:rsidRDefault="00BA2EBE" w:rsidP="00BA2EBE">
            <w:pPr>
              <w:pStyle w:val="ListParagraph"/>
              <w:numPr>
                <w:ilvl w:val="0"/>
                <w:numId w:val="25"/>
              </w:numPr>
              <w:rPr>
                <w:sz w:val="20"/>
                <w:szCs w:val="20"/>
              </w:rPr>
            </w:pPr>
            <w:r w:rsidRPr="00CB58FC">
              <w:rPr>
                <w:sz w:val="20"/>
                <w:szCs w:val="20"/>
              </w:rPr>
              <w:t xml:space="preserve">Includes power to enforce rights in </w:t>
            </w:r>
            <w:r w:rsidR="00BE452A" w:rsidRPr="00CB58FC">
              <w:rPr>
                <w:sz w:val="20"/>
                <w:szCs w:val="20"/>
              </w:rPr>
              <w:t>the courts</w:t>
            </w:r>
            <w:r w:rsidRPr="00CB58FC">
              <w:rPr>
                <w:sz w:val="20"/>
                <w:szCs w:val="20"/>
              </w:rPr>
              <w:t xml:space="preserve"> </w:t>
            </w:r>
          </w:p>
          <w:p w14:paraId="7A0AA97E" w14:textId="6412AAD1" w:rsidR="00BE452A" w:rsidRPr="00CB58FC" w:rsidRDefault="00BE452A" w:rsidP="0015390C">
            <w:pPr>
              <w:pStyle w:val="ListParagraph"/>
              <w:numPr>
                <w:ilvl w:val="0"/>
                <w:numId w:val="25"/>
              </w:numPr>
            </w:pPr>
            <w:r w:rsidRPr="00CB58FC">
              <w:rPr>
                <w:sz w:val="20"/>
                <w:szCs w:val="20"/>
              </w:rPr>
              <w:t>Allows for deduction of administrative costs</w:t>
            </w:r>
            <w:r w:rsidRPr="00CB58FC">
              <w:rPr>
                <w:szCs w:val="24"/>
              </w:rPr>
              <w:t xml:space="preserve"> </w:t>
            </w:r>
          </w:p>
        </w:tc>
      </w:tr>
      <w:tr w:rsidR="00B519EA" w:rsidRPr="00CB58FC" w14:paraId="20F5CD68" w14:textId="77777777" w:rsidTr="00B519EA">
        <w:tc>
          <w:tcPr>
            <w:tcW w:w="3115" w:type="dxa"/>
          </w:tcPr>
          <w:p w14:paraId="7659D8B5" w14:textId="61285745" w:rsidR="00B519EA" w:rsidRPr="00CB58FC" w:rsidRDefault="00DB0BB0" w:rsidP="0015390C">
            <w:pPr>
              <w:jc w:val="both"/>
            </w:pPr>
            <w:r w:rsidRPr="00CB58FC">
              <w:rPr>
                <w:sz w:val="20"/>
                <w:szCs w:val="20"/>
              </w:rPr>
              <w:t xml:space="preserve">Germany </w:t>
            </w:r>
            <w:r w:rsidR="00BE452A" w:rsidRPr="00CB58FC">
              <w:rPr>
                <w:sz w:val="20"/>
                <w:szCs w:val="20"/>
              </w:rPr>
              <w:t>(Bildkunst)</w:t>
            </w:r>
          </w:p>
        </w:tc>
        <w:tc>
          <w:tcPr>
            <w:tcW w:w="3115" w:type="dxa"/>
          </w:tcPr>
          <w:p w14:paraId="7D4E4BA5" w14:textId="77777777" w:rsidR="00DB0BB0" w:rsidRPr="00CB58FC" w:rsidRDefault="00DB0BB0" w:rsidP="00DB0BB0">
            <w:pPr>
              <w:pStyle w:val="HTMLPreformatted"/>
              <w:shd w:val="clear" w:color="auto" w:fill="F8F9FA"/>
              <w:rPr>
                <w:rStyle w:val="y2iqfc"/>
                <w:rFonts w:ascii="Arial" w:hAnsi="Arial" w:cs="Arial"/>
                <w:szCs w:val="20"/>
                <w:lang w:val="en"/>
              </w:rPr>
            </w:pPr>
            <w:r w:rsidRPr="00CB58FC">
              <w:rPr>
                <w:rStyle w:val="y2iqfc"/>
                <w:rFonts w:ascii="Arial" w:hAnsi="Arial" w:cs="Arial"/>
                <w:szCs w:val="20"/>
                <w:lang w:val="en"/>
              </w:rPr>
              <w:t>The entitled person hereby assigns VG Bild-Kunst as trustee the rights to which he is currently entitled under his copyright or future usage rights listed below, remuneration and information claims for the perception within the Federal Republic of Germany:</w:t>
            </w:r>
          </w:p>
          <w:p w14:paraId="3FB905F5" w14:textId="77777777" w:rsidR="00DB0BB0" w:rsidRPr="00CB58FC" w:rsidRDefault="00DB0BB0" w:rsidP="00DB0BB0">
            <w:pPr>
              <w:pStyle w:val="HTMLPreformatted"/>
              <w:shd w:val="clear" w:color="auto" w:fill="F8F9FA"/>
              <w:rPr>
                <w:rStyle w:val="y2iqfc"/>
                <w:rFonts w:ascii="Arial" w:hAnsi="Arial" w:cs="Arial"/>
                <w:szCs w:val="20"/>
                <w:lang w:val="en"/>
              </w:rPr>
            </w:pPr>
            <w:r w:rsidRPr="00CB58FC">
              <w:rPr>
                <w:rStyle w:val="y2iqfc"/>
                <w:rFonts w:ascii="Arial" w:hAnsi="Arial" w:cs="Arial"/>
                <w:szCs w:val="20"/>
                <w:lang w:val="en"/>
              </w:rPr>
              <w:t>…</w:t>
            </w:r>
          </w:p>
          <w:p w14:paraId="6FDB85E5" w14:textId="38265C26" w:rsidR="00B519EA" w:rsidRPr="00CB58FC" w:rsidRDefault="00DB0BB0" w:rsidP="0015390C">
            <w:pPr>
              <w:jc w:val="both"/>
            </w:pPr>
            <w:r w:rsidRPr="00CB58FC">
              <w:rPr>
                <w:rStyle w:val="y2iqfc"/>
                <w:sz w:val="20"/>
                <w:lang w:val="en"/>
              </w:rPr>
              <w:t>1.4 the right to information and compensation in the event of resale a work of fine art or a photographic work § 26 Copyright Act;</w:t>
            </w:r>
            <w:r w:rsidRPr="00CB58FC">
              <w:rPr>
                <w:rStyle w:val="FootnoteReference"/>
                <w:szCs w:val="22"/>
                <w:lang w:val="en"/>
              </w:rPr>
              <w:footnoteReference w:id="40"/>
            </w:r>
          </w:p>
        </w:tc>
        <w:tc>
          <w:tcPr>
            <w:tcW w:w="3115" w:type="dxa"/>
          </w:tcPr>
          <w:p w14:paraId="53ACA2FE" w14:textId="0C3256B4" w:rsidR="00B519EA" w:rsidRPr="00CB58FC" w:rsidRDefault="00BE452A" w:rsidP="0015390C">
            <w:pPr>
              <w:jc w:val="both"/>
            </w:pPr>
            <w:r w:rsidRPr="00CB58FC">
              <w:rPr>
                <w:sz w:val="20"/>
                <w:szCs w:val="20"/>
              </w:rPr>
              <w:t>This is the general, mandate sought from members of Bildkunst with respect to all rights in visual works of art, including ARR</w:t>
            </w:r>
          </w:p>
        </w:tc>
      </w:tr>
      <w:tr w:rsidR="00B519EA" w:rsidRPr="00CB58FC" w14:paraId="6AE96720" w14:textId="77777777" w:rsidTr="00B519EA">
        <w:tc>
          <w:tcPr>
            <w:tcW w:w="3115" w:type="dxa"/>
          </w:tcPr>
          <w:p w14:paraId="10D5CE2C" w14:textId="0801A874" w:rsidR="00B519EA" w:rsidRPr="00CB58FC" w:rsidRDefault="00DB0BB0" w:rsidP="0015390C">
            <w:pPr>
              <w:ind w:firstLine="567"/>
              <w:jc w:val="both"/>
            </w:pPr>
            <w:r w:rsidRPr="00CB58FC">
              <w:rPr>
                <w:sz w:val="20"/>
                <w:szCs w:val="20"/>
              </w:rPr>
              <w:lastRenderedPageBreak/>
              <w:t>New Zealand</w:t>
            </w:r>
          </w:p>
        </w:tc>
        <w:tc>
          <w:tcPr>
            <w:tcW w:w="3115" w:type="dxa"/>
          </w:tcPr>
          <w:p w14:paraId="6B48E71D"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17 Liability for payment of resale royalties to collection agency</w:t>
            </w:r>
          </w:p>
          <w:p w14:paraId="66D73BF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following persons are jointly and severally liable to pay a resale royalty to the collection agency:</w:t>
            </w:r>
          </w:p>
          <w:p w14:paraId="6A239465"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the seller; and</w:t>
            </w:r>
          </w:p>
          <w:p w14:paraId="7200CC97"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either—</w:t>
            </w:r>
          </w:p>
          <w:p w14:paraId="23B5BE4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the agent acting for the seller on the resale; or</w:t>
            </w:r>
          </w:p>
          <w:p w14:paraId="0E50B821"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if the seller does not have an agent, the agent acting for the buyer</w:t>
            </w:r>
          </w:p>
          <w:p w14:paraId="49B48EC6"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on the resale; or</w:t>
            </w:r>
          </w:p>
          <w:p w14:paraId="2ED61208"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(iii) if there are no agents, the buyer.</w:t>
            </w:r>
          </w:p>
          <w:p w14:paraId="657E770C"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liability arises on the completion of the qualifying resale.</w:t>
            </w:r>
          </w:p>
          <w:p w14:paraId="3FAA05C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liability is discharged when the total amount of the resale royalty is paid to the collection agency.</w:t>
            </w:r>
          </w:p>
          <w:p w14:paraId="78ABF416"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(4) Payment of the resale royalty must be made to the collection agency within the time frame, and otherwise in the manner, specified by the regulations.</w:t>
            </w:r>
          </w:p>
          <w:p w14:paraId="77BFDF8F"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(5) Any agreement to share or repay the resale royalty, other than as provided for in this Act, is void.</w:t>
            </w:r>
          </w:p>
          <w:p w14:paraId="16F05CA0"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18 Liability for payment of resale royalties to right holders</w:t>
            </w:r>
          </w:p>
          <w:p w14:paraId="1E1E1A5A"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collection agency is liable to pay, to the right holder, each resale royalty it receives under section 17.</w:t>
            </w:r>
          </w:p>
          <w:p w14:paraId="03E5B95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liability arises when the total amount of the resale royalty is paid to the collection agency.</w:t>
            </w:r>
          </w:p>
          <w:p w14:paraId="1F037BB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The liability is discharged—</w:t>
            </w:r>
          </w:p>
          <w:p w14:paraId="63AD2DA2"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on the date on which the total amount, less the percentage that the collection agency is entitled to retain (see section 20), is paid—</w:t>
            </w:r>
          </w:p>
          <w:p w14:paraId="05BC951E"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 to the right holder, if the right holder is New Zealand-based:</w:t>
            </w:r>
          </w:p>
          <w:p w14:paraId="2EB15DA4"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(ii) to the equivalent of the collection agency in the relevant reciprocating country, in all other cases; or</w:t>
            </w:r>
          </w:p>
          <w:p w14:paraId="01EB8E46" w14:textId="1D7F7599"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the total amount is unpaid on the expiry of the period specified by the</w:t>
            </w:r>
            <w:r w:rsidR="004C5062" w:rsidRPr="00CB58FC">
              <w:rPr>
                <w:rFonts w:eastAsiaTheme="minorHAnsi"/>
                <w:sz w:val="20"/>
                <w:szCs w:val="20"/>
                <w14:ligatures w14:val="standardContextual"/>
              </w:rPr>
              <w:t xml:space="preserve"> </w:t>
            </w:r>
            <w:r w:rsidRPr="00CB58FC">
              <w:rPr>
                <w:rFonts w:eastAsiaTheme="minorHAnsi"/>
                <w:sz w:val="20"/>
                <w:szCs w:val="20"/>
                <w14:ligatures w14:val="standardContextual"/>
              </w:rPr>
              <w:t xml:space="preserve">regulations despite the collection agency’s </w:t>
            </w:r>
            <w:r w:rsidRPr="00CB58FC">
              <w:rPr>
                <w:rFonts w:eastAsiaTheme="minorHAnsi"/>
                <w:sz w:val="20"/>
                <w:szCs w:val="20"/>
                <w14:ligatures w14:val="standardContextual"/>
              </w:rPr>
              <w:lastRenderedPageBreak/>
              <w:t>best endeavors, on the expiry of that period</w:t>
            </w:r>
          </w:p>
          <w:p w14:paraId="44BDC841" w14:textId="77777777" w:rsidR="00DB0BB0" w:rsidRPr="00CB58FC" w:rsidRDefault="00DB0BB0" w:rsidP="0015390C">
            <w:pPr>
              <w:jc w:val="both"/>
              <w:rPr>
                <w:sz w:val="20"/>
                <w:szCs w:val="20"/>
              </w:rPr>
            </w:pPr>
            <w:r w:rsidRPr="00CB58FC">
              <w:rPr>
                <w:sz w:val="20"/>
                <w:szCs w:val="20"/>
              </w:rPr>
              <w:t>…</w:t>
            </w:r>
          </w:p>
          <w:p w14:paraId="3FB841A1" w14:textId="77777777" w:rsidR="00DB0BB0" w:rsidRPr="00CB58FC" w:rsidRDefault="00DB0BB0"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19 Right holder may decline resale royalty payment</w:t>
            </w:r>
          </w:p>
          <w:p w14:paraId="1ABA8A11"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A right holder may, in accordance with the process specified by the regulations, decline to receive—</w:t>
            </w:r>
          </w:p>
          <w:p w14:paraId="014F7A15"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payment of all or part of a resale royalty:</w:t>
            </w:r>
          </w:p>
          <w:p w14:paraId="610B2B2E"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payment of a resale royalty on the future resale of any or all of their visual artworks.</w:t>
            </w:r>
          </w:p>
          <w:p w14:paraId="04845C5B" w14:textId="77777777" w:rsidR="00DB0BB0" w:rsidRPr="00CB58FC" w:rsidRDefault="00DB0BB0"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If a right holder declines to receive payment of any amount of a resale royalty, the collection agency must use or manage the amount in the manner specified by the regulations.</w:t>
            </w:r>
            <w:r w:rsidRPr="00CB58FC">
              <w:rPr>
                <w:rStyle w:val="FootnoteReference"/>
                <w:rFonts w:eastAsiaTheme="minorHAnsi"/>
                <w:sz w:val="20"/>
                <w:szCs w:val="20"/>
                <w14:ligatures w14:val="standardContextual"/>
              </w:rPr>
              <w:footnoteReference w:id="41"/>
            </w:r>
          </w:p>
          <w:p w14:paraId="75533B15" w14:textId="3F0A7646" w:rsidR="00B519EA" w:rsidRPr="00CB58FC" w:rsidRDefault="00DB0BB0" w:rsidP="0015390C">
            <w:pPr>
              <w:jc w:val="both"/>
            </w:pPr>
            <w:r w:rsidRPr="00CB58FC">
              <w:rPr>
                <w:rFonts w:eastAsiaTheme="minorHAnsi"/>
                <w:sz w:val="20"/>
                <w14:ligatures w14:val="standardContextual"/>
              </w:rPr>
              <w:t>(3) A right holder may, in accordance with the process specified by the regulations, opt to receive payment of a royalty on future resales of any or all of the artworks previously declined under subsection (1)(b).</w:t>
            </w:r>
            <w:r w:rsidR="00BE452A" w:rsidRPr="00CB58FC">
              <w:rPr>
                <w:rStyle w:val="FootnoteReference"/>
                <w:rFonts w:eastAsiaTheme="minorHAnsi"/>
                <w:sz w:val="20"/>
                <w14:ligatures w14:val="standardContextual"/>
              </w:rPr>
              <w:footnoteReference w:id="42"/>
            </w:r>
          </w:p>
        </w:tc>
        <w:tc>
          <w:tcPr>
            <w:tcW w:w="3115" w:type="dxa"/>
          </w:tcPr>
          <w:p w14:paraId="6C1793FD" w14:textId="425B2008" w:rsidR="00B519EA" w:rsidRPr="00CB58FC" w:rsidRDefault="00BE452A" w:rsidP="00BE452A">
            <w:pPr>
              <w:pStyle w:val="ListParagraph"/>
              <w:numPr>
                <w:ilvl w:val="0"/>
                <w:numId w:val="26"/>
              </w:numPr>
              <w:rPr>
                <w:sz w:val="20"/>
                <w:szCs w:val="20"/>
              </w:rPr>
            </w:pPr>
            <w:r w:rsidRPr="00CB58FC">
              <w:rPr>
                <w:sz w:val="20"/>
                <w:szCs w:val="20"/>
              </w:rPr>
              <w:lastRenderedPageBreak/>
              <w:t>Establishes liability of persons liable to pay royalty to CMO</w:t>
            </w:r>
          </w:p>
          <w:p w14:paraId="106D156C" w14:textId="1DF18E9E" w:rsidR="00BE452A" w:rsidRPr="00CB58FC" w:rsidRDefault="00BE452A" w:rsidP="00BE452A">
            <w:pPr>
              <w:pStyle w:val="ListParagraph"/>
              <w:numPr>
                <w:ilvl w:val="0"/>
                <w:numId w:val="26"/>
              </w:numPr>
              <w:rPr>
                <w:sz w:val="20"/>
                <w:szCs w:val="20"/>
              </w:rPr>
            </w:pPr>
            <w:r w:rsidRPr="00CB58FC">
              <w:rPr>
                <w:sz w:val="20"/>
                <w:szCs w:val="20"/>
              </w:rPr>
              <w:t xml:space="preserve">CMO liable to pay </w:t>
            </w:r>
            <w:r w:rsidR="007F541D" w:rsidRPr="00CB58FC">
              <w:rPr>
                <w:sz w:val="20"/>
                <w:szCs w:val="20"/>
              </w:rPr>
              <w:t>royalty</w:t>
            </w:r>
            <w:r w:rsidRPr="00CB58FC">
              <w:rPr>
                <w:sz w:val="20"/>
                <w:szCs w:val="20"/>
              </w:rPr>
              <w:t xml:space="preserve"> to right holders</w:t>
            </w:r>
          </w:p>
          <w:p w14:paraId="2F25C8D4" w14:textId="77777777" w:rsidR="00BE452A" w:rsidRPr="00CB58FC" w:rsidRDefault="00BE452A" w:rsidP="00BE452A">
            <w:pPr>
              <w:pStyle w:val="ListParagraph"/>
              <w:numPr>
                <w:ilvl w:val="0"/>
                <w:numId w:val="26"/>
              </w:numPr>
              <w:rPr>
                <w:sz w:val="20"/>
                <w:szCs w:val="20"/>
              </w:rPr>
            </w:pPr>
            <w:r w:rsidRPr="00CB58FC">
              <w:rPr>
                <w:sz w:val="20"/>
                <w:szCs w:val="20"/>
              </w:rPr>
              <w:t>Right holders may decline payme</w:t>
            </w:r>
            <w:r w:rsidR="007F541D" w:rsidRPr="00CB58FC">
              <w:rPr>
                <w:sz w:val="20"/>
                <w:szCs w:val="20"/>
              </w:rPr>
              <w:t>n</w:t>
            </w:r>
            <w:r w:rsidRPr="00CB58FC">
              <w:rPr>
                <w:sz w:val="20"/>
                <w:szCs w:val="20"/>
              </w:rPr>
              <w:t>t</w:t>
            </w:r>
          </w:p>
          <w:p w14:paraId="150E9150" w14:textId="4399FA51" w:rsidR="007F541D" w:rsidRPr="00CB58FC" w:rsidRDefault="007F541D" w:rsidP="0015390C">
            <w:pPr>
              <w:pStyle w:val="ListParagraph"/>
              <w:numPr>
                <w:ilvl w:val="0"/>
                <w:numId w:val="26"/>
              </w:numPr>
            </w:pPr>
            <w:r w:rsidRPr="00CB58FC">
              <w:rPr>
                <w:sz w:val="20"/>
                <w:szCs w:val="20"/>
              </w:rPr>
              <w:t>Right holders cannot enforce right individually</w:t>
            </w:r>
          </w:p>
        </w:tc>
      </w:tr>
    </w:tbl>
    <w:p w14:paraId="596CBD28" w14:textId="5603D21B" w:rsidR="003D6031" w:rsidRPr="00CB58FC" w:rsidRDefault="003D6031" w:rsidP="003D6031"/>
    <w:p w14:paraId="3BA193CE" w14:textId="77777777" w:rsidR="003D6031" w:rsidRPr="00CB58FC" w:rsidRDefault="003D6031" w:rsidP="003D6031">
      <w:pPr>
        <w:pStyle w:val="Heading1"/>
        <w:rPr>
          <w:szCs w:val="22"/>
        </w:rPr>
      </w:pPr>
      <w:r w:rsidRPr="00CB58FC">
        <w:rPr>
          <w:szCs w:val="22"/>
        </w:rPr>
        <w:t>ELIGIBLE RIGHT HOLDERS AND CMO MEMBERSHIP</w:t>
      </w:r>
    </w:p>
    <w:p w14:paraId="40B00B5F" w14:textId="77777777" w:rsidR="003D6031" w:rsidRPr="00CB58FC" w:rsidRDefault="003D6031" w:rsidP="003D6031">
      <w:pPr>
        <w:rPr>
          <w:lang w:val="en-GB"/>
        </w:rPr>
      </w:pPr>
    </w:p>
    <w:p w14:paraId="5532E652" w14:textId="058EA43F" w:rsidR="003D6031" w:rsidRPr="00CB58FC" w:rsidRDefault="003D6031" w:rsidP="0015390C">
      <w:pPr>
        <w:pStyle w:val="ListParagraph"/>
        <w:numPr>
          <w:ilvl w:val="0"/>
          <w:numId w:val="16"/>
        </w:numPr>
      </w:pPr>
      <w:r w:rsidRPr="00CB58FC">
        <w:rPr>
          <w:rFonts w:cs="Arial"/>
          <w:lang w:val="en-US"/>
        </w:rPr>
        <w:t xml:space="preserve">Depending on the way in which ARR is established under national law, membership of a CMO may not be a critical issue, as in the UK, Australia and New Zealand and in other countries where collective management of ARR is established on an extended or mandatory basis, as in Hungary, Denmark, Norway and Slovakia. On the other hand, it will obviously be of critical importance in countries with voluntary ARR schemes where CMOs can act only on behalf of their own members, as in France and Germany. That said, CMO membership has distinct advantages so far as issues of accountability and representation in the operations of the CMO are concerned. There is no need here to rehearse these benefits at the more general level: see further the </w:t>
      </w:r>
      <w:r w:rsidRPr="00CB58FC">
        <w:rPr>
          <w:rFonts w:cs="Arial"/>
          <w:b/>
          <w:bCs/>
          <w:lang w:val="en-US"/>
        </w:rPr>
        <w:t>CMO Toolkit</w:t>
      </w:r>
      <w:r w:rsidRPr="00CB58FC">
        <w:rPr>
          <w:rFonts w:cs="Arial"/>
          <w:lang w:val="en-US"/>
        </w:rPr>
        <w:t>, in particular Parts 3 and 4. In the case of ARR, however, CMO membership may have further benefits in terms of the increased information flow back to members and through the provision of mechanisms allowing for member feedback to the CMO on the way the ARR scheme is managed, distributions made and questions that arise in relation to the use of undistributed funds.</w:t>
      </w:r>
      <w:r w:rsidR="00365260" w:rsidRPr="00CB58FC">
        <w:t xml:space="preserve">  </w:t>
      </w:r>
      <w:r w:rsidRPr="00CB58FC">
        <w:t xml:space="preserve"> </w:t>
      </w:r>
    </w:p>
    <w:p w14:paraId="00EF2E3D" w14:textId="77777777" w:rsidR="006F2688" w:rsidRPr="00CB58FC" w:rsidRDefault="006F2688" w:rsidP="0015390C">
      <w:pPr>
        <w:pStyle w:val="ListParagraph"/>
        <w:ind w:left="360"/>
        <w:rPr>
          <w:rFonts w:cs="Arial"/>
          <w:lang w:val="en-US"/>
        </w:rPr>
      </w:pPr>
    </w:p>
    <w:p w14:paraId="0EF764BE" w14:textId="2E80C7D8" w:rsidR="005F27F7" w:rsidRPr="00CB58FC" w:rsidRDefault="005F27F7" w:rsidP="003D6031">
      <w:pPr>
        <w:pStyle w:val="ListParagraph"/>
        <w:numPr>
          <w:ilvl w:val="0"/>
          <w:numId w:val="16"/>
        </w:numPr>
        <w:rPr>
          <w:rFonts w:cs="Arial"/>
          <w:lang w:val="en-US"/>
        </w:rPr>
      </w:pPr>
      <w:r w:rsidRPr="00CB58FC">
        <w:rPr>
          <w:rFonts w:cs="Arial"/>
          <w:lang w:val="en-US"/>
        </w:rPr>
        <w:t>For example, on its website</w:t>
      </w:r>
      <w:r w:rsidR="00100A2A" w:rsidRPr="00CB58FC">
        <w:rPr>
          <w:rFonts w:cs="Arial"/>
          <w:lang w:val="en-US"/>
        </w:rPr>
        <w:t>,</w:t>
      </w:r>
      <w:r w:rsidRPr="00CB58FC">
        <w:rPr>
          <w:rFonts w:cs="Arial"/>
          <w:lang w:val="en-US"/>
        </w:rPr>
        <w:t xml:space="preserve"> Bild-Kunst (Germany) recites the advantages of membership generally (covering all mandated rights, not just ARR) in language that is very ‘user friendly’ and provides clear guidance to intending members as to the steps they need to take to achieve membership. It does not charge membership fees and emphasizes that members have a ‘say’ in the association.</w:t>
      </w:r>
      <w:r w:rsidRPr="00CB58FC">
        <w:rPr>
          <w:rStyle w:val="FootnoteReference"/>
          <w:rFonts w:cs="Arial"/>
          <w:lang w:val="en-US"/>
        </w:rPr>
        <w:footnoteReference w:id="43"/>
      </w:r>
      <w:r w:rsidRPr="00CB58FC">
        <w:rPr>
          <w:rFonts w:cs="Arial"/>
          <w:lang w:val="en-US"/>
        </w:rPr>
        <w:t xml:space="preserve"> Furthermore, members are free to leave at any time, upon the giving of </w:t>
      </w:r>
      <w:r w:rsidRPr="00CB58FC">
        <w:rPr>
          <w:rFonts w:cs="Arial"/>
          <w:lang w:val="en-US"/>
        </w:rPr>
        <w:lastRenderedPageBreak/>
        <w:t>appropriate notice;</w:t>
      </w:r>
      <w:r w:rsidRPr="00CB58FC">
        <w:rPr>
          <w:rStyle w:val="FootnoteReference"/>
          <w:rFonts w:cs="Arial"/>
          <w:lang w:val="en-US"/>
        </w:rPr>
        <w:footnoteReference w:id="44"/>
      </w:r>
      <w:r w:rsidRPr="00CB58FC">
        <w:rPr>
          <w:rFonts w:cs="Arial"/>
          <w:lang w:val="en-US"/>
        </w:rPr>
        <w:t xml:space="preserve"> as in France, Bild-Kunst can act only on behalf of its members, and non-members must seek enforcement of their ARR individually. </w:t>
      </w:r>
    </w:p>
    <w:p w14:paraId="654056D4" w14:textId="77777777" w:rsidR="006F2688" w:rsidRPr="00CB58FC" w:rsidRDefault="006F2688" w:rsidP="0015390C">
      <w:pPr>
        <w:pStyle w:val="ListParagraph"/>
        <w:ind w:left="360"/>
        <w:rPr>
          <w:rFonts w:cs="Arial"/>
          <w:lang w:val="en-US"/>
        </w:rPr>
      </w:pPr>
    </w:p>
    <w:p w14:paraId="6EE7EC51" w14:textId="34E9AA03" w:rsidR="003D6031" w:rsidRPr="00CB58FC" w:rsidRDefault="003D6031" w:rsidP="003D6031">
      <w:pPr>
        <w:pStyle w:val="ListParagraph"/>
        <w:numPr>
          <w:ilvl w:val="0"/>
          <w:numId w:val="16"/>
        </w:numPr>
        <w:rPr>
          <w:rFonts w:cs="Arial"/>
          <w:lang w:val="en-US"/>
        </w:rPr>
      </w:pPr>
      <w:r w:rsidRPr="00CB58FC">
        <w:rPr>
          <w:rFonts w:cs="Arial"/>
          <w:lang w:val="en-US"/>
        </w:rPr>
        <w:t xml:space="preserve">ADAGP in France likewise cannot collect on behalf of artists and right holders who are not members of ADAGP: such persons must contact the AMP involved in the resale of their work if they are to claim payment. However, </w:t>
      </w:r>
      <w:r w:rsidRPr="00CB58FC">
        <w:rPr>
          <w:rFonts w:cs="Arial"/>
        </w:rPr>
        <w:t>If an AMP files a declaration with ADAGP to declare resale royalties for a sale of an artist’s work who was not a member of ADAGP at the time of the sale, this information can be found in the Search Notice Board which is provided on the ADAGP website and membership by the artist concerned is readily effected</w:t>
      </w:r>
      <w:r w:rsidR="005F27F7" w:rsidRPr="00CB58FC">
        <w:rPr>
          <w:rFonts w:cs="Arial"/>
        </w:rPr>
        <w:t>.</w:t>
      </w:r>
      <w:r w:rsidR="005F27F7" w:rsidRPr="00CB58FC">
        <w:rPr>
          <w:rStyle w:val="FootnoteReference"/>
          <w:rFonts w:cs="Arial"/>
        </w:rPr>
        <w:footnoteReference w:id="45"/>
      </w:r>
      <w:r w:rsidRPr="00CB58FC">
        <w:rPr>
          <w:rFonts w:cs="Arial"/>
        </w:rPr>
        <w:t xml:space="preserve"> </w:t>
      </w:r>
      <w:r w:rsidRPr="00CB58FC">
        <w:rPr>
          <w:rStyle w:val="Hyperlink"/>
          <w:rFonts w:cs="Arial"/>
          <w:color w:val="auto"/>
          <w:u w:val="none"/>
        </w:rPr>
        <w:t>In such cases, there is an obligation on ADAGP – and any other relevant French CMO</w:t>
      </w:r>
      <w:r w:rsidRPr="00CB58FC">
        <w:rPr>
          <w:rFonts w:cs="Arial"/>
        </w:rPr>
        <w:t xml:space="preserve"> – to take all appropriate steps to ensure that potential beneficiaries of ARR who are not ADAGP members</w:t>
      </w:r>
      <w:r w:rsidR="00E264CE" w:rsidRPr="00CB58FC">
        <w:rPr>
          <w:rFonts w:cs="Arial"/>
        </w:rPr>
        <w:t xml:space="preserve"> are advised</w:t>
      </w:r>
      <w:r w:rsidRPr="00CB58FC">
        <w:rPr>
          <w:rFonts w:cs="Arial"/>
        </w:rPr>
        <w:t xml:space="preserve"> of their entitlement to claim ARR</w:t>
      </w:r>
      <w:r w:rsidR="005F27F7" w:rsidRPr="00CB58FC">
        <w:rPr>
          <w:rFonts w:cs="Arial"/>
        </w:rPr>
        <w:t>.</w:t>
      </w:r>
      <w:r w:rsidR="005F27F7" w:rsidRPr="00CB58FC">
        <w:rPr>
          <w:rStyle w:val="FootnoteReference"/>
          <w:rFonts w:cs="Arial"/>
        </w:rPr>
        <w:footnoteReference w:id="46"/>
      </w:r>
      <w:r w:rsidR="005F27F7" w:rsidRPr="00CB58FC">
        <w:rPr>
          <w:rFonts w:cs="Arial"/>
        </w:rPr>
        <w:t>.</w:t>
      </w:r>
    </w:p>
    <w:p w14:paraId="3621DBFE" w14:textId="77777777" w:rsidR="006F2688" w:rsidRPr="00CB58FC" w:rsidRDefault="006F2688" w:rsidP="0015390C">
      <w:pPr>
        <w:pStyle w:val="ListParagraph"/>
        <w:ind w:left="360"/>
        <w:rPr>
          <w:rFonts w:cs="Arial"/>
          <w:lang w:val="en-US"/>
        </w:rPr>
      </w:pPr>
    </w:p>
    <w:p w14:paraId="31CB717D" w14:textId="6D88DCFB" w:rsidR="003D6031" w:rsidRPr="00CB58FC" w:rsidRDefault="003D6031" w:rsidP="003D6031">
      <w:pPr>
        <w:pStyle w:val="ListParagraph"/>
        <w:numPr>
          <w:ilvl w:val="0"/>
          <w:numId w:val="16"/>
        </w:numPr>
        <w:rPr>
          <w:rFonts w:cs="Arial"/>
          <w:lang w:val="en-US"/>
        </w:rPr>
      </w:pPr>
      <w:r w:rsidRPr="00CB58FC">
        <w:rPr>
          <w:rFonts w:cs="Arial"/>
          <w:lang w:val="en-US"/>
        </w:rPr>
        <w:t xml:space="preserve">It </w:t>
      </w:r>
      <w:r w:rsidR="006F2688" w:rsidRPr="00CB58FC">
        <w:rPr>
          <w:rFonts w:cs="Arial"/>
          <w:lang w:val="en-US"/>
        </w:rPr>
        <w:t>may also be</w:t>
      </w:r>
      <w:r w:rsidRPr="00CB58FC">
        <w:rPr>
          <w:rFonts w:cs="Arial"/>
          <w:lang w:val="en-US"/>
        </w:rPr>
        <w:t xml:space="preserve"> </w:t>
      </w:r>
      <w:r w:rsidR="006F2688" w:rsidRPr="00CB58FC">
        <w:rPr>
          <w:rFonts w:cs="Arial"/>
          <w:lang w:val="en-US"/>
        </w:rPr>
        <w:t xml:space="preserve">noted </w:t>
      </w:r>
      <w:r w:rsidRPr="00CB58FC">
        <w:rPr>
          <w:rFonts w:cs="Arial"/>
          <w:lang w:val="en-US"/>
        </w:rPr>
        <w:t>that in a country such as Australia where right holders need to register with the CMO in order to facilitate receipt of any ARR payments due to them, becoming a member is very easily achieved at the same time, and is also free</w:t>
      </w:r>
      <w:r w:rsidR="005F1958" w:rsidRPr="00CB58FC">
        <w:rPr>
          <w:rFonts w:cs="Arial"/>
          <w:lang w:val="en-US"/>
        </w:rPr>
        <w:t>.</w:t>
      </w:r>
      <w:r w:rsidR="005F1958" w:rsidRPr="00CB58FC">
        <w:rPr>
          <w:rStyle w:val="FootnoteReference"/>
          <w:rFonts w:cs="Arial"/>
          <w:lang w:val="en-US"/>
        </w:rPr>
        <w:footnoteReference w:id="47"/>
      </w:r>
      <w:r w:rsidRPr="00CB58FC">
        <w:rPr>
          <w:rFonts w:cs="Arial"/>
          <w:lang w:val="en-US"/>
        </w:rPr>
        <w:t xml:space="preserve"> </w:t>
      </w:r>
    </w:p>
    <w:p w14:paraId="6D637A0B" w14:textId="77777777" w:rsidR="006F2688" w:rsidRPr="00CB58FC" w:rsidRDefault="006F2688" w:rsidP="0015390C">
      <w:pPr>
        <w:pStyle w:val="ListParagraph"/>
        <w:ind w:left="360"/>
        <w:rPr>
          <w:rFonts w:cs="Arial"/>
          <w:lang w:val="en-US"/>
        </w:rPr>
      </w:pPr>
    </w:p>
    <w:p w14:paraId="64CD858D" w14:textId="5BF6106E" w:rsidR="003D6031" w:rsidRPr="00CB58FC" w:rsidRDefault="003D6031" w:rsidP="003D6031">
      <w:pPr>
        <w:pStyle w:val="ListParagraph"/>
        <w:numPr>
          <w:ilvl w:val="0"/>
          <w:numId w:val="16"/>
        </w:numPr>
        <w:rPr>
          <w:rFonts w:cs="Arial"/>
          <w:lang w:val="en-US"/>
        </w:rPr>
      </w:pPr>
      <w:r w:rsidRPr="00CB58FC">
        <w:rPr>
          <w:rFonts w:cs="Arial"/>
          <w:lang w:val="en-US"/>
        </w:rPr>
        <w:t>As to matters of membership generally, individual CMOs may differ as to details, but the general principle should be that, in the case of ARR, eligibility for membership should align with eligibility for ARR, i</w:t>
      </w:r>
      <w:r w:rsidR="000976D4" w:rsidRPr="00CB58FC">
        <w:rPr>
          <w:rFonts w:cs="Arial"/>
          <w:lang w:val="en-US"/>
        </w:rPr>
        <w:t>.</w:t>
      </w:r>
      <w:r w:rsidRPr="00CB58FC">
        <w:rPr>
          <w:rFonts w:cs="Arial"/>
          <w:lang w:val="en-US"/>
        </w:rPr>
        <w:t>e</w:t>
      </w:r>
      <w:r w:rsidR="000976D4" w:rsidRPr="00CB58FC">
        <w:rPr>
          <w:rFonts w:cs="Arial"/>
          <w:lang w:val="en-US"/>
        </w:rPr>
        <w:t>.</w:t>
      </w:r>
      <w:r w:rsidRPr="00CB58FC">
        <w:rPr>
          <w:rFonts w:cs="Arial"/>
          <w:lang w:val="en-US"/>
        </w:rPr>
        <w:t xml:space="preserve"> the visual artist(s), personal representatives and heirs. For example, in the case of ADAGP, living artists can register and pay a small contribution: in the case of heirs, a notarized declaration is required. </w:t>
      </w:r>
    </w:p>
    <w:p w14:paraId="27DB69AA" w14:textId="77777777" w:rsidR="006F2688" w:rsidRPr="00CB58FC" w:rsidRDefault="006F2688" w:rsidP="0015390C">
      <w:pPr>
        <w:pStyle w:val="ListParagraph"/>
        <w:ind w:left="360"/>
        <w:rPr>
          <w:rFonts w:cs="Arial"/>
          <w:lang w:val="en-US"/>
        </w:rPr>
      </w:pPr>
    </w:p>
    <w:p w14:paraId="3B895474" w14:textId="3E7A4C84" w:rsidR="003D6031" w:rsidRPr="00CB58FC" w:rsidRDefault="003D6031" w:rsidP="003D6031">
      <w:pPr>
        <w:pStyle w:val="ListParagraph"/>
        <w:numPr>
          <w:ilvl w:val="0"/>
          <w:numId w:val="16"/>
        </w:numPr>
        <w:rPr>
          <w:rFonts w:cs="Arial"/>
          <w:lang w:val="en-US"/>
        </w:rPr>
      </w:pPr>
      <w:r w:rsidRPr="00CB58FC">
        <w:rPr>
          <w:rFonts w:cs="Arial"/>
          <w:lang w:val="en-US"/>
        </w:rPr>
        <w:t>Finally, in Italy, a country where mandatory collective management is applied, while it is unnecessary to be a CMO member (in this instance, of SIAE) in order to receive ARR payments, it appears that the position of ‘administered right holders’ (‘administrato’) may be different that of full members (‘associato’ or ‘mandante’) on the basis that it is usually easier to keep in contact with the member in the event that an eligible resale occurs and a royalty is due. And, of course, there are other benefits of membership and, in this regard, SIAE has ca</w:t>
      </w:r>
      <w:r w:rsidR="000976D4" w:rsidRPr="00CB58FC">
        <w:rPr>
          <w:rFonts w:cs="Arial"/>
          <w:lang w:val="en-US"/>
        </w:rPr>
        <w:t>r</w:t>
      </w:r>
      <w:r w:rsidRPr="00CB58FC">
        <w:rPr>
          <w:rFonts w:cs="Arial"/>
          <w:lang w:val="en-US"/>
        </w:rPr>
        <w:t>ried out promotional campaigns to make artists aware of ARR and the advantages of membership.</w:t>
      </w:r>
    </w:p>
    <w:p w14:paraId="1E79C501" w14:textId="77777777" w:rsidR="003D6031" w:rsidRPr="00CB58FC" w:rsidRDefault="003D6031" w:rsidP="003D6031">
      <w:pPr>
        <w:pStyle w:val="Heading1"/>
      </w:pPr>
      <w:r w:rsidRPr="00CB58FC">
        <w:t xml:space="preserve">Identifying eligible right holders </w:t>
      </w:r>
    </w:p>
    <w:p w14:paraId="7B17478F" w14:textId="77777777" w:rsidR="003D6031" w:rsidRPr="00CB58FC" w:rsidRDefault="003D6031" w:rsidP="003D6031"/>
    <w:p w14:paraId="40876931" w14:textId="77777777" w:rsidR="003D6031" w:rsidRPr="00CB58FC" w:rsidRDefault="003D6031" w:rsidP="003D6031">
      <w:pPr>
        <w:pStyle w:val="ListParagraph"/>
        <w:numPr>
          <w:ilvl w:val="0"/>
          <w:numId w:val="16"/>
        </w:numPr>
        <w:rPr>
          <w:rFonts w:cs="Arial"/>
        </w:rPr>
      </w:pPr>
      <w:r w:rsidRPr="00CB58FC">
        <w:rPr>
          <w:rFonts w:cs="Arial"/>
        </w:rPr>
        <w:t>Information flow is the critical consideration in the management of any ARR scheme: ensuring that eligible right holders are properly identified and that eligible resales are likewise identified as they occur. Once these elements are in place, the appropriate payments may then be determined and made</w:t>
      </w:r>
      <w:r w:rsidRPr="00CB58FC">
        <w:rPr>
          <w:rFonts w:cs="Arial"/>
          <w:lang w:val="en-US" w:eastAsia="ja-JP"/>
        </w:rPr>
        <w:t xml:space="preserve"> </w:t>
      </w:r>
      <w:r w:rsidRPr="00CB58FC">
        <w:rPr>
          <w:rFonts w:cs="Arial"/>
        </w:rPr>
        <w:t xml:space="preserve">to the eligible right holder(s). </w:t>
      </w:r>
    </w:p>
    <w:p w14:paraId="4FE1EF07" w14:textId="77777777" w:rsidR="006F2688" w:rsidRPr="00CB58FC" w:rsidRDefault="006F2688" w:rsidP="0015390C">
      <w:pPr>
        <w:pStyle w:val="ListParagraph"/>
        <w:ind w:left="360"/>
        <w:rPr>
          <w:rFonts w:cs="Arial"/>
        </w:rPr>
      </w:pPr>
    </w:p>
    <w:p w14:paraId="2B9893EE" w14:textId="441452A6" w:rsidR="00F956C3" w:rsidRPr="00CB58FC" w:rsidRDefault="003D6031" w:rsidP="003D6031">
      <w:pPr>
        <w:pStyle w:val="ListParagraph"/>
        <w:numPr>
          <w:ilvl w:val="0"/>
          <w:numId w:val="16"/>
        </w:numPr>
        <w:rPr>
          <w:rFonts w:cs="Arial"/>
        </w:rPr>
      </w:pPr>
      <w:r w:rsidRPr="00CB58FC">
        <w:rPr>
          <w:rFonts w:cs="Arial"/>
        </w:rPr>
        <w:t xml:space="preserve">So far as identification of eligible right holders is concerned, it is desirable for the CMO to have this information in advance so that this can then be made available to AMPs who will be involved in any future eligible resales. In the case of a voluntary ARR scheme, this can be </w:t>
      </w:r>
      <w:r w:rsidRPr="00CB58FC">
        <w:rPr>
          <w:rFonts w:cs="Arial"/>
        </w:rPr>
        <w:lastRenderedPageBreak/>
        <w:t>done through right holders becoming members of the CMO that is to represent them, and there must be clear channels through which right holders (visual artists and their heirs) can readily access and acquire membership</w:t>
      </w:r>
      <w:r w:rsidR="005F1958" w:rsidRPr="00CB58FC">
        <w:rPr>
          <w:rFonts w:cs="Arial"/>
        </w:rPr>
        <w:t xml:space="preserve">, for example, through user-friendly websites of the kinds referred to at paras </w:t>
      </w:r>
      <w:r w:rsidR="004229E5" w:rsidRPr="00CB58FC">
        <w:rPr>
          <w:rFonts w:cs="Arial"/>
        </w:rPr>
        <w:t>33-37 above</w:t>
      </w:r>
      <w:r w:rsidRPr="00CB58FC">
        <w:rPr>
          <w:rFonts w:cs="Arial"/>
        </w:rPr>
        <w:t xml:space="preserve">. While membership of the CMO will still be highly relevant in the case of compulsory or extended ARR systems, there will also be a need in those systems for </w:t>
      </w:r>
      <w:r w:rsidR="004229E5" w:rsidRPr="00CB58FC">
        <w:rPr>
          <w:rFonts w:cs="Arial"/>
        </w:rPr>
        <w:t xml:space="preserve">there to be </w:t>
      </w:r>
      <w:r w:rsidRPr="00CB58FC">
        <w:rPr>
          <w:rFonts w:cs="Arial"/>
        </w:rPr>
        <w:t xml:space="preserve">further mechanisms by which right holders can record or register their interests in advance. At the level of general exhortation, the </w:t>
      </w:r>
      <w:r w:rsidRPr="00CB58FC">
        <w:rPr>
          <w:rFonts w:cs="Arial"/>
          <w:i/>
          <w:iCs/>
        </w:rPr>
        <w:t>E</w:t>
      </w:r>
      <w:r w:rsidRPr="00CB58FC">
        <w:rPr>
          <w:rFonts w:cs="Arial"/>
        </w:rPr>
        <w:t xml:space="preserve">C </w:t>
      </w:r>
      <w:r w:rsidRPr="00CB58FC">
        <w:rPr>
          <w:rFonts w:cs="Arial"/>
          <w:i/>
          <w:iCs/>
        </w:rPr>
        <w:t xml:space="preserve">Key Principles and Recommendations on the Management of the Author Resale Right, </w:t>
      </w:r>
      <w:r w:rsidRPr="00CB58FC">
        <w:rPr>
          <w:rFonts w:cs="Arial"/>
        </w:rPr>
        <w:t>2013 (</w:t>
      </w:r>
      <w:r w:rsidRPr="00CB58FC">
        <w:rPr>
          <w:rFonts w:cs="Arial"/>
          <w:b/>
          <w:bCs/>
        </w:rPr>
        <w:t>EC Principles</w:t>
      </w:r>
      <w:r w:rsidRPr="00CB58FC">
        <w:rPr>
          <w:rFonts w:cs="Arial"/>
        </w:rPr>
        <w:t xml:space="preserve">) </w:t>
      </w:r>
      <w:r w:rsidR="004229E5" w:rsidRPr="00CB58FC">
        <w:rPr>
          <w:rFonts w:cs="Arial"/>
        </w:rPr>
        <w:t xml:space="preserve">set out </w:t>
      </w:r>
      <w:r w:rsidRPr="00CB58FC">
        <w:rPr>
          <w:rFonts w:cs="Arial"/>
        </w:rPr>
        <w:t xml:space="preserve">in </w:t>
      </w:r>
      <w:r w:rsidR="004229E5" w:rsidRPr="00CB58FC">
        <w:rPr>
          <w:rFonts w:cs="Arial"/>
        </w:rPr>
        <w:t>T</w:t>
      </w:r>
      <w:r w:rsidRPr="00CB58FC">
        <w:rPr>
          <w:rFonts w:cs="Arial"/>
        </w:rPr>
        <w:t>able</w:t>
      </w:r>
      <w:r w:rsidR="004229E5" w:rsidRPr="00CB58FC">
        <w:rPr>
          <w:rFonts w:cs="Arial"/>
        </w:rPr>
        <w:t xml:space="preserve"> 22 below may be noted. These recommend </w:t>
      </w:r>
      <w:r w:rsidRPr="00CB58FC">
        <w:rPr>
          <w:rFonts w:cs="Arial"/>
        </w:rPr>
        <w:t xml:space="preserve">that CMOs should take a proactive role here, particularly when operating under mandatory and extended collective management regimes where </w:t>
      </w:r>
      <w:r w:rsidR="00F956C3" w:rsidRPr="00CB58FC">
        <w:rPr>
          <w:rFonts w:cs="Arial"/>
        </w:rPr>
        <w:t>significant efforts</w:t>
      </w:r>
      <w:r w:rsidRPr="00CB58FC">
        <w:rPr>
          <w:rFonts w:cs="Arial"/>
        </w:rPr>
        <w:t xml:space="preserve"> may be required to track and identify non-members of the CMO who may be entitled to receive ARR. It is important here for the CMO to ensure that this information is accurate and up to </w:t>
      </w:r>
      <w:r w:rsidR="004229E5" w:rsidRPr="00CB58FC">
        <w:rPr>
          <w:rFonts w:cs="Arial"/>
        </w:rPr>
        <w:t>date, particularly</w:t>
      </w:r>
      <w:r w:rsidRPr="00CB58FC">
        <w:rPr>
          <w:rFonts w:cs="Arial"/>
        </w:rPr>
        <w:t xml:space="preserve"> in instances of multiple authorship and succession where there are heirs, as this will provide assurance to AMPs who are involved in eligible resales and who may be liable for ARR payments. CMOs typically have readily accessible online forms available on their websites which enable right holders to register their names and other relevant information with the CMO. Several CMOs operating under voluntary ARR schemes, in keeping with the EC Principles, also publish the names of the </w:t>
      </w:r>
      <w:r w:rsidR="007C0E11" w:rsidRPr="00CB58FC">
        <w:rPr>
          <w:rFonts w:cs="Arial"/>
        </w:rPr>
        <w:t>artists</w:t>
      </w:r>
      <w:r w:rsidRPr="00CB58FC">
        <w:rPr>
          <w:rFonts w:cs="Arial"/>
        </w:rPr>
        <w:t xml:space="preserve"> they represent, for example, AD</w:t>
      </w:r>
      <w:r w:rsidR="007C0E11" w:rsidRPr="00CB58FC">
        <w:rPr>
          <w:rFonts w:cs="Arial"/>
        </w:rPr>
        <w:t>AG</w:t>
      </w:r>
      <w:r w:rsidRPr="00CB58FC">
        <w:rPr>
          <w:rFonts w:cs="Arial"/>
        </w:rPr>
        <w:t>P in France,</w:t>
      </w:r>
      <w:r w:rsidR="007C0E11" w:rsidRPr="00CB58FC">
        <w:rPr>
          <w:rStyle w:val="FootnoteReference"/>
          <w:rFonts w:cs="Arial"/>
        </w:rPr>
        <w:footnoteReference w:id="48"/>
      </w:r>
      <w:r w:rsidRPr="00CB58FC">
        <w:rPr>
          <w:rFonts w:cs="Arial"/>
        </w:rPr>
        <w:t xml:space="preserve"> or provide facilities by which a search can be conducted to identify a relevant right holder, as in Germany (</w:t>
      </w:r>
      <w:r w:rsidR="004229E5" w:rsidRPr="00CB58FC">
        <w:rPr>
          <w:rFonts w:cs="Arial"/>
        </w:rPr>
        <w:t>Bild Kunst</w:t>
      </w:r>
      <w:r w:rsidRPr="00CB58FC">
        <w:rPr>
          <w:rFonts w:cs="Arial"/>
        </w:rPr>
        <w:t xml:space="preserve">). Some examples of CMO practices here are set out in Table 22 below. </w:t>
      </w:r>
    </w:p>
    <w:p w14:paraId="25DB4EA0" w14:textId="5DD410E2" w:rsidR="003D6031" w:rsidRPr="00CB58FC" w:rsidRDefault="003D6031" w:rsidP="0015390C">
      <w:pPr>
        <w:pStyle w:val="ListParagraph"/>
        <w:ind w:left="360"/>
        <w:rPr>
          <w:rFonts w:cs="Arial"/>
        </w:rPr>
      </w:pPr>
      <w:r w:rsidRPr="00CB58FC">
        <w:rPr>
          <w:rFonts w:cs="Arial"/>
        </w:rPr>
        <w:t xml:space="preserve">  </w:t>
      </w:r>
    </w:p>
    <w:p w14:paraId="69641116" w14:textId="4CF8A473" w:rsidR="003D6031" w:rsidRPr="00CB58FC" w:rsidRDefault="003D6031" w:rsidP="003D6031">
      <w:pPr>
        <w:pStyle w:val="ListParagraph"/>
        <w:numPr>
          <w:ilvl w:val="0"/>
          <w:numId w:val="16"/>
        </w:numPr>
        <w:rPr>
          <w:rFonts w:cs="Arial"/>
        </w:rPr>
      </w:pPr>
      <w:r w:rsidRPr="00CB58FC">
        <w:rPr>
          <w:rFonts w:cs="Arial"/>
        </w:rPr>
        <w:t xml:space="preserve">Provision of this information in advance of any eligible resales cannot be readily compelled, other than through general promotion and publicity by the relevant CMO. </w:t>
      </w:r>
      <w:r w:rsidR="004229E5" w:rsidRPr="00CB58FC">
        <w:rPr>
          <w:rFonts w:cs="Arial"/>
        </w:rPr>
        <w:t>A</w:t>
      </w:r>
      <w:r w:rsidRPr="00CB58FC">
        <w:rPr>
          <w:rFonts w:cs="Arial"/>
        </w:rPr>
        <w:t xml:space="preserve"> good practice here will be to promote the advantages of registering or recording their interest among the relevant visual artist communities and their members. These communities should already be within the knowledge of the relevant CMO and may even be represented in its membership or governance bodies. Examples of relevant information brochures, questions and answers on ARR, and the like are to be found on the websites of most CMOs administering ARR</w:t>
      </w:r>
      <w:r w:rsidR="004229E5" w:rsidRPr="00CB58FC">
        <w:rPr>
          <w:rFonts w:cs="Arial"/>
        </w:rPr>
        <w:t xml:space="preserve"> which were consulted during the preparation of this Part of the Toolkit</w:t>
      </w:r>
      <w:r w:rsidRPr="00CB58FC">
        <w:rPr>
          <w:rFonts w:cs="Arial"/>
        </w:rPr>
        <w:t>.</w:t>
      </w:r>
      <w:r w:rsidR="004251F8" w:rsidRPr="00CB58FC">
        <w:rPr>
          <w:rStyle w:val="FootnoteReference"/>
          <w:rFonts w:cs="Arial"/>
        </w:rPr>
        <w:footnoteReference w:id="49"/>
      </w:r>
      <w:r w:rsidRPr="00CB58FC">
        <w:rPr>
          <w:rFonts w:cs="Arial"/>
        </w:rPr>
        <w:t xml:space="preserve"> In countries with significant communities of indigenous artists, such as Australia and New Zealand, there may be a need for some </w:t>
      </w:r>
      <w:r w:rsidR="000976D4" w:rsidRPr="00CB58FC">
        <w:rPr>
          <w:rFonts w:cs="Arial"/>
        </w:rPr>
        <w:t>specialized</w:t>
      </w:r>
      <w:r w:rsidRPr="00CB58FC">
        <w:rPr>
          <w:rFonts w:cs="Arial"/>
        </w:rPr>
        <w:t xml:space="preserve"> promotion and publicity among those groups,</w:t>
      </w:r>
      <w:r w:rsidR="00A5508C" w:rsidRPr="00CB58FC">
        <w:rPr>
          <w:rStyle w:val="FootnoteReference"/>
          <w:rFonts w:cs="Arial"/>
        </w:rPr>
        <w:footnoteReference w:id="50"/>
      </w:r>
      <w:r w:rsidRPr="00CB58FC">
        <w:rPr>
          <w:rFonts w:cs="Arial"/>
        </w:rPr>
        <w:t xml:space="preserve"> but this may also apply to other disadvantaged groups within a member country, such as those with a physical or other disability.</w:t>
      </w:r>
      <w:r w:rsidR="00A5508C" w:rsidRPr="00CB58FC">
        <w:rPr>
          <w:rStyle w:val="FootnoteReference"/>
          <w:rFonts w:cs="Arial"/>
        </w:rPr>
        <w:footnoteReference w:id="51"/>
      </w:r>
      <w:r w:rsidRPr="00CB58FC">
        <w:rPr>
          <w:rFonts w:cs="Arial"/>
        </w:rPr>
        <w:t xml:space="preserve"> </w:t>
      </w:r>
    </w:p>
    <w:p w14:paraId="180D0901" w14:textId="77777777" w:rsidR="00F956C3" w:rsidRPr="00CB58FC" w:rsidRDefault="00F956C3" w:rsidP="0015390C">
      <w:pPr>
        <w:pStyle w:val="ListParagraph"/>
        <w:ind w:left="360"/>
        <w:rPr>
          <w:rFonts w:cs="Arial"/>
        </w:rPr>
      </w:pPr>
    </w:p>
    <w:p w14:paraId="3EF06557" w14:textId="01F16344" w:rsidR="003D6031" w:rsidRPr="00CB58FC" w:rsidRDefault="003D6031" w:rsidP="003D6031">
      <w:pPr>
        <w:pStyle w:val="ListParagraph"/>
        <w:numPr>
          <w:ilvl w:val="0"/>
          <w:numId w:val="16"/>
        </w:numPr>
        <w:rPr>
          <w:rFonts w:cs="Arial"/>
        </w:rPr>
      </w:pPr>
      <w:r w:rsidRPr="00CB58FC">
        <w:rPr>
          <w:rFonts w:cs="Arial"/>
        </w:rPr>
        <w:t>Finally, and quite apart from the measures mentioned above, there will be a</w:t>
      </w:r>
      <w:r w:rsidR="003B2384" w:rsidRPr="00CB58FC">
        <w:rPr>
          <w:rFonts w:cs="Arial"/>
        </w:rPr>
        <w:t>n</w:t>
      </w:r>
      <w:r w:rsidRPr="00CB58FC">
        <w:rPr>
          <w:rFonts w:cs="Arial"/>
        </w:rPr>
        <w:t xml:space="preserve"> incentive to register or record one’s eligibility with the CMO where the</w:t>
      </w:r>
      <w:r w:rsidR="003B2384" w:rsidRPr="00CB58FC">
        <w:rPr>
          <w:rFonts w:cs="Arial"/>
        </w:rPr>
        <w:t xml:space="preserve">re is a mandatory collective management scheme at the national level </w:t>
      </w:r>
      <w:r w:rsidRPr="00CB58FC">
        <w:rPr>
          <w:rFonts w:cs="Arial"/>
        </w:rPr>
        <w:t xml:space="preserve">and the individual artist is unable otherwise to enforce his or her right or must take special steps to do so. At the very least, CMOs can facilitate the process of identification of right holders (and resales) through </w:t>
      </w:r>
      <w:r w:rsidR="003B2384" w:rsidRPr="00CB58FC">
        <w:rPr>
          <w:rFonts w:cs="Arial"/>
        </w:rPr>
        <w:t xml:space="preserve">the provision of </w:t>
      </w:r>
      <w:r w:rsidRPr="00CB58FC">
        <w:rPr>
          <w:rFonts w:cs="Arial"/>
        </w:rPr>
        <w:t xml:space="preserve">an attractive </w:t>
      </w:r>
      <w:r w:rsidR="003B2384" w:rsidRPr="00CB58FC">
        <w:rPr>
          <w:rFonts w:cs="Arial"/>
        </w:rPr>
        <w:t xml:space="preserve">and user-friendly </w:t>
      </w:r>
      <w:r w:rsidRPr="00CB58FC">
        <w:rPr>
          <w:rFonts w:cs="Arial"/>
        </w:rPr>
        <w:t>website</w:t>
      </w:r>
      <w:r w:rsidR="003B2384" w:rsidRPr="00CB58FC">
        <w:rPr>
          <w:rFonts w:cs="Arial"/>
        </w:rPr>
        <w:t xml:space="preserve"> which makes it easy for right holders to register or record their entitlement. Useful models for such websites are to be found in those offered by </w:t>
      </w:r>
      <w:r w:rsidR="00C20961" w:rsidRPr="00CB58FC">
        <w:rPr>
          <w:rFonts w:cs="Arial"/>
        </w:rPr>
        <w:t xml:space="preserve">most of the </w:t>
      </w:r>
      <w:r w:rsidR="003B2384" w:rsidRPr="00CB58FC">
        <w:rPr>
          <w:rFonts w:cs="Arial"/>
        </w:rPr>
        <w:t xml:space="preserve">CMOs </w:t>
      </w:r>
      <w:r w:rsidR="00C20961" w:rsidRPr="00CB58FC">
        <w:rPr>
          <w:rFonts w:cs="Arial"/>
        </w:rPr>
        <w:t>consulted in the preparation of this Toolkit.</w:t>
      </w:r>
      <w:r w:rsidR="00C20961" w:rsidRPr="00CB58FC">
        <w:rPr>
          <w:rStyle w:val="FootnoteReference"/>
          <w:rFonts w:cs="Arial"/>
        </w:rPr>
        <w:footnoteReference w:id="52"/>
      </w:r>
      <w:r w:rsidRPr="00CB58FC">
        <w:rPr>
          <w:rFonts w:cs="Arial"/>
        </w:rPr>
        <w:t xml:space="preserve"> Of particular note in a smaller EU </w:t>
      </w:r>
      <w:r w:rsidRPr="00CB58FC">
        <w:rPr>
          <w:rFonts w:cs="Arial"/>
        </w:rPr>
        <w:lastRenderedPageBreak/>
        <w:t xml:space="preserve">country, </w:t>
      </w:r>
      <w:r w:rsidR="0020741A" w:rsidRPr="00CB58FC">
        <w:rPr>
          <w:rFonts w:cs="Arial"/>
        </w:rPr>
        <w:t xml:space="preserve">namely Belgium, </w:t>
      </w:r>
      <w:r w:rsidRPr="00CB58FC">
        <w:rPr>
          <w:rFonts w:cs="Arial"/>
        </w:rPr>
        <w:t>is the multi-lingual ‘one stop shop’ provided by SABAM</w:t>
      </w:r>
      <w:r w:rsidR="0020741A" w:rsidRPr="00CB58FC">
        <w:rPr>
          <w:rFonts w:cs="Arial"/>
        </w:rPr>
        <w:t xml:space="preserve"> and SOFAM.</w:t>
      </w:r>
      <w:r w:rsidRPr="00CB58FC">
        <w:rPr>
          <w:rStyle w:val="FootnoteReference"/>
          <w:rFonts w:cs="Arial"/>
        </w:rPr>
        <w:footnoteReference w:id="53"/>
      </w:r>
      <w:r w:rsidRPr="00CB58FC">
        <w:rPr>
          <w:rFonts w:cs="Arial"/>
        </w:rPr>
        <w:t xml:space="preserve">   </w:t>
      </w:r>
    </w:p>
    <w:p w14:paraId="276C871C" w14:textId="47213E8C" w:rsidR="003D6031" w:rsidRPr="00CB58FC" w:rsidRDefault="003D6031" w:rsidP="003D6031">
      <w:pPr>
        <w:pStyle w:val="Heading1"/>
        <w:rPr>
          <w:b w:val="0"/>
          <w:bCs w:val="0"/>
          <w:szCs w:val="22"/>
        </w:rPr>
      </w:pPr>
      <w:r w:rsidRPr="00CB58FC">
        <w:rPr>
          <w:b w:val="0"/>
          <w:bCs w:val="0"/>
          <w:szCs w:val="22"/>
        </w:rPr>
        <w:t xml:space="preserve">TABLE 22- IDENTIFYING ELIGIBLE RIGHT HOLDERS  </w:t>
      </w:r>
    </w:p>
    <w:p w14:paraId="0988021C" w14:textId="77777777" w:rsidR="003D6031" w:rsidRPr="00CB58FC" w:rsidRDefault="003D6031" w:rsidP="003D6031"/>
    <w:tbl>
      <w:tblPr>
        <w:tblStyle w:val="TableGrid"/>
        <w:tblW w:w="9493" w:type="dxa"/>
        <w:tblLayout w:type="fixed"/>
        <w:tblLook w:val="04A0" w:firstRow="1" w:lastRow="0" w:firstColumn="1" w:lastColumn="0" w:noHBand="0" w:noVBand="1"/>
      </w:tblPr>
      <w:tblGrid>
        <w:gridCol w:w="1271"/>
        <w:gridCol w:w="5245"/>
        <w:gridCol w:w="2977"/>
      </w:tblGrid>
      <w:tr w:rsidR="00AB75EF" w:rsidRPr="00CB58FC" w14:paraId="5B1D9E16" w14:textId="035B457B" w:rsidTr="0015390C">
        <w:tc>
          <w:tcPr>
            <w:tcW w:w="1271" w:type="dxa"/>
          </w:tcPr>
          <w:p w14:paraId="41C5A3D8" w14:textId="77777777" w:rsidR="00AB75EF" w:rsidRPr="00CB58FC" w:rsidRDefault="00AB75EF" w:rsidP="009505EE">
            <w:pPr>
              <w:rPr>
                <w:b/>
                <w:bCs/>
              </w:rPr>
            </w:pPr>
            <w:r w:rsidRPr="00CB58FC">
              <w:rPr>
                <w:b/>
                <w:bCs/>
              </w:rPr>
              <w:t xml:space="preserve">Regions and Countries </w:t>
            </w:r>
          </w:p>
        </w:tc>
        <w:tc>
          <w:tcPr>
            <w:tcW w:w="5245" w:type="dxa"/>
          </w:tcPr>
          <w:p w14:paraId="562B6DBC" w14:textId="2479CB5F" w:rsidR="00AB75EF" w:rsidRPr="00CB58FC" w:rsidRDefault="00AB75EF" w:rsidP="009505EE">
            <w:pPr>
              <w:rPr>
                <w:b/>
                <w:bCs/>
              </w:rPr>
            </w:pPr>
            <w:r w:rsidRPr="00CB58FC">
              <w:rPr>
                <w:b/>
                <w:bCs/>
              </w:rPr>
              <w:t>Samples of regional and national practice</w:t>
            </w:r>
          </w:p>
        </w:tc>
        <w:tc>
          <w:tcPr>
            <w:tcW w:w="2977" w:type="dxa"/>
          </w:tcPr>
          <w:p w14:paraId="5F852E96" w14:textId="0C674809" w:rsidR="00AB75EF" w:rsidRPr="00CB58FC" w:rsidRDefault="00AB75EF" w:rsidP="009505EE">
            <w:pPr>
              <w:rPr>
                <w:b/>
                <w:bCs/>
              </w:rPr>
            </w:pPr>
            <w:r w:rsidRPr="00CB58FC">
              <w:rPr>
                <w:b/>
                <w:bCs/>
              </w:rPr>
              <w:t>Comments</w:t>
            </w:r>
          </w:p>
        </w:tc>
      </w:tr>
      <w:tr w:rsidR="00AB75EF" w:rsidRPr="00CB58FC" w14:paraId="0FD853B8" w14:textId="13592575" w:rsidTr="0015390C">
        <w:tc>
          <w:tcPr>
            <w:tcW w:w="1271" w:type="dxa"/>
          </w:tcPr>
          <w:p w14:paraId="1A469533" w14:textId="5A40D116" w:rsidR="00AB75EF" w:rsidRPr="00CB58FC" w:rsidRDefault="00F956C3" w:rsidP="009505EE">
            <w:pPr>
              <w:rPr>
                <w:sz w:val="20"/>
                <w:szCs w:val="20"/>
              </w:rPr>
            </w:pPr>
            <w:r w:rsidRPr="00CB58FC">
              <w:rPr>
                <w:sz w:val="20"/>
                <w:szCs w:val="20"/>
              </w:rPr>
              <w:t>EU</w:t>
            </w:r>
            <w:r w:rsidRPr="00CB58FC">
              <w:rPr>
                <w:rStyle w:val="FootnoteReference"/>
                <w:sz w:val="20"/>
                <w:szCs w:val="20"/>
              </w:rPr>
              <w:footnoteReference w:id="54"/>
            </w:r>
          </w:p>
        </w:tc>
        <w:tc>
          <w:tcPr>
            <w:tcW w:w="5245" w:type="dxa"/>
          </w:tcPr>
          <w:p w14:paraId="20D68BE3"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CMOs undertake to make available to the AMPs (online and in print) comprehensive registers of Artists represented.</w:t>
            </w:r>
          </w:p>
          <w:p w14:paraId="61C14C71"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CMOs undertake to declare which mandates they hold and to provide proof of them in case of justified doubt.</w:t>
            </w:r>
          </w:p>
          <w:p w14:paraId="4F9E881B" w14:textId="77777777" w:rsidR="00AB75EF" w:rsidRPr="00CB58FC" w:rsidRDefault="00AB75E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 CMOs operating under a system of compulsory collective management agree to use all reasonable efforts to identify and trace Artists who are not their members.</w:t>
            </w:r>
          </w:p>
        </w:tc>
        <w:tc>
          <w:tcPr>
            <w:tcW w:w="2977" w:type="dxa"/>
          </w:tcPr>
          <w:p w14:paraId="7C4DF34A" w14:textId="1395B555" w:rsidR="009F5AC9" w:rsidRPr="00CB58FC" w:rsidRDefault="009F5AC9" w:rsidP="0015390C">
            <w:pPr>
              <w:autoSpaceDE w:val="0"/>
              <w:autoSpaceDN w:val="0"/>
              <w:adjustRightInd w:val="0"/>
              <w:jc w:val="both"/>
              <w:rPr>
                <w:rFonts w:eastAsiaTheme="minorHAnsi"/>
                <w:sz w:val="20"/>
                <w14:ligatures w14:val="standardContextual"/>
              </w:rPr>
            </w:pPr>
            <w:r w:rsidRPr="00CB58FC">
              <w:rPr>
                <w:rFonts w:eastAsiaTheme="minorHAnsi"/>
                <w:sz w:val="20"/>
                <w14:ligatures w14:val="standardContextual"/>
              </w:rPr>
              <w:t xml:space="preserve">These </w:t>
            </w:r>
            <w:r w:rsidR="00A330E5" w:rsidRPr="00CB58FC">
              <w:rPr>
                <w:rFonts w:eastAsiaTheme="minorHAnsi"/>
                <w:sz w:val="20"/>
                <w14:ligatures w14:val="standardContextual"/>
              </w:rPr>
              <w:t xml:space="preserve">can be seen as a distillation of what </w:t>
            </w:r>
            <w:r w:rsidR="00F956C3" w:rsidRPr="00CB58FC">
              <w:rPr>
                <w:rFonts w:eastAsiaTheme="minorHAnsi"/>
                <w:sz w:val="20"/>
                <w14:ligatures w14:val="standardContextual"/>
              </w:rPr>
              <w:t xml:space="preserve">might be </w:t>
            </w:r>
            <w:r w:rsidR="00A330E5" w:rsidRPr="00CB58FC">
              <w:rPr>
                <w:rFonts w:eastAsiaTheme="minorHAnsi"/>
                <w:sz w:val="20"/>
                <w14:ligatures w14:val="standardContextual"/>
              </w:rPr>
              <w:t xml:space="preserve">termed ‘best practice’ for </w:t>
            </w:r>
            <w:r w:rsidRPr="00CB58FC">
              <w:rPr>
                <w:rFonts w:eastAsiaTheme="minorHAnsi"/>
                <w:sz w:val="20"/>
                <w14:ligatures w14:val="standardContextual"/>
              </w:rPr>
              <w:t>European CMOs.</w:t>
            </w:r>
          </w:p>
          <w:p w14:paraId="5DFEC1BC" w14:textId="1D0CF7E2" w:rsidR="00AB75EF" w:rsidRPr="00CB58FC" w:rsidRDefault="00A330E5" w:rsidP="0015390C">
            <w:pPr>
              <w:autoSpaceDE w:val="0"/>
              <w:autoSpaceDN w:val="0"/>
              <w:adjustRightInd w:val="0"/>
              <w:jc w:val="both"/>
              <w:rPr>
                <w:rFonts w:eastAsiaTheme="minorHAnsi"/>
                <w:sz w:val="20"/>
                <w14:ligatures w14:val="standardContextual"/>
              </w:rPr>
            </w:pPr>
            <w:r w:rsidRPr="00CB58FC">
              <w:rPr>
                <w:rFonts w:eastAsiaTheme="minorHAnsi"/>
                <w:sz w:val="20"/>
                <w14:ligatures w14:val="standardContextual"/>
              </w:rPr>
              <w:t xml:space="preserve">Important points here are: </w:t>
            </w:r>
            <w:r w:rsidR="009F5AC9" w:rsidRPr="00CB58FC">
              <w:rPr>
                <w:rFonts w:eastAsiaTheme="minorHAnsi"/>
                <w:sz w:val="20"/>
                <w14:ligatures w14:val="standardContextual"/>
              </w:rPr>
              <w:t xml:space="preserve">transparency </w:t>
            </w:r>
            <w:r w:rsidRPr="00CB58FC">
              <w:rPr>
                <w:rFonts w:eastAsiaTheme="minorHAnsi"/>
                <w:sz w:val="20"/>
                <w14:ligatures w14:val="standardContextual"/>
              </w:rPr>
              <w:t xml:space="preserve">as to artists represented and an undertaking to be proactive in tracking down non-member artists.  </w:t>
            </w:r>
            <w:r w:rsidR="009F5AC9" w:rsidRPr="00CB58FC">
              <w:rPr>
                <w:rFonts w:eastAsiaTheme="minorHAnsi"/>
                <w:sz w:val="20"/>
                <w14:ligatures w14:val="standardContextual"/>
              </w:rPr>
              <w:t xml:space="preserve">  </w:t>
            </w:r>
          </w:p>
        </w:tc>
      </w:tr>
      <w:tr w:rsidR="00AB75EF" w:rsidRPr="00CB58FC" w14:paraId="47D361DA" w14:textId="115B2709" w:rsidTr="0015390C">
        <w:tc>
          <w:tcPr>
            <w:tcW w:w="1271" w:type="dxa"/>
          </w:tcPr>
          <w:p w14:paraId="7910807F" w14:textId="7CE9F957" w:rsidR="00AB75EF" w:rsidRPr="00CB58FC" w:rsidRDefault="00AB75EF" w:rsidP="009505EE">
            <w:pPr>
              <w:rPr>
                <w:sz w:val="20"/>
                <w:szCs w:val="20"/>
              </w:rPr>
            </w:pPr>
            <w:r w:rsidRPr="00CB58FC">
              <w:rPr>
                <w:sz w:val="20"/>
                <w:szCs w:val="20"/>
              </w:rPr>
              <w:t xml:space="preserve">Australia </w:t>
            </w:r>
          </w:p>
        </w:tc>
        <w:tc>
          <w:tcPr>
            <w:tcW w:w="5245" w:type="dxa"/>
          </w:tcPr>
          <w:p w14:paraId="6DE92272" w14:textId="283F60B2" w:rsidR="00C20961" w:rsidRPr="00CB58FC" w:rsidRDefault="00AB75EF" w:rsidP="00C20961">
            <w:pPr>
              <w:jc w:val="both"/>
              <w:rPr>
                <w:sz w:val="20"/>
                <w:szCs w:val="20"/>
              </w:rPr>
            </w:pPr>
            <w:r w:rsidRPr="00CB58FC">
              <w:rPr>
                <w:sz w:val="20"/>
                <w:szCs w:val="20"/>
              </w:rPr>
              <w:t xml:space="preserve">Right holders can register their details online with CA: see at </w:t>
            </w:r>
            <w:hyperlink r:id="rId13" w:history="1">
              <w:r w:rsidR="00DA0AE6" w:rsidRPr="00AE5EBA">
                <w:rPr>
                  <w:rStyle w:val="Hyperlink"/>
                  <w:sz w:val="20"/>
                </w:rPr>
                <w:t>https://www.resaleroyalty.org.au/Registration.aspx</w:t>
              </w:r>
            </w:hyperlink>
            <w:r w:rsidRPr="00CB58FC">
              <w:rPr>
                <w:sz w:val="20"/>
                <w:szCs w:val="20"/>
              </w:rPr>
              <w:t xml:space="preserve"> where there are online forms for artists and beneficiaries to complete. Essentially, these forms are concerned with providing names, addresses, contact details and bank information, as well as being password protected and requiring warranties as to the accuracy of information provided. (Registration is required, even if the person is already a member of CA). Similar forms are also provided for art market professionals, art buyers and art sellers as this information will be useful for administration of the scheme. </w:t>
            </w:r>
          </w:p>
          <w:p w14:paraId="7507D06A" w14:textId="370F6F86" w:rsidR="00AB75EF" w:rsidRPr="00CB58FC" w:rsidRDefault="00AB75EF" w:rsidP="0015390C">
            <w:pPr>
              <w:jc w:val="both"/>
              <w:rPr>
                <w:sz w:val="20"/>
                <w:szCs w:val="20"/>
              </w:rPr>
            </w:pPr>
            <w:r w:rsidRPr="00CB58FC">
              <w:rPr>
                <w:sz w:val="20"/>
                <w:szCs w:val="20"/>
              </w:rPr>
              <w:t xml:space="preserve">In registering, artists can indicate the general medium within which they work; once registered, there is the facility online to provide lists of their works that might potentially be eligible for ARR in the event of a resale and to update this list. A note from CA advises that in practice only a small number of right holders use this </w:t>
            </w:r>
            <w:r w:rsidR="009F5AC9" w:rsidRPr="00CB58FC">
              <w:rPr>
                <w:sz w:val="20"/>
                <w:szCs w:val="20"/>
              </w:rPr>
              <w:t xml:space="preserve">last-mentioned </w:t>
            </w:r>
            <w:r w:rsidRPr="00CB58FC">
              <w:rPr>
                <w:sz w:val="20"/>
                <w:szCs w:val="20"/>
              </w:rPr>
              <w:t>registration facility; also that this information is not made publicly available as the Australian scheme applies to all artists in any event.</w:t>
            </w:r>
          </w:p>
        </w:tc>
        <w:tc>
          <w:tcPr>
            <w:tcW w:w="2977" w:type="dxa"/>
          </w:tcPr>
          <w:p w14:paraId="70F540A9" w14:textId="0D5ED820" w:rsidR="00AB75EF" w:rsidRPr="00CB58FC" w:rsidRDefault="00A330E5" w:rsidP="0015390C">
            <w:pPr>
              <w:jc w:val="both"/>
              <w:rPr>
                <w:sz w:val="20"/>
              </w:rPr>
            </w:pPr>
            <w:r w:rsidRPr="00CB58FC">
              <w:rPr>
                <w:sz w:val="20"/>
              </w:rPr>
              <w:t xml:space="preserve">The forms here are easy to read and provide CA with a readily usable database when it comes to identifying eligible right holders in relation to potentially </w:t>
            </w:r>
            <w:r w:rsidR="00F956C3" w:rsidRPr="00CB58FC">
              <w:rPr>
                <w:sz w:val="20"/>
              </w:rPr>
              <w:t>eligible</w:t>
            </w:r>
            <w:r w:rsidRPr="00CB58FC">
              <w:rPr>
                <w:sz w:val="20"/>
              </w:rPr>
              <w:t xml:space="preserve"> resales.  </w:t>
            </w:r>
          </w:p>
        </w:tc>
      </w:tr>
      <w:tr w:rsidR="00AB75EF" w:rsidRPr="00CB58FC" w14:paraId="4C1785AA" w14:textId="0BBE7CAC" w:rsidTr="0015390C">
        <w:tc>
          <w:tcPr>
            <w:tcW w:w="1271" w:type="dxa"/>
          </w:tcPr>
          <w:p w14:paraId="135DBF0A" w14:textId="77777777" w:rsidR="00AB75EF" w:rsidRPr="00CB58FC" w:rsidRDefault="00AB75EF" w:rsidP="009505EE">
            <w:pPr>
              <w:rPr>
                <w:sz w:val="20"/>
                <w:szCs w:val="20"/>
              </w:rPr>
            </w:pPr>
            <w:r w:rsidRPr="00CB58FC">
              <w:rPr>
                <w:sz w:val="20"/>
                <w:szCs w:val="20"/>
              </w:rPr>
              <w:t>Germany</w:t>
            </w:r>
          </w:p>
        </w:tc>
        <w:tc>
          <w:tcPr>
            <w:tcW w:w="5245" w:type="dxa"/>
          </w:tcPr>
          <w:p w14:paraId="0E76AA1E" w14:textId="11DE43CE" w:rsidR="00AB75EF" w:rsidRPr="00CB58FC" w:rsidRDefault="00AB75EF" w:rsidP="0015390C">
            <w:pPr>
              <w:jc w:val="both"/>
              <w:rPr>
                <w:sz w:val="20"/>
                <w:szCs w:val="20"/>
              </w:rPr>
            </w:pPr>
            <w:r w:rsidRPr="00CB58FC">
              <w:rPr>
                <w:sz w:val="20"/>
                <w:szCs w:val="20"/>
              </w:rPr>
              <w:t xml:space="preserve">A list of artists represented by Bild-Kunst and its related foreign CMOs appears on its homepage in the service area for users: see further at </w:t>
            </w:r>
            <w:hyperlink r:id="rId14" w:history="1">
              <w:r w:rsidR="00F956C3" w:rsidRPr="00CB58FC">
                <w:rPr>
                  <w:rStyle w:val="Hyperlink"/>
                  <w:sz w:val="20"/>
                </w:rPr>
                <w:t>https://www.bildkunst.de/lizenzen/bildrechte_klaeren/kuenstlersuche/</w:t>
              </w:r>
            </w:hyperlink>
            <w:r w:rsidR="00F956C3" w:rsidRPr="00CB58FC">
              <w:t xml:space="preserve"> </w:t>
            </w:r>
            <w:r w:rsidRPr="00CB58FC">
              <w:rPr>
                <w:sz w:val="20"/>
                <w:szCs w:val="20"/>
              </w:rPr>
              <w:t xml:space="preserve"> </w:t>
            </w:r>
          </w:p>
          <w:p w14:paraId="7968FF4F" w14:textId="77777777" w:rsidR="00AB75EF" w:rsidRPr="00CB58FC" w:rsidRDefault="00AB75EF" w:rsidP="009505EE">
            <w:pPr>
              <w:rPr>
                <w:sz w:val="20"/>
                <w:szCs w:val="20"/>
              </w:rPr>
            </w:pPr>
          </w:p>
        </w:tc>
        <w:tc>
          <w:tcPr>
            <w:tcW w:w="2977" w:type="dxa"/>
          </w:tcPr>
          <w:p w14:paraId="25C18DE8" w14:textId="1BB8CD0E" w:rsidR="00AB75EF" w:rsidRPr="00CB58FC" w:rsidRDefault="00A330E5" w:rsidP="0015390C">
            <w:pPr>
              <w:jc w:val="both"/>
              <w:rPr>
                <w:sz w:val="20"/>
              </w:rPr>
            </w:pPr>
            <w:r w:rsidRPr="00CB58FC">
              <w:rPr>
                <w:sz w:val="20"/>
              </w:rPr>
              <w:t xml:space="preserve">This is a very comprehensive list of artists represented that can be readily searched. </w:t>
            </w:r>
          </w:p>
        </w:tc>
      </w:tr>
      <w:tr w:rsidR="00AB75EF" w:rsidRPr="00CB58FC" w14:paraId="13A12424" w14:textId="0D6DB255" w:rsidTr="0015390C">
        <w:tc>
          <w:tcPr>
            <w:tcW w:w="1271" w:type="dxa"/>
          </w:tcPr>
          <w:p w14:paraId="3D6FB049" w14:textId="77777777" w:rsidR="00AB75EF" w:rsidRPr="00CB58FC" w:rsidRDefault="00AB75EF" w:rsidP="009505EE">
            <w:pPr>
              <w:rPr>
                <w:sz w:val="20"/>
                <w:szCs w:val="20"/>
              </w:rPr>
            </w:pPr>
            <w:r w:rsidRPr="00CB58FC">
              <w:rPr>
                <w:sz w:val="20"/>
                <w:szCs w:val="20"/>
              </w:rPr>
              <w:t>France</w:t>
            </w:r>
          </w:p>
        </w:tc>
        <w:tc>
          <w:tcPr>
            <w:tcW w:w="5245" w:type="dxa"/>
          </w:tcPr>
          <w:p w14:paraId="00CABF15" w14:textId="77777777" w:rsidR="00AB75EF" w:rsidRPr="00CB58FC" w:rsidRDefault="00AB75EF" w:rsidP="0015390C">
            <w:pPr>
              <w:jc w:val="both"/>
              <w:rPr>
                <w:sz w:val="20"/>
                <w:szCs w:val="20"/>
              </w:rPr>
            </w:pPr>
            <w:r w:rsidRPr="00CB58FC">
              <w:rPr>
                <w:sz w:val="20"/>
                <w:szCs w:val="20"/>
              </w:rPr>
              <w:t>ADAGP has a full list of artists whom it represents (nearly 200,000), including for ARR, on its website at:</w:t>
            </w:r>
          </w:p>
          <w:p w14:paraId="7D1144F1" w14:textId="10CE4E7E" w:rsidR="00AB75EF" w:rsidRPr="00CB58FC" w:rsidRDefault="00AB75EF">
            <w:pPr>
              <w:jc w:val="both"/>
            </w:pPr>
            <w:hyperlink r:id="rId15" w:history="1">
              <w:r w:rsidRPr="00CB58FC">
                <w:rPr>
                  <w:rStyle w:val="Hyperlink"/>
                  <w:color w:val="auto"/>
                  <w:sz w:val="20"/>
                  <w:szCs w:val="20"/>
                </w:rPr>
                <w:t>https://www.adagp.fr/en/i-am-exploiting-or-selling-work/my-toolbox/artists-directory</w:t>
              </w:r>
            </w:hyperlink>
            <w:r w:rsidR="00F956C3" w:rsidRPr="00CB58FC">
              <w:t xml:space="preserve"> </w:t>
            </w:r>
          </w:p>
          <w:p w14:paraId="0EBEF75C" w14:textId="77777777" w:rsidR="00F956C3" w:rsidRPr="00CB58FC" w:rsidRDefault="00F956C3" w:rsidP="0015390C">
            <w:pPr>
              <w:jc w:val="both"/>
              <w:rPr>
                <w:sz w:val="20"/>
                <w:szCs w:val="20"/>
              </w:rPr>
            </w:pPr>
          </w:p>
          <w:p w14:paraId="1A8EDA39" w14:textId="3480CF9F" w:rsidR="00AB75EF" w:rsidRPr="00CB58FC" w:rsidRDefault="00AB75EF" w:rsidP="0015390C">
            <w:pPr>
              <w:jc w:val="both"/>
              <w:rPr>
                <w:sz w:val="20"/>
                <w:szCs w:val="20"/>
              </w:rPr>
            </w:pPr>
            <w:r w:rsidRPr="00CB58FC">
              <w:rPr>
                <w:sz w:val="20"/>
                <w:szCs w:val="20"/>
              </w:rPr>
              <w:t xml:space="preserve">In the case of non-member artists or beneficiaries, ADAGP and other French CMOs are required </w:t>
            </w:r>
            <w:r w:rsidR="00925FE1" w:rsidRPr="00CB58FC">
              <w:rPr>
                <w:sz w:val="20"/>
                <w:szCs w:val="20"/>
              </w:rPr>
              <w:t xml:space="preserve">by law </w:t>
            </w:r>
            <w:r w:rsidRPr="00CB58FC">
              <w:rPr>
                <w:sz w:val="20"/>
                <w:szCs w:val="20"/>
              </w:rPr>
              <w:t xml:space="preserve">to take steps to notify these persons of their entitlement to claim. </w:t>
            </w:r>
            <w:r w:rsidR="00925FE1" w:rsidRPr="00CB58FC">
              <w:rPr>
                <w:sz w:val="20"/>
                <w:szCs w:val="20"/>
              </w:rPr>
              <w:t xml:space="preserve">This </w:t>
            </w:r>
            <w:r w:rsidRPr="00CB58FC">
              <w:rPr>
                <w:sz w:val="20"/>
                <w:szCs w:val="20"/>
              </w:rPr>
              <w:t xml:space="preserve">provides: </w:t>
            </w:r>
          </w:p>
          <w:p w14:paraId="755687B5" w14:textId="2CC6BDDC" w:rsidR="00AB75EF" w:rsidRPr="00CB58FC" w:rsidRDefault="00AB75EF" w:rsidP="0015390C">
            <w:pPr>
              <w:ind w:left="567"/>
              <w:jc w:val="both"/>
              <w:rPr>
                <w:sz w:val="20"/>
                <w:szCs w:val="20"/>
              </w:rPr>
            </w:pPr>
            <w:r w:rsidRPr="00CB58FC">
              <w:rPr>
                <w:sz w:val="20"/>
                <w:szCs w:val="20"/>
              </w:rPr>
              <w:lastRenderedPageBreak/>
              <w:t>When a collective management organization is notified of a sale entitling a beneficiary mentioned in article R. 122-8 to resale right, it must inform the beneficiary. When the beneficiary is not identified, the collective management organization takes all necessary steps to inform the persons likely to benefit from resale right, if necessary, by calling on the other collective management organizations mentioned in article R. 122-8. If it has not been possible to inform the beneficiary, it proceeds with the appropriate publicity measures in electronic form or by any other suitable means.</w:t>
            </w:r>
            <w:r w:rsidR="00925FE1" w:rsidRPr="00CB58FC">
              <w:rPr>
                <w:rStyle w:val="FootnoteReference"/>
                <w:sz w:val="20"/>
                <w:szCs w:val="20"/>
              </w:rPr>
              <w:footnoteReference w:id="55"/>
            </w:r>
          </w:p>
        </w:tc>
        <w:tc>
          <w:tcPr>
            <w:tcW w:w="2977" w:type="dxa"/>
          </w:tcPr>
          <w:p w14:paraId="445F316F" w14:textId="573EC7A6" w:rsidR="00AB75EF" w:rsidRPr="00CB58FC" w:rsidRDefault="00A330E5" w:rsidP="0015390C">
            <w:pPr>
              <w:jc w:val="both"/>
              <w:rPr>
                <w:sz w:val="20"/>
              </w:rPr>
            </w:pPr>
            <w:r w:rsidRPr="00CB58FC">
              <w:rPr>
                <w:sz w:val="20"/>
              </w:rPr>
              <w:lastRenderedPageBreak/>
              <w:t>The same comment applies here, together with the specific obligation of notification in relation to non-members.</w:t>
            </w:r>
          </w:p>
        </w:tc>
      </w:tr>
      <w:tr w:rsidR="00AB75EF" w:rsidRPr="00CB58FC" w14:paraId="59B0F7EF" w14:textId="12F83EE7" w:rsidTr="0015390C">
        <w:tc>
          <w:tcPr>
            <w:tcW w:w="1271" w:type="dxa"/>
          </w:tcPr>
          <w:p w14:paraId="27F43672" w14:textId="77777777" w:rsidR="00AB75EF" w:rsidRPr="00CB58FC" w:rsidRDefault="00AB75EF" w:rsidP="009505EE">
            <w:pPr>
              <w:rPr>
                <w:sz w:val="20"/>
                <w:szCs w:val="20"/>
              </w:rPr>
            </w:pPr>
            <w:r w:rsidRPr="00CB58FC">
              <w:rPr>
                <w:sz w:val="20"/>
                <w:szCs w:val="20"/>
              </w:rPr>
              <w:t>Denmark (VISDA)</w:t>
            </w:r>
          </w:p>
        </w:tc>
        <w:tc>
          <w:tcPr>
            <w:tcW w:w="5245" w:type="dxa"/>
          </w:tcPr>
          <w:p w14:paraId="5ED9842F" w14:textId="59DF9A02" w:rsidR="00AB75EF" w:rsidRPr="00CB58FC" w:rsidRDefault="00AB75EF" w:rsidP="009505EE">
            <w:pPr>
              <w:rPr>
                <w:sz w:val="20"/>
                <w:szCs w:val="20"/>
              </w:rPr>
            </w:pPr>
            <w:r w:rsidRPr="00CB58FC">
              <w:rPr>
                <w:sz w:val="20"/>
                <w:szCs w:val="20"/>
              </w:rPr>
              <w:t xml:space="preserve">VSDA provides for registration of artists and heirs through an online form on its webpage at </w:t>
            </w:r>
            <w:hyperlink r:id="rId16" w:history="1">
              <w:r w:rsidRPr="00CB58FC">
                <w:rPr>
                  <w:rStyle w:val="Hyperlink"/>
                  <w:color w:val="auto"/>
                  <w:sz w:val="20"/>
                  <w:szCs w:val="20"/>
                </w:rPr>
                <w:t>https://www.visda.dk/en/artists-resale-right/?lang=en</w:t>
              </w:r>
            </w:hyperlink>
            <w:r w:rsidRPr="00CB58FC">
              <w:rPr>
                <w:sz w:val="20"/>
                <w:szCs w:val="20"/>
              </w:rPr>
              <w:t xml:space="preserve"> </w:t>
            </w:r>
          </w:p>
        </w:tc>
        <w:tc>
          <w:tcPr>
            <w:tcW w:w="2977" w:type="dxa"/>
          </w:tcPr>
          <w:p w14:paraId="5891D3A5" w14:textId="5F6E693A" w:rsidR="00AB75EF" w:rsidRPr="00CB58FC" w:rsidRDefault="0028193E" w:rsidP="0015390C">
            <w:pPr>
              <w:jc w:val="both"/>
              <w:rPr>
                <w:sz w:val="20"/>
              </w:rPr>
            </w:pPr>
            <w:r w:rsidRPr="00CB58FC">
              <w:rPr>
                <w:sz w:val="20"/>
              </w:rPr>
              <w:t>There are forms here for both</w:t>
            </w:r>
            <w:r w:rsidR="00781706" w:rsidRPr="00CB58FC">
              <w:rPr>
                <w:sz w:val="20"/>
              </w:rPr>
              <w:t xml:space="preserve"> </w:t>
            </w:r>
            <w:r w:rsidRPr="00CB58FC">
              <w:rPr>
                <w:sz w:val="20"/>
              </w:rPr>
              <w:t>artists and heirs to register.</w:t>
            </w:r>
          </w:p>
        </w:tc>
      </w:tr>
      <w:tr w:rsidR="00AB75EF" w:rsidRPr="00CB58FC" w14:paraId="3B5AB65F" w14:textId="6D7155D4" w:rsidTr="0015390C">
        <w:tc>
          <w:tcPr>
            <w:tcW w:w="1271" w:type="dxa"/>
          </w:tcPr>
          <w:p w14:paraId="75246523" w14:textId="77777777" w:rsidR="00AB75EF" w:rsidRPr="00CB58FC" w:rsidRDefault="00AB75EF" w:rsidP="009505EE">
            <w:pPr>
              <w:rPr>
                <w:sz w:val="20"/>
                <w:szCs w:val="20"/>
              </w:rPr>
            </w:pPr>
            <w:r w:rsidRPr="00CB58FC">
              <w:rPr>
                <w:sz w:val="20"/>
                <w:szCs w:val="20"/>
              </w:rPr>
              <w:t>UK (DACS)</w:t>
            </w:r>
          </w:p>
        </w:tc>
        <w:tc>
          <w:tcPr>
            <w:tcW w:w="5245" w:type="dxa"/>
          </w:tcPr>
          <w:p w14:paraId="1048DD57" w14:textId="399FDBD5" w:rsidR="00AB75EF" w:rsidRPr="00CB58FC" w:rsidRDefault="00AB75EF" w:rsidP="009505EE">
            <w:pPr>
              <w:rPr>
                <w:sz w:val="20"/>
                <w:szCs w:val="20"/>
              </w:rPr>
            </w:pPr>
            <w:r w:rsidRPr="00CB58FC">
              <w:rPr>
                <w:sz w:val="20"/>
                <w:szCs w:val="20"/>
              </w:rPr>
              <w:t>There are online forms which may be used by artists and beneficiaries to register their interests in receiving ARR; these require names, addresses, bank information, etc</w:t>
            </w:r>
            <w:r w:rsidR="007B2809" w:rsidRPr="00CB58FC">
              <w:rPr>
                <w:sz w:val="20"/>
                <w:szCs w:val="20"/>
              </w:rPr>
              <w:t>.</w:t>
            </w:r>
            <w:r w:rsidRPr="00CB58FC">
              <w:rPr>
                <w:sz w:val="20"/>
                <w:szCs w:val="20"/>
              </w:rPr>
              <w:t>:</w:t>
            </w:r>
          </w:p>
          <w:p w14:paraId="565FFC31" w14:textId="6F8150D1" w:rsidR="00AB75EF" w:rsidRPr="00CB58FC" w:rsidRDefault="00AB75EF" w:rsidP="009505EE">
            <w:pPr>
              <w:rPr>
                <w:sz w:val="20"/>
                <w:szCs w:val="20"/>
              </w:rPr>
            </w:pPr>
            <w:r w:rsidRPr="00CB58FC">
              <w:rPr>
                <w:sz w:val="20"/>
                <w:szCs w:val="20"/>
              </w:rPr>
              <w:t xml:space="preserve">See further at </w:t>
            </w:r>
            <w:hyperlink r:id="rId17" w:history="1">
              <w:r w:rsidRPr="00CB58FC">
                <w:rPr>
                  <w:rStyle w:val="Hyperlink"/>
                  <w:color w:val="auto"/>
                  <w:sz w:val="20"/>
                  <w:szCs w:val="20"/>
                </w:rPr>
                <w:t>https://www.dacs.org.uk/artists-resale-right/register-for-arr</w:t>
              </w:r>
            </w:hyperlink>
            <w:r w:rsidRPr="00CB58FC">
              <w:rPr>
                <w:sz w:val="20"/>
                <w:szCs w:val="20"/>
              </w:rPr>
              <w:t xml:space="preserve">   </w:t>
            </w:r>
          </w:p>
        </w:tc>
        <w:tc>
          <w:tcPr>
            <w:tcW w:w="2977" w:type="dxa"/>
          </w:tcPr>
          <w:p w14:paraId="2FF68DA5" w14:textId="29C7BAC7" w:rsidR="00AB75EF" w:rsidRPr="00CB58FC" w:rsidRDefault="0028193E" w:rsidP="0015390C">
            <w:pPr>
              <w:jc w:val="both"/>
              <w:rPr>
                <w:sz w:val="20"/>
              </w:rPr>
            </w:pPr>
            <w:r w:rsidRPr="00CB58FC">
              <w:rPr>
                <w:sz w:val="20"/>
              </w:rPr>
              <w:t>Similar forms for artists and</w:t>
            </w:r>
            <w:r w:rsidR="00781706" w:rsidRPr="00CB58FC">
              <w:rPr>
                <w:sz w:val="20"/>
              </w:rPr>
              <w:t xml:space="preserve"> </w:t>
            </w:r>
            <w:r w:rsidRPr="00CB58FC">
              <w:rPr>
                <w:sz w:val="20"/>
              </w:rPr>
              <w:t>beneficiaries are provided here.</w:t>
            </w:r>
            <w:r w:rsidRPr="00CB58FC">
              <w:rPr>
                <w:rStyle w:val="FootnoteReference"/>
                <w:sz w:val="20"/>
              </w:rPr>
              <w:footnoteReference w:id="56"/>
            </w:r>
          </w:p>
        </w:tc>
      </w:tr>
    </w:tbl>
    <w:p w14:paraId="22133ACC" w14:textId="77777777" w:rsidR="003D6031" w:rsidRPr="00CB58FC" w:rsidRDefault="003D6031" w:rsidP="003D6031"/>
    <w:p w14:paraId="56C3673E" w14:textId="77777777" w:rsidR="003D6031" w:rsidRPr="00CB58FC" w:rsidRDefault="003D6031" w:rsidP="003D6031">
      <w:pPr>
        <w:pStyle w:val="Heading1"/>
        <w:rPr>
          <w:szCs w:val="22"/>
        </w:rPr>
      </w:pPr>
      <w:r w:rsidRPr="00CB58FC">
        <w:rPr>
          <w:szCs w:val="22"/>
        </w:rPr>
        <w:t>IDENTIFYING ELIGIBLE RESALES – THE CHALLENGE FOR CMOS AND THE OBLIGATIONS OF RESELLERS AND AMPS</w:t>
      </w:r>
    </w:p>
    <w:p w14:paraId="215CAC23" w14:textId="77777777" w:rsidR="003D6031" w:rsidRPr="00CB58FC" w:rsidRDefault="003D6031" w:rsidP="003D6031"/>
    <w:p w14:paraId="7B4482CB" w14:textId="6E551C90" w:rsidR="003D6031" w:rsidRPr="00CB58FC" w:rsidRDefault="003D6031" w:rsidP="003D6031">
      <w:pPr>
        <w:pStyle w:val="ListParagraph"/>
        <w:numPr>
          <w:ilvl w:val="0"/>
          <w:numId w:val="16"/>
        </w:numPr>
        <w:rPr>
          <w:rFonts w:cs="Arial"/>
        </w:rPr>
      </w:pPr>
      <w:r w:rsidRPr="00CB58FC">
        <w:rPr>
          <w:rFonts w:cs="Arial"/>
        </w:rPr>
        <w:t xml:space="preserve">A further step is to identify eligible resales. This has both a legal and factual aspect. The legal aspect has already been covered in Part I: not all resales </w:t>
      </w:r>
      <w:r w:rsidR="00F956C3" w:rsidRPr="00CB58FC">
        <w:rPr>
          <w:rFonts w:cs="Arial"/>
        </w:rPr>
        <w:t xml:space="preserve">will </w:t>
      </w:r>
      <w:r w:rsidRPr="00CB58FC">
        <w:rPr>
          <w:rFonts w:cs="Arial"/>
        </w:rPr>
        <w:t xml:space="preserve">fall within the scope of ARR, as the resale must be ‘commercial’ (involving an AMP), above a certain minimum price (usually), and so on. But assuming these matters can be resolved, the practical aspect requires that these resales should be brought to the attention of the CMO in the first place. The </w:t>
      </w:r>
      <w:r w:rsidR="0028193E" w:rsidRPr="00CB58FC">
        <w:rPr>
          <w:rFonts w:cs="Arial"/>
        </w:rPr>
        <w:t xml:space="preserve">best </w:t>
      </w:r>
      <w:r w:rsidRPr="00CB58FC">
        <w:rPr>
          <w:rFonts w:cs="Arial"/>
        </w:rPr>
        <w:t>sources for such information, apart from the actual resellers themselves</w:t>
      </w:r>
      <w:r w:rsidR="0028193E" w:rsidRPr="00CB58FC">
        <w:rPr>
          <w:rFonts w:cs="Arial"/>
        </w:rPr>
        <w:t>,</w:t>
      </w:r>
      <w:r w:rsidRPr="00CB58FC">
        <w:rPr>
          <w:rFonts w:cs="Arial"/>
        </w:rPr>
        <w:t xml:space="preserve"> will be the AMPs involved in the resale, in particular, art dealers, galleries, and auction houses.</w:t>
      </w:r>
    </w:p>
    <w:p w14:paraId="287E657E" w14:textId="77777777" w:rsidR="00F956C3" w:rsidRPr="00CB58FC" w:rsidRDefault="00F956C3" w:rsidP="0015390C">
      <w:pPr>
        <w:pStyle w:val="ListParagraph"/>
        <w:ind w:left="360"/>
        <w:rPr>
          <w:rFonts w:cs="Arial"/>
        </w:rPr>
      </w:pPr>
    </w:p>
    <w:p w14:paraId="0A93CE29" w14:textId="483FA514" w:rsidR="00F956C3" w:rsidRPr="00CB58FC" w:rsidRDefault="003D6031" w:rsidP="003D6031">
      <w:pPr>
        <w:pStyle w:val="ListParagraph"/>
        <w:numPr>
          <w:ilvl w:val="0"/>
          <w:numId w:val="16"/>
        </w:numPr>
        <w:rPr>
          <w:rFonts w:cs="Arial"/>
        </w:rPr>
      </w:pPr>
      <w:r w:rsidRPr="00CB58FC">
        <w:rPr>
          <w:rFonts w:cs="Arial"/>
        </w:rPr>
        <w:t>Obtaining this information will require the CMO to be proactive in monitoring and ascertaining when and where resales have occurred, e</w:t>
      </w:r>
      <w:r w:rsidRPr="00CB58FC">
        <w:rPr>
          <w:rFonts w:cs="Arial"/>
          <w:lang w:val="en-US"/>
        </w:rPr>
        <w:t>.</w:t>
      </w:r>
      <w:r w:rsidRPr="00CB58FC">
        <w:rPr>
          <w:rFonts w:cs="Arial"/>
        </w:rPr>
        <w:t>g. consulting sale catalogues, social media, personal visits to galleries and so on (in smaller markets, this may be quite feasible, as in Uruguay and Estonia). Likewise, in France, ADAGP adopts a ‘very proactive approach’, in that it sends a declaration request to AMPs once an eligible resale has been identified by its ARR team, rather than waiting for the latter to spontaneously send in its declaration. That said, not all eligible resales occur in public, although they involve AMPs, for example, private sales by a gallery or dealer, and this information needs to be captured if a national ARR scheme is to be truly effective. To assist in this regard, therefore, many national ARR schemes contain legislative requirements for sellers and/or AMPs to report resales and relevant details in a timely fashion (see, for example, Spain</w:t>
      </w:r>
      <w:r w:rsidR="00E74D38" w:rsidRPr="00CB58FC">
        <w:rPr>
          <w:rFonts w:cs="Arial"/>
        </w:rPr>
        <w:t xml:space="preserve"> and Sweden, where there is a requirement</w:t>
      </w:r>
      <w:r w:rsidR="00E74D38" w:rsidRPr="00CB58FC">
        <w:rPr>
          <w:rFonts w:cs="Arial"/>
          <w:i/>
          <w:iCs/>
        </w:rPr>
        <w:t xml:space="preserve"> to </w:t>
      </w:r>
      <w:r w:rsidR="00E74D38" w:rsidRPr="00CB58FC">
        <w:rPr>
          <w:rFonts w:cs="Arial"/>
        </w:rPr>
        <w:t>provide an account, even if no sales giving rise to remuneration have been made: see Table 23 below</w:t>
      </w:r>
      <w:r w:rsidRPr="00CB58FC">
        <w:rPr>
          <w:rFonts w:cs="Arial"/>
        </w:rPr>
        <w:t>)</w:t>
      </w:r>
      <w:r w:rsidR="00E74D38" w:rsidRPr="00CB58FC">
        <w:rPr>
          <w:rFonts w:cs="Arial"/>
        </w:rPr>
        <w:t>.</w:t>
      </w:r>
      <w:r w:rsidRPr="00CB58FC">
        <w:rPr>
          <w:rFonts w:cs="Arial"/>
        </w:rPr>
        <w:t xml:space="preserve"> </w:t>
      </w:r>
      <w:r w:rsidR="00E74D38" w:rsidRPr="00CB58FC">
        <w:rPr>
          <w:rFonts w:cs="Arial"/>
        </w:rPr>
        <w:t>S</w:t>
      </w:r>
      <w:r w:rsidRPr="00CB58FC">
        <w:rPr>
          <w:rFonts w:cs="Arial"/>
        </w:rPr>
        <w:t xml:space="preserve">uch powers may ultimately require a court order for enforcement in the event that the information requested is not supplied, as in the UK, and failure to report may attract civil or even criminal consequences, as, for example, in Denmark and France. Under the Australian scheme, this obligation is placed directly on the seller of the work, with a 90 day time limit. Other national laws have provisions empowering right holders and/or CMOs to request information from AMPs as to resales that are suspected to have occurred, as in Germany, the UK and France: see the sample provisions in Table </w:t>
      </w:r>
      <w:r w:rsidR="0028193E" w:rsidRPr="00CB58FC">
        <w:rPr>
          <w:rFonts w:cs="Arial"/>
        </w:rPr>
        <w:t xml:space="preserve">23 </w:t>
      </w:r>
      <w:r w:rsidRPr="00CB58FC">
        <w:rPr>
          <w:rFonts w:cs="Arial"/>
        </w:rPr>
        <w:t xml:space="preserve">below. Further provisions </w:t>
      </w:r>
      <w:r w:rsidRPr="00CB58FC">
        <w:rPr>
          <w:rFonts w:cs="Arial"/>
        </w:rPr>
        <w:lastRenderedPageBreak/>
        <w:t>may require the CMO to publish notice of a commercial resale of which it has become aware and for which the CMO believes, on reasonable grounds, that a person may hold the resale royalty right, as in Australia (see</w:t>
      </w:r>
      <w:r w:rsidR="0028193E" w:rsidRPr="00CB58FC">
        <w:rPr>
          <w:rFonts w:cs="Arial"/>
        </w:rPr>
        <w:t xml:space="preserve"> further</w:t>
      </w:r>
      <w:r w:rsidRPr="00CB58FC">
        <w:rPr>
          <w:rFonts w:cs="Arial"/>
        </w:rPr>
        <w:t xml:space="preserve"> Table 23 below). </w:t>
      </w:r>
    </w:p>
    <w:p w14:paraId="0E5A9BE9" w14:textId="6B2BCE3C" w:rsidR="003D6031" w:rsidRPr="00CB58FC" w:rsidRDefault="003D6031" w:rsidP="0015390C">
      <w:pPr>
        <w:pStyle w:val="ListParagraph"/>
        <w:ind w:left="360"/>
        <w:rPr>
          <w:rFonts w:cs="Arial"/>
        </w:rPr>
      </w:pPr>
      <w:r w:rsidRPr="00CB58FC">
        <w:rPr>
          <w:rFonts w:cs="Arial"/>
        </w:rPr>
        <w:t xml:space="preserve">   </w:t>
      </w:r>
    </w:p>
    <w:p w14:paraId="451BFE5B" w14:textId="19C9F6E4" w:rsidR="003D6031" w:rsidRPr="00CB58FC" w:rsidRDefault="003D6031" w:rsidP="003D6031">
      <w:pPr>
        <w:pStyle w:val="ListParagraph"/>
        <w:numPr>
          <w:ilvl w:val="0"/>
          <w:numId w:val="16"/>
        </w:numPr>
        <w:rPr>
          <w:rFonts w:cs="Arial"/>
        </w:rPr>
      </w:pPr>
      <w:r w:rsidRPr="00CB58FC">
        <w:rPr>
          <w:rFonts w:cs="Arial"/>
        </w:rPr>
        <w:t xml:space="preserve">The German law also includes provision for the CMO to appoint an auditor to inspect the accounts of the AMP where there are doubts as to the accuracy of information provided. This appears to be a relatively rare inclusion in national laws (court-ordered audits are also possible in France), but several CMOs consulted </w:t>
      </w:r>
      <w:r w:rsidR="00E264CE" w:rsidRPr="00CB58FC">
        <w:rPr>
          <w:rFonts w:cs="Arial"/>
        </w:rPr>
        <w:t>while</w:t>
      </w:r>
      <w:r w:rsidRPr="00CB58FC">
        <w:rPr>
          <w:rFonts w:cs="Arial"/>
        </w:rPr>
        <w:t xml:space="preserve"> preparing this Toolkit expressed the view that such a provision would be a desirable addition to their national schemes: see further at pars 60-61 below. In France, CMOs also have the power to request and obtain from the tax authorities information relating to the revenues or turnover of the AMP subject to ARR where there is a suspicion that ARR payments have not been made: see Table 23 below.   </w:t>
      </w:r>
    </w:p>
    <w:p w14:paraId="7680C67C" w14:textId="77777777" w:rsidR="003D6031" w:rsidRPr="00CB58FC" w:rsidRDefault="003D6031" w:rsidP="003D6031">
      <w:pPr>
        <w:pStyle w:val="ListParagraph"/>
        <w:ind w:left="360"/>
        <w:rPr>
          <w:rFonts w:cs="Arial"/>
        </w:rPr>
      </w:pPr>
    </w:p>
    <w:p w14:paraId="5DF9B230" w14:textId="77777777" w:rsidR="003D6031" w:rsidRPr="00CB58FC" w:rsidRDefault="003D6031" w:rsidP="003D6031">
      <w:pPr>
        <w:pStyle w:val="Heading1"/>
        <w:rPr>
          <w:b w:val="0"/>
          <w:bCs w:val="0"/>
          <w:szCs w:val="22"/>
        </w:rPr>
      </w:pPr>
      <w:r w:rsidRPr="00CB58FC">
        <w:rPr>
          <w:b w:val="0"/>
          <w:bCs w:val="0"/>
          <w:szCs w:val="22"/>
        </w:rPr>
        <w:t xml:space="preserve">TABLE 23 – IDENTIFYING ELIGIBLE RESALES </w:t>
      </w:r>
    </w:p>
    <w:tbl>
      <w:tblPr>
        <w:tblStyle w:val="TableGrid"/>
        <w:tblW w:w="0" w:type="auto"/>
        <w:tblLook w:val="04A0" w:firstRow="1" w:lastRow="0" w:firstColumn="1" w:lastColumn="0" w:noHBand="0" w:noVBand="1"/>
      </w:tblPr>
      <w:tblGrid>
        <w:gridCol w:w="3003"/>
        <w:gridCol w:w="3003"/>
        <w:gridCol w:w="3004"/>
      </w:tblGrid>
      <w:tr w:rsidR="00DE4C18" w:rsidRPr="00CB58FC" w14:paraId="42617211" w14:textId="77777777" w:rsidTr="000420E3">
        <w:tc>
          <w:tcPr>
            <w:tcW w:w="3003" w:type="dxa"/>
          </w:tcPr>
          <w:p w14:paraId="06CE88F6" w14:textId="77777777" w:rsidR="00DE4C18" w:rsidRPr="00CB58FC" w:rsidRDefault="00DE4C18" w:rsidP="000420E3">
            <w:r w:rsidRPr="00CB58FC">
              <w:rPr>
                <w:b/>
                <w:bCs/>
              </w:rPr>
              <w:t>Country or region</w:t>
            </w:r>
          </w:p>
        </w:tc>
        <w:tc>
          <w:tcPr>
            <w:tcW w:w="3003" w:type="dxa"/>
          </w:tcPr>
          <w:p w14:paraId="3C690415" w14:textId="77777777" w:rsidR="00DE4C18" w:rsidRPr="00CB58FC" w:rsidRDefault="00DE4C18" w:rsidP="000420E3">
            <w:r w:rsidRPr="00CB58FC">
              <w:rPr>
                <w:b/>
                <w:bCs/>
              </w:rPr>
              <w:t>Provision</w:t>
            </w:r>
          </w:p>
        </w:tc>
        <w:tc>
          <w:tcPr>
            <w:tcW w:w="3004" w:type="dxa"/>
          </w:tcPr>
          <w:p w14:paraId="23CE74BE" w14:textId="77777777" w:rsidR="00DE4C18" w:rsidRPr="00CB58FC" w:rsidRDefault="00DE4C18" w:rsidP="000420E3">
            <w:pPr>
              <w:rPr>
                <w:b/>
                <w:bCs/>
              </w:rPr>
            </w:pPr>
            <w:r w:rsidRPr="00CB58FC">
              <w:rPr>
                <w:b/>
                <w:bCs/>
              </w:rPr>
              <w:t>Comment</w:t>
            </w:r>
          </w:p>
        </w:tc>
      </w:tr>
      <w:tr w:rsidR="00DE4C18" w:rsidRPr="00CB58FC" w14:paraId="5B81AF83" w14:textId="77777777" w:rsidTr="000420E3">
        <w:tc>
          <w:tcPr>
            <w:tcW w:w="3003" w:type="dxa"/>
          </w:tcPr>
          <w:p w14:paraId="2F61D63C" w14:textId="77777777" w:rsidR="00DE4C18" w:rsidRPr="00CB58FC" w:rsidRDefault="00DE4C18" w:rsidP="000420E3">
            <w:r w:rsidRPr="00CB58FC">
              <w:rPr>
                <w:sz w:val="20"/>
                <w:szCs w:val="20"/>
              </w:rPr>
              <w:t>France</w:t>
            </w:r>
            <w:r w:rsidRPr="00CB58FC">
              <w:rPr>
                <w:rStyle w:val="FootnoteReference"/>
                <w:sz w:val="20"/>
                <w:szCs w:val="20"/>
              </w:rPr>
              <w:footnoteReference w:id="57"/>
            </w:r>
          </w:p>
        </w:tc>
        <w:tc>
          <w:tcPr>
            <w:tcW w:w="3003" w:type="dxa"/>
          </w:tcPr>
          <w:p w14:paraId="57649064" w14:textId="77777777" w:rsidR="00DE4C18" w:rsidRPr="00CB58FC" w:rsidRDefault="00DE4C18" w:rsidP="000420E3">
            <w:pPr>
              <w:pStyle w:val="HTMLPreformatted"/>
              <w:shd w:val="clear" w:color="auto" w:fill="F8F9FA"/>
              <w:rPr>
                <w:rStyle w:val="y2iqfc"/>
                <w:rFonts w:ascii="Arial" w:eastAsia="SimSun" w:hAnsi="Arial" w:cs="Arial"/>
                <w:lang w:val="en"/>
              </w:rPr>
            </w:pPr>
            <w:r w:rsidRPr="00CB58FC">
              <w:rPr>
                <w:rStyle w:val="y2iqfc"/>
                <w:rFonts w:ascii="Arial" w:eastAsia="SimSun" w:hAnsi="Arial" w:cs="Arial"/>
                <w:u w:val="single"/>
                <w:lang w:val="en"/>
              </w:rPr>
              <w:t>Art R122-8(4):</w:t>
            </w:r>
            <w:r w:rsidRPr="00CB58FC">
              <w:rPr>
                <w:rStyle w:val="y2iqfc"/>
                <w:rFonts w:ascii="Arial" w:eastAsia="SimSun" w:hAnsi="Arial" w:cs="Arial"/>
                <w:lang w:val="en"/>
              </w:rPr>
              <w:t xml:space="preserve"> The art market professional referred to in the first paragraph must provide the author or a collective management organization of the resale right with all the information necessary for the liquidation of the sums due under the resale right for a period of three years from the date of sale.</w:t>
            </w:r>
          </w:p>
          <w:p w14:paraId="480428F0" w14:textId="77777777" w:rsidR="00DE4C18" w:rsidRPr="00CB58FC" w:rsidRDefault="00DE4C18" w:rsidP="000420E3">
            <w:pPr>
              <w:pStyle w:val="HTMLPreformatted"/>
              <w:shd w:val="clear" w:color="auto" w:fill="F8F9FA"/>
              <w:rPr>
                <w:rStyle w:val="y2iqfc"/>
                <w:rFonts w:ascii="Arial" w:eastAsia="SimSun" w:hAnsi="Arial" w:cs="Arial"/>
                <w:lang w:val="en"/>
              </w:rPr>
            </w:pPr>
            <w:r w:rsidRPr="00CB58FC">
              <w:rPr>
                <w:rStyle w:val="y2iqfc"/>
                <w:rFonts w:ascii="Arial" w:eastAsia="SimSun" w:hAnsi="Arial" w:cs="Arial"/>
                <w:lang w:val="en"/>
              </w:rPr>
              <w:t>…</w:t>
            </w:r>
          </w:p>
          <w:p w14:paraId="62A36C82" w14:textId="77777777" w:rsidR="00DE4C18" w:rsidRPr="00CB58FC" w:rsidRDefault="00DE4C18" w:rsidP="000420E3">
            <w:pPr>
              <w:pStyle w:val="HTMLPreformatted"/>
              <w:shd w:val="clear" w:color="auto" w:fill="F8F9FA"/>
              <w:rPr>
                <w:rStyle w:val="y2iqfc"/>
                <w:rFonts w:eastAsia="SimSun"/>
                <w:u w:val="single"/>
                <w:lang w:val="en"/>
              </w:rPr>
            </w:pPr>
            <w:r w:rsidRPr="00CB58FC">
              <w:rPr>
                <w:rStyle w:val="y2iqfc"/>
                <w:rFonts w:ascii="Arial" w:eastAsia="SimSun" w:hAnsi="Arial" w:cs="Arial"/>
                <w:u w:val="single"/>
                <w:lang w:val="en"/>
              </w:rPr>
              <w:t>Art R 122-10:</w:t>
            </w:r>
          </w:p>
          <w:p w14:paraId="32869197" w14:textId="77777777" w:rsidR="00DE4C18" w:rsidRPr="00CB58FC" w:rsidRDefault="00DE4C18" w:rsidP="000420E3">
            <w:pPr>
              <w:jc w:val="both"/>
              <w:rPr>
                <w:rFonts w:eastAsia="Calibri"/>
                <w:sz w:val="20"/>
                <w:szCs w:val="20"/>
              </w:rPr>
            </w:pPr>
            <w:r w:rsidRPr="00CB58FC">
              <w:rPr>
                <w:rFonts w:eastAsia="Calibri"/>
                <w:sz w:val="20"/>
                <w:szCs w:val="20"/>
              </w:rPr>
              <w:t>I. - When seized with a request from the beneficiary, the professional responsible for the payment of the resale right shall pay the amount thereof within a period not exceeding four months from the date of receipt of the request or, if such request is received prior to the sale, from the date of such sale.</w:t>
            </w:r>
          </w:p>
          <w:p w14:paraId="6F8C29F1" w14:textId="77777777" w:rsidR="00DE4C18" w:rsidRPr="00CB58FC" w:rsidRDefault="00DE4C18" w:rsidP="000420E3">
            <w:pPr>
              <w:jc w:val="both"/>
              <w:rPr>
                <w:rFonts w:eastAsia="Calibri"/>
                <w:b/>
                <w:sz w:val="20"/>
                <w:szCs w:val="20"/>
              </w:rPr>
            </w:pPr>
          </w:p>
          <w:p w14:paraId="6F31E574" w14:textId="77777777" w:rsidR="00DE4C18" w:rsidRPr="00CB58FC" w:rsidRDefault="00DE4C18" w:rsidP="000420E3">
            <w:pPr>
              <w:jc w:val="both"/>
              <w:rPr>
                <w:rFonts w:eastAsia="Calibri"/>
                <w:sz w:val="20"/>
                <w:szCs w:val="20"/>
              </w:rPr>
            </w:pPr>
            <w:r w:rsidRPr="00CB58FC">
              <w:rPr>
                <w:rFonts w:eastAsia="Calibri"/>
                <w:sz w:val="20"/>
                <w:szCs w:val="20"/>
              </w:rPr>
              <w:t>If the work is a product of collaboration among multiple authors, the beneficiary must disclose this and specify the distribution of the resale right agreed upon among the authors.</w:t>
            </w:r>
          </w:p>
          <w:p w14:paraId="683C8A59" w14:textId="77777777" w:rsidR="00DE4C18" w:rsidRPr="00CB58FC" w:rsidRDefault="00DE4C18" w:rsidP="000420E3">
            <w:pPr>
              <w:jc w:val="both"/>
              <w:rPr>
                <w:rFonts w:eastAsia="Calibri"/>
                <w:sz w:val="20"/>
                <w:szCs w:val="20"/>
              </w:rPr>
            </w:pPr>
          </w:p>
          <w:p w14:paraId="7594783B" w14:textId="77777777" w:rsidR="00DE4C18" w:rsidRPr="00CB58FC" w:rsidRDefault="00DE4C18" w:rsidP="000420E3">
            <w:pPr>
              <w:jc w:val="both"/>
              <w:rPr>
                <w:rFonts w:eastAsia="Calibri"/>
                <w:sz w:val="20"/>
                <w:szCs w:val="20"/>
              </w:rPr>
            </w:pPr>
            <w:r w:rsidRPr="00CB58FC">
              <w:rPr>
                <w:rFonts w:eastAsia="Calibri"/>
                <w:sz w:val="20"/>
                <w:szCs w:val="20"/>
              </w:rPr>
              <w:t xml:space="preserve">II. - In the absence of any request, the professional responsible for the payment of the resale right shall, no later than three months after the end of the calendar quarter in which the sale occurred, notify one of </w:t>
            </w:r>
            <w:r w:rsidRPr="00CB58FC">
              <w:rPr>
                <w:rFonts w:eastAsia="Calibri"/>
                <w:sz w:val="20"/>
                <w:szCs w:val="20"/>
              </w:rPr>
              <w:lastRenderedPageBreak/>
              <w:t>the collective management organizations specified in Article R. 122-8 by registered letter with acknowledgment of receipt regarding the realization of the sale. This notification shall include details such as the date of the sale, the name of the author of the work, and, if applicable, any information regarding the beneficiary entitled to the resale right that is available to the professional.</w:t>
            </w:r>
          </w:p>
          <w:p w14:paraId="5BD571F5" w14:textId="77777777" w:rsidR="00DE4C18" w:rsidRPr="00CB58FC" w:rsidRDefault="00DE4C18" w:rsidP="000420E3">
            <w:pPr>
              <w:jc w:val="both"/>
              <w:rPr>
                <w:rFonts w:eastAsia="Calibri"/>
                <w:sz w:val="20"/>
                <w:szCs w:val="20"/>
              </w:rPr>
            </w:pPr>
          </w:p>
          <w:p w14:paraId="4AB34BDA" w14:textId="1BE642AA" w:rsidR="00DE4C18" w:rsidRPr="00CB58FC" w:rsidRDefault="00DE4C18" w:rsidP="0015390C">
            <w:pPr>
              <w:jc w:val="both"/>
              <w:rPr>
                <w:rStyle w:val="y2iqfc"/>
                <w:rFonts w:eastAsia="Calibri"/>
              </w:rPr>
            </w:pPr>
            <w:r w:rsidRPr="00CB58FC">
              <w:rPr>
                <w:rFonts w:eastAsia="Calibri"/>
                <w:sz w:val="20"/>
                <w:szCs w:val="20"/>
              </w:rPr>
              <w:t>When a collective management organization receives notification of a sale entitling the beneficiary specified in Article R. 122-8 to collect the resale right, it is required to inform the beneficiary. When a collective management organization receives notification of a sale entitling the beneficiary specified in Article R. 122-8 to collect the resale right, it is required to inform the beneficiary. If the beneficiary cannot be identified, the collective management organization must take necessary measures to inform individuals eligible for the resale right, potentially by collaborating with other collective management organizations mentioned in Article R. 122-8. Should the beneficiary remain unidentifiable, the organization will resort to suitable publicity measures, electronically or through other means, to ensure notification.</w:t>
            </w:r>
          </w:p>
          <w:p w14:paraId="5B71BC9D" w14:textId="77777777" w:rsidR="00DE4C18" w:rsidRPr="00CB58FC" w:rsidRDefault="00DE4C18" w:rsidP="000420E3">
            <w:r w:rsidRPr="00CB58FC">
              <w:rPr>
                <w:sz w:val="20"/>
                <w:szCs w:val="20"/>
              </w:rPr>
              <w:t xml:space="preserve"> </w:t>
            </w:r>
          </w:p>
        </w:tc>
        <w:tc>
          <w:tcPr>
            <w:tcW w:w="3004" w:type="dxa"/>
          </w:tcPr>
          <w:p w14:paraId="355DCBBF" w14:textId="77777777" w:rsidR="00DE4C18" w:rsidRPr="00CB58FC" w:rsidRDefault="00DE4C18" w:rsidP="00DE4C18">
            <w:pPr>
              <w:pStyle w:val="ListParagraph"/>
              <w:numPr>
                <w:ilvl w:val="0"/>
                <w:numId w:val="28"/>
              </w:numPr>
              <w:spacing w:after="0"/>
              <w:ind w:left="360"/>
              <w:rPr>
                <w:rFonts w:cs="Arial"/>
                <w:sz w:val="20"/>
                <w:szCs w:val="20"/>
              </w:rPr>
            </w:pPr>
            <w:r w:rsidRPr="00CB58FC">
              <w:rPr>
                <w:rFonts w:cs="Arial"/>
                <w:sz w:val="20"/>
                <w:szCs w:val="20"/>
              </w:rPr>
              <w:lastRenderedPageBreak/>
              <w:t>Detailed legislative list of obligation of AMP to notify author or CMO of information relating to resale.</w:t>
            </w:r>
          </w:p>
          <w:p w14:paraId="6A5E29C3" w14:textId="77777777" w:rsidR="00DE4C18" w:rsidRPr="00CB58FC" w:rsidRDefault="00DE4C18" w:rsidP="000420E3">
            <w:pPr>
              <w:jc w:val="both"/>
              <w:rPr>
                <w:sz w:val="20"/>
                <w:szCs w:val="20"/>
              </w:rPr>
            </w:pPr>
          </w:p>
          <w:p w14:paraId="397513B4" w14:textId="77777777" w:rsidR="00DE4C18" w:rsidRPr="00CB58FC" w:rsidRDefault="00DE4C18" w:rsidP="00DE4C18">
            <w:pPr>
              <w:pStyle w:val="ListParagraph"/>
              <w:numPr>
                <w:ilvl w:val="0"/>
                <w:numId w:val="28"/>
              </w:numPr>
              <w:spacing w:after="0"/>
              <w:ind w:left="360"/>
              <w:rPr>
                <w:rFonts w:cs="Arial"/>
                <w:sz w:val="20"/>
                <w:szCs w:val="20"/>
              </w:rPr>
            </w:pPr>
            <w:r w:rsidRPr="00CB58FC">
              <w:rPr>
                <w:rFonts w:cs="Arial"/>
                <w:sz w:val="20"/>
                <w:szCs w:val="20"/>
              </w:rPr>
              <w:t xml:space="preserve">Also addresses issue of multiple authors and beneficiaries. </w:t>
            </w:r>
          </w:p>
        </w:tc>
      </w:tr>
      <w:tr w:rsidR="00DE4C18" w:rsidRPr="00CB58FC" w14:paraId="517418D0" w14:textId="77777777" w:rsidTr="000420E3">
        <w:tc>
          <w:tcPr>
            <w:tcW w:w="3003" w:type="dxa"/>
          </w:tcPr>
          <w:p w14:paraId="19372D9A" w14:textId="77777777" w:rsidR="00DE4C18" w:rsidRPr="00CB58FC" w:rsidRDefault="00DE4C18" w:rsidP="000420E3">
            <w:r w:rsidRPr="00CB58FC">
              <w:rPr>
                <w:sz w:val="20"/>
                <w:szCs w:val="20"/>
              </w:rPr>
              <w:t>Spain</w:t>
            </w:r>
            <w:r w:rsidRPr="00CB58FC">
              <w:rPr>
                <w:rStyle w:val="FootnoteReference"/>
                <w:sz w:val="20"/>
                <w:szCs w:val="20"/>
              </w:rPr>
              <w:footnoteReference w:id="58"/>
            </w:r>
          </w:p>
        </w:tc>
        <w:tc>
          <w:tcPr>
            <w:tcW w:w="3003" w:type="dxa"/>
          </w:tcPr>
          <w:p w14:paraId="74DD2DD5" w14:textId="77777777" w:rsidR="00DE4C18" w:rsidRPr="00CB58FC" w:rsidRDefault="00DE4C18" w:rsidP="000420E3">
            <w:pPr>
              <w:jc w:val="both"/>
              <w:rPr>
                <w:sz w:val="20"/>
                <w:szCs w:val="20"/>
              </w:rPr>
            </w:pPr>
            <w:r w:rsidRPr="00CB58FC">
              <w:rPr>
                <w:sz w:val="20"/>
                <w:szCs w:val="20"/>
              </w:rPr>
              <w:t>14. Art market professionals who have participated in a resale subject to the resale right will be obliged to:</w:t>
            </w:r>
          </w:p>
          <w:p w14:paraId="643429C1" w14:textId="77777777" w:rsidR="00DE4C18" w:rsidRPr="00CB58FC" w:rsidRDefault="00DE4C18" w:rsidP="000420E3">
            <w:pPr>
              <w:jc w:val="both"/>
              <w:rPr>
                <w:sz w:val="20"/>
                <w:szCs w:val="20"/>
              </w:rPr>
            </w:pPr>
            <w:r w:rsidRPr="00CB58FC">
              <w:rPr>
                <w:sz w:val="20"/>
                <w:szCs w:val="20"/>
              </w:rPr>
              <w:t xml:space="preserve">a) Notify the seller and the corresponding management entity of the resale carried out. The notification will be made in writing or by another means that allows recording the sending and receipt of the notification within a period of </w:t>
            </w:r>
            <w:r w:rsidRPr="00CB58FC">
              <w:rPr>
                <w:sz w:val="20"/>
                <w:szCs w:val="20"/>
              </w:rPr>
              <w:lastRenderedPageBreak/>
              <w:t>two months counting from the day following the date of the resale and must contain in all cases:</w:t>
            </w:r>
          </w:p>
          <w:p w14:paraId="4032C82D" w14:textId="77777777" w:rsidR="00DE4C18" w:rsidRPr="00CB58FC" w:rsidRDefault="00DE4C18" w:rsidP="000420E3">
            <w:pPr>
              <w:jc w:val="both"/>
              <w:rPr>
                <w:sz w:val="20"/>
                <w:szCs w:val="20"/>
              </w:rPr>
            </w:pPr>
            <w:r w:rsidRPr="00CB58FC">
              <w:rPr>
                <w:sz w:val="20"/>
                <w:szCs w:val="20"/>
              </w:rPr>
              <w:t>i) The place and date on which the resale took place.</w:t>
            </w:r>
          </w:p>
          <w:p w14:paraId="773631DF" w14:textId="77777777" w:rsidR="00DE4C18" w:rsidRPr="00CB58FC" w:rsidRDefault="00DE4C18" w:rsidP="000420E3">
            <w:pPr>
              <w:jc w:val="both"/>
              <w:rPr>
                <w:sz w:val="20"/>
                <w:szCs w:val="20"/>
              </w:rPr>
            </w:pPr>
            <w:r w:rsidRPr="00CB58FC">
              <w:rPr>
                <w:sz w:val="20"/>
                <w:szCs w:val="20"/>
              </w:rPr>
              <w:t>ii) The full price of the sale.</w:t>
            </w:r>
          </w:p>
          <w:p w14:paraId="75243BCF" w14:textId="77777777" w:rsidR="00DE4C18" w:rsidRPr="00CB58FC" w:rsidRDefault="00DE4C18" w:rsidP="000420E3">
            <w:pPr>
              <w:jc w:val="both"/>
              <w:rPr>
                <w:sz w:val="20"/>
                <w:szCs w:val="20"/>
              </w:rPr>
            </w:pPr>
            <w:r w:rsidRPr="00CB58FC">
              <w:rPr>
                <w:sz w:val="20"/>
                <w:szCs w:val="20"/>
              </w:rPr>
              <w:t>iii) The documentation proving the resale necessary for the verification of the data and the practice of the corresponding settlement. Said documentation must include, at least, the place and date on which the resale took place, its price and the identifying data of the resold work, as well as the contracting parties, intermediaries, if applicable, and the author of the work.</w:t>
            </w:r>
          </w:p>
          <w:p w14:paraId="0A176186" w14:textId="77777777" w:rsidR="00DE4C18" w:rsidRPr="00CB58FC" w:rsidRDefault="00DE4C18" w:rsidP="000420E3">
            <w:pPr>
              <w:jc w:val="both"/>
              <w:rPr>
                <w:sz w:val="20"/>
                <w:szCs w:val="20"/>
              </w:rPr>
            </w:pPr>
            <w:r w:rsidRPr="00CB58FC">
              <w:rPr>
                <w:sz w:val="20"/>
                <w:szCs w:val="20"/>
              </w:rPr>
              <w:t>b) Retain the amount of the author's participation right in the price of the resold work.</w:t>
            </w:r>
          </w:p>
          <w:p w14:paraId="3E0505C1" w14:textId="77777777" w:rsidR="00DE4C18" w:rsidRPr="00CB58FC" w:rsidRDefault="00DE4C18" w:rsidP="000420E3">
            <w:pPr>
              <w:jc w:val="both"/>
              <w:rPr>
                <w:sz w:val="20"/>
                <w:szCs w:val="20"/>
              </w:rPr>
            </w:pPr>
            <w:r w:rsidRPr="00CB58FC">
              <w:rPr>
                <w:sz w:val="20"/>
                <w:szCs w:val="20"/>
              </w:rPr>
              <w:t>c) Keep in free deposit, and without obligation to pay interest, the amount retained until delivery to the corresponding management entity.</w:t>
            </w:r>
          </w:p>
          <w:p w14:paraId="61BAA02B" w14:textId="77777777" w:rsidR="00DE4C18" w:rsidRPr="00CB58FC" w:rsidRDefault="00DE4C18" w:rsidP="000420E3">
            <w:pPr>
              <w:jc w:val="both"/>
              <w:rPr>
                <w:sz w:val="20"/>
                <w:szCs w:val="20"/>
              </w:rPr>
            </w:pPr>
            <w:r w:rsidRPr="00CB58FC">
              <w:rPr>
                <w:sz w:val="20"/>
                <w:szCs w:val="20"/>
              </w:rPr>
              <w:t>d) When more than one art market professional has been involved in the resale of the work, the person obliged to carry out the operation, both in terms of notification, retention, deposit and payment of the right, will be the art market professional who has acted as a seller and, failing that, who has acted as an intermediary.</w:t>
            </w:r>
          </w:p>
          <w:p w14:paraId="4F9F7068" w14:textId="77777777" w:rsidR="00DE4C18" w:rsidRPr="00CB58FC" w:rsidRDefault="00DE4C18" w:rsidP="000420E3">
            <w:pPr>
              <w:pStyle w:val="HTMLPreformatted"/>
              <w:shd w:val="clear" w:color="auto" w:fill="F8F9FA"/>
              <w:rPr>
                <w:rFonts w:ascii="Arial" w:hAnsi="Arial" w:cs="Arial"/>
              </w:rPr>
            </w:pPr>
            <w:r w:rsidRPr="00CB58FC">
              <w:rPr>
                <w:rFonts w:ascii="Arial" w:hAnsi="Arial" w:cs="Arial"/>
              </w:rPr>
              <w:t>15. Once the notification referred to in paragraph a) of section 14 has been made, the art market professionals will make the payment of the right to the corresponding management entity within a maximum period of two months.</w:t>
            </w:r>
          </w:p>
          <w:p w14:paraId="32A81701" w14:textId="77777777" w:rsidR="00DE4C18" w:rsidRPr="00CB58FC" w:rsidRDefault="00DE4C18" w:rsidP="000420E3">
            <w:pPr>
              <w:pStyle w:val="HTMLPreformatted"/>
              <w:shd w:val="clear" w:color="auto" w:fill="F8F9FA"/>
              <w:rPr>
                <w:rFonts w:ascii="Arial" w:hAnsi="Arial" w:cs="Arial"/>
              </w:rPr>
            </w:pPr>
            <w:r w:rsidRPr="00CB58FC">
              <w:rPr>
                <w:rFonts w:ascii="Arial" w:hAnsi="Arial" w:cs="Arial"/>
              </w:rPr>
              <w:t>…</w:t>
            </w:r>
          </w:p>
          <w:p w14:paraId="642D3249" w14:textId="74114CDC" w:rsidR="00DE4C18" w:rsidRPr="00CB58FC" w:rsidRDefault="00DE4C18" w:rsidP="0015390C">
            <w:pPr>
              <w:jc w:val="both"/>
            </w:pPr>
            <w:r w:rsidRPr="00CB58FC">
              <w:rPr>
                <w:sz w:val="20"/>
                <w:szCs w:val="20"/>
              </w:rPr>
              <w:t>17. Intellectual property rights management entities may require from any art market professional mentioned in section 4, for a period of three years from the date of resale, the information indicated in the letter a) of section 14 that is necessary to calculate the amount of the participation right.</w:t>
            </w:r>
          </w:p>
        </w:tc>
        <w:tc>
          <w:tcPr>
            <w:tcW w:w="3004" w:type="dxa"/>
          </w:tcPr>
          <w:p w14:paraId="34EF0A8A" w14:textId="77777777" w:rsidR="00DE4C18" w:rsidRPr="00CB58FC" w:rsidRDefault="00DE4C18" w:rsidP="00DE4C18">
            <w:pPr>
              <w:pStyle w:val="ListParagraph"/>
              <w:numPr>
                <w:ilvl w:val="0"/>
                <w:numId w:val="29"/>
              </w:numPr>
              <w:spacing w:after="0"/>
              <w:rPr>
                <w:rFonts w:cs="Arial"/>
                <w:sz w:val="18"/>
                <w:szCs w:val="18"/>
              </w:rPr>
            </w:pPr>
            <w:r w:rsidRPr="00CB58FC">
              <w:rPr>
                <w:rFonts w:cs="Arial"/>
                <w:sz w:val="18"/>
                <w:szCs w:val="18"/>
              </w:rPr>
              <w:lastRenderedPageBreak/>
              <w:t xml:space="preserve">Another detailed legislative approach </w:t>
            </w:r>
          </w:p>
        </w:tc>
      </w:tr>
      <w:tr w:rsidR="00DE4C18" w:rsidRPr="00CB58FC" w14:paraId="0FABB1A2" w14:textId="77777777" w:rsidTr="000420E3">
        <w:tc>
          <w:tcPr>
            <w:tcW w:w="3003" w:type="dxa"/>
          </w:tcPr>
          <w:p w14:paraId="6DE8C4BE" w14:textId="77777777" w:rsidR="00DE4C18" w:rsidRPr="00CB58FC" w:rsidRDefault="00DE4C18" w:rsidP="000420E3">
            <w:r w:rsidRPr="00CB58FC">
              <w:rPr>
                <w:sz w:val="20"/>
                <w:szCs w:val="20"/>
              </w:rPr>
              <w:lastRenderedPageBreak/>
              <w:t>Australia</w:t>
            </w:r>
            <w:r w:rsidRPr="00CB58FC">
              <w:rPr>
                <w:rStyle w:val="FootnoteReference"/>
                <w:sz w:val="20"/>
                <w:szCs w:val="20"/>
              </w:rPr>
              <w:footnoteReference w:id="59"/>
            </w:r>
            <w:r w:rsidRPr="00CB58FC">
              <w:rPr>
                <w:sz w:val="20"/>
                <w:szCs w:val="20"/>
              </w:rPr>
              <w:t xml:space="preserve"> </w:t>
            </w:r>
          </w:p>
        </w:tc>
        <w:tc>
          <w:tcPr>
            <w:tcW w:w="3003" w:type="dxa"/>
          </w:tcPr>
          <w:p w14:paraId="15D09D6B" w14:textId="77777777" w:rsidR="00DE4C18" w:rsidRPr="00CB58FC" w:rsidRDefault="00DE4C18" w:rsidP="000420E3">
            <w:pPr>
              <w:autoSpaceDE w:val="0"/>
              <w:autoSpaceDN w:val="0"/>
              <w:adjustRightInd w:val="0"/>
              <w:jc w:val="both"/>
              <w:rPr>
                <w:b/>
                <w:bCs/>
                <w:sz w:val="20"/>
                <w:szCs w:val="20"/>
              </w:rPr>
            </w:pPr>
            <w:r w:rsidRPr="00CB58FC">
              <w:rPr>
                <w:b/>
                <w:bCs/>
                <w:sz w:val="20"/>
                <w:szCs w:val="20"/>
              </w:rPr>
              <w:t>28 Notice of commercial resale</w:t>
            </w:r>
          </w:p>
          <w:p w14:paraId="7F33D707" w14:textId="77777777" w:rsidR="00DE4C18" w:rsidRPr="00CB58FC" w:rsidRDefault="00DE4C18" w:rsidP="000420E3">
            <w:pPr>
              <w:autoSpaceDE w:val="0"/>
              <w:autoSpaceDN w:val="0"/>
              <w:adjustRightInd w:val="0"/>
              <w:jc w:val="both"/>
              <w:rPr>
                <w:sz w:val="20"/>
                <w:szCs w:val="20"/>
              </w:rPr>
            </w:pPr>
            <w:r w:rsidRPr="00CB58FC">
              <w:rPr>
                <w:sz w:val="20"/>
                <w:szCs w:val="20"/>
              </w:rPr>
              <w:t>(1) A person must give the collecting society notice complying with subsection (2) of the commercial resale of an artwork if:</w:t>
            </w:r>
          </w:p>
          <w:p w14:paraId="02CD1A7D" w14:textId="77777777" w:rsidR="00DE4C18" w:rsidRPr="00CB58FC" w:rsidRDefault="00DE4C18" w:rsidP="000420E3">
            <w:pPr>
              <w:autoSpaceDE w:val="0"/>
              <w:autoSpaceDN w:val="0"/>
              <w:adjustRightInd w:val="0"/>
              <w:jc w:val="both"/>
              <w:rPr>
                <w:sz w:val="20"/>
                <w:szCs w:val="20"/>
              </w:rPr>
            </w:pPr>
            <w:r w:rsidRPr="00CB58FC">
              <w:rPr>
                <w:sz w:val="20"/>
                <w:szCs w:val="20"/>
              </w:rPr>
              <w:t>(a) the person is a seller under the commercial resale; and</w:t>
            </w:r>
          </w:p>
          <w:p w14:paraId="117DD31A" w14:textId="77777777" w:rsidR="00DE4C18" w:rsidRPr="00CB58FC" w:rsidRDefault="00DE4C18" w:rsidP="000420E3">
            <w:pPr>
              <w:autoSpaceDE w:val="0"/>
              <w:autoSpaceDN w:val="0"/>
              <w:adjustRightInd w:val="0"/>
              <w:jc w:val="both"/>
              <w:rPr>
                <w:sz w:val="20"/>
                <w:szCs w:val="20"/>
              </w:rPr>
            </w:pPr>
            <w:r w:rsidRPr="00CB58FC">
              <w:rPr>
                <w:sz w:val="20"/>
                <w:szCs w:val="20"/>
              </w:rPr>
              <w:t>(b) the person is:</w:t>
            </w:r>
          </w:p>
          <w:p w14:paraId="23184DF0" w14:textId="77777777" w:rsidR="00DE4C18" w:rsidRPr="00CB58FC" w:rsidRDefault="00DE4C18" w:rsidP="000420E3">
            <w:pPr>
              <w:autoSpaceDE w:val="0"/>
              <w:autoSpaceDN w:val="0"/>
              <w:adjustRightInd w:val="0"/>
              <w:jc w:val="both"/>
              <w:rPr>
                <w:sz w:val="20"/>
                <w:szCs w:val="20"/>
              </w:rPr>
            </w:pPr>
            <w:r w:rsidRPr="00CB58FC">
              <w:rPr>
                <w:sz w:val="20"/>
                <w:szCs w:val="20"/>
              </w:rPr>
              <w:t>(i) an Australian citizen; or</w:t>
            </w:r>
          </w:p>
          <w:p w14:paraId="7672B139" w14:textId="77777777" w:rsidR="00DE4C18" w:rsidRPr="00CB58FC" w:rsidRDefault="00DE4C18" w:rsidP="000420E3">
            <w:pPr>
              <w:autoSpaceDE w:val="0"/>
              <w:autoSpaceDN w:val="0"/>
              <w:adjustRightInd w:val="0"/>
              <w:jc w:val="both"/>
              <w:rPr>
                <w:sz w:val="20"/>
                <w:szCs w:val="20"/>
              </w:rPr>
            </w:pPr>
            <w:r w:rsidRPr="00CB58FC">
              <w:rPr>
                <w:sz w:val="20"/>
                <w:szCs w:val="20"/>
              </w:rPr>
              <w:t>(ii) a permanent resident of Australia; or</w:t>
            </w:r>
          </w:p>
          <w:p w14:paraId="2905CB06" w14:textId="77777777" w:rsidR="00DE4C18" w:rsidRPr="00CB58FC" w:rsidRDefault="00DE4C18" w:rsidP="000420E3">
            <w:pPr>
              <w:autoSpaceDE w:val="0"/>
              <w:autoSpaceDN w:val="0"/>
              <w:adjustRightInd w:val="0"/>
              <w:jc w:val="both"/>
              <w:rPr>
                <w:sz w:val="20"/>
                <w:szCs w:val="20"/>
              </w:rPr>
            </w:pPr>
            <w:r w:rsidRPr="00CB58FC">
              <w:rPr>
                <w:sz w:val="20"/>
                <w:szCs w:val="20"/>
              </w:rPr>
              <w:t>(iii) a corporation incorporated under the Corporations Act</w:t>
            </w:r>
          </w:p>
          <w:p w14:paraId="5E4A6DA2" w14:textId="77777777" w:rsidR="00DE4C18" w:rsidRPr="00CB58FC" w:rsidRDefault="00DE4C18" w:rsidP="000420E3">
            <w:pPr>
              <w:autoSpaceDE w:val="0"/>
              <w:autoSpaceDN w:val="0"/>
              <w:adjustRightInd w:val="0"/>
              <w:jc w:val="both"/>
              <w:rPr>
                <w:sz w:val="20"/>
                <w:szCs w:val="20"/>
              </w:rPr>
            </w:pPr>
            <w:r w:rsidRPr="00CB58FC">
              <w:rPr>
                <w:sz w:val="20"/>
                <w:szCs w:val="20"/>
              </w:rPr>
              <w:t>2001; or</w:t>
            </w:r>
          </w:p>
          <w:p w14:paraId="685CD27D" w14:textId="77777777" w:rsidR="00DE4C18" w:rsidRPr="00CB58FC" w:rsidRDefault="00DE4C18" w:rsidP="000420E3">
            <w:pPr>
              <w:autoSpaceDE w:val="0"/>
              <w:autoSpaceDN w:val="0"/>
              <w:adjustRightInd w:val="0"/>
              <w:jc w:val="both"/>
              <w:rPr>
                <w:sz w:val="20"/>
                <w:szCs w:val="20"/>
              </w:rPr>
            </w:pPr>
            <w:r w:rsidRPr="00CB58FC">
              <w:rPr>
                <w:sz w:val="20"/>
                <w:szCs w:val="20"/>
              </w:rPr>
              <w:t>(iv) a person (including a body corporate) who carries on an</w:t>
            </w:r>
          </w:p>
          <w:p w14:paraId="4C04022A" w14:textId="77777777" w:rsidR="00DE4C18" w:rsidRPr="00CB58FC" w:rsidRDefault="00DE4C18" w:rsidP="000420E3">
            <w:pPr>
              <w:autoSpaceDE w:val="0"/>
              <w:autoSpaceDN w:val="0"/>
              <w:adjustRightInd w:val="0"/>
              <w:jc w:val="both"/>
              <w:rPr>
                <w:sz w:val="20"/>
                <w:szCs w:val="20"/>
              </w:rPr>
            </w:pPr>
            <w:r w:rsidRPr="00CB58FC">
              <w:rPr>
                <w:sz w:val="20"/>
                <w:szCs w:val="20"/>
              </w:rPr>
              <w:t>enterprise in Australia; or</w:t>
            </w:r>
          </w:p>
          <w:p w14:paraId="50D3EFA8" w14:textId="77777777" w:rsidR="00DE4C18" w:rsidRPr="00CB58FC" w:rsidRDefault="00DE4C18" w:rsidP="000420E3">
            <w:pPr>
              <w:autoSpaceDE w:val="0"/>
              <w:autoSpaceDN w:val="0"/>
              <w:adjustRightInd w:val="0"/>
              <w:jc w:val="both"/>
              <w:rPr>
                <w:sz w:val="20"/>
                <w:szCs w:val="20"/>
              </w:rPr>
            </w:pPr>
            <w:r w:rsidRPr="00CB58FC">
              <w:rPr>
                <w:sz w:val="20"/>
                <w:szCs w:val="20"/>
              </w:rPr>
              <w:t>(v) a trustee of a trust of which one of the persons mentioned in subparagraphs (i) to (iv) (inclusive) is a beneficiary.</w:t>
            </w:r>
          </w:p>
          <w:p w14:paraId="6D9DD72C" w14:textId="77777777" w:rsidR="00DE4C18" w:rsidRPr="00CB58FC" w:rsidRDefault="00DE4C18" w:rsidP="000420E3">
            <w:pPr>
              <w:autoSpaceDE w:val="0"/>
              <w:autoSpaceDN w:val="0"/>
              <w:adjustRightInd w:val="0"/>
              <w:jc w:val="both"/>
              <w:rPr>
                <w:i/>
                <w:iCs/>
                <w:sz w:val="20"/>
                <w:szCs w:val="20"/>
              </w:rPr>
            </w:pPr>
            <w:r w:rsidRPr="00CB58FC">
              <w:rPr>
                <w:i/>
                <w:iCs/>
                <w:sz w:val="20"/>
                <w:szCs w:val="20"/>
              </w:rPr>
              <w:t>Civil penalty:</w:t>
            </w:r>
          </w:p>
          <w:p w14:paraId="5B549657" w14:textId="77777777" w:rsidR="00DE4C18" w:rsidRPr="00CB58FC" w:rsidRDefault="00DE4C18" w:rsidP="000420E3">
            <w:pPr>
              <w:autoSpaceDE w:val="0"/>
              <w:autoSpaceDN w:val="0"/>
              <w:adjustRightInd w:val="0"/>
              <w:jc w:val="both"/>
              <w:rPr>
                <w:sz w:val="20"/>
                <w:szCs w:val="20"/>
              </w:rPr>
            </w:pPr>
            <w:r w:rsidRPr="00CB58FC">
              <w:rPr>
                <w:sz w:val="20"/>
                <w:szCs w:val="20"/>
              </w:rPr>
              <w:t>(a) for an individual—200 penalty units;</w:t>
            </w:r>
          </w:p>
          <w:p w14:paraId="57185C0C" w14:textId="77777777" w:rsidR="00DE4C18" w:rsidRPr="00CB58FC" w:rsidRDefault="00DE4C18" w:rsidP="000420E3">
            <w:pPr>
              <w:autoSpaceDE w:val="0"/>
              <w:autoSpaceDN w:val="0"/>
              <w:adjustRightInd w:val="0"/>
              <w:jc w:val="both"/>
              <w:rPr>
                <w:sz w:val="20"/>
                <w:szCs w:val="20"/>
              </w:rPr>
            </w:pPr>
            <w:r w:rsidRPr="00CB58FC">
              <w:rPr>
                <w:sz w:val="20"/>
                <w:szCs w:val="20"/>
              </w:rPr>
              <w:t>(b) for a body corporate—1,000 penalty units.</w:t>
            </w:r>
          </w:p>
          <w:p w14:paraId="5C902D65" w14:textId="77777777" w:rsidR="00DE4C18" w:rsidRPr="00CB58FC" w:rsidRDefault="00DE4C18" w:rsidP="000420E3">
            <w:pPr>
              <w:autoSpaceDE w:val="0"/>
              <w:autoSpaceDN w:val="0"/>
              <w:adjustRightInd w:val="0"/>
              <w:jc w:val="both"/>
              <w:rPr>
                <w:sz w:val="20"/>
                <w:szCs w:val="20"/>
              </w:rPr>
            </w:pPr>
            <w:r w:rsidRPr="00CB58FC">
              <w:rPr>
                <w:sz w:val="20"/>
                <w:szCs w:val="20"/>
              </w:rPr>
              <w:t>(2) The notice must:</w:t>
            </w:r>
          </w:p>
          <w:p w14:paraId="222A7142" w14:textId="77777777" w:rsidR="00DE4C18" w:rsidRPr="00CB58FC" w:rsidRDefault="00DE4C18" w:rsidP="000420E3">
            <w:pPr>
              <w:autoSpaceDE w:val="0"/>
              <w:autoSpaceDN w:val="0"/>
              <w:adjustRightInd w:val="0"/>
              <w:jc w:val="both"/>
              <w:rPr>
                <w:sz w:val="20"/>
                <w:szCs w:val="20"/>
              </w:rPr>
            </w:pPr>
            <w:r w:rsidRPr="00CB58FC">
              <w:rPr>
                <w:sz w:val="20"/>
                <w:szCs w:val="20"/>
              </w:rPr>
              <w:t>(a) be in writing; and</w:t>
            </w:r>
          </w:p>
          <w:p w14:paraId="5147A43A" w14:textId="77777777" w:rsidR="00DE4C18" w:rsidRPr="00CB58FC" w:rsidRDefault="00DE4C18" w:rsidP="000420E3">
            <w:pPr>
              <w:autoSpaceDE w:val="0"/>
              <w:autoSpaceDN w:val="0"/>
              <w:adjustRightInd w:val="0"/>
              <w:jc w:val="both"/>
              <w:rPr>
                <w:sz w:val="20"/>
                <w:szCs w:val="20"/>
              </w:rPr>
            </w:pPr>
            <w:r w:rsidRPr="00CB58FC">
              <w:rPr>
                <w:sz w:val="20"/>
                <w:szCs w:val="20"/>
              </w:rPr>
              <w:t>(b) be given to the collecting society within the period of 90 days beginning at the time of the commercial resale; and</w:t>
            </w:r>
          </w:p>
          <w:p w14:paraId="44742833" w14:textId="77777777" w:rsidR="00DE4C18" w:rsidRPr="00CB58FC" w:rsidRDefault="00DE4C18" w:rsidP="000420E3">
            <w:pPr>
              <w:autoSpaceDE w:val="0"/>
              <w:autoSpaceDN w:val="0"/>
              <w:adjustRightInd w:val="0"/>
              <w:jc w:val="both"/>
              <w:rPr>
                <w:sz w:val="20"/>
                <w:szCs w:val="20"/>
              </w:rPr>
            </w:pPr>
            <w:r w:rsidRPr="00CB58FC">
              <w:rPr>
                <w:sz w:val="20"/>
                <w:szCs w:val="20"/>
              </w:rPr>
              <w:t>(c) include sufficient detail to allow the collecting society:</w:t>
            </w:r>
          </w:p>
          <w:p w14:paraId="37371248" w14:textId="77777777" w:rsidR="00DE4C18" w:rsidRPr="00CB58FC" w:rsidRDefault="00DE4C18" w:rsidP="000420E3">
            <w:pPr>
              <w:autoSpaceDE w:val="0"/>
              <w:autoSpaceDN w:val="0"/>
              <w:adjustRightInd w:val="0"/>
              <w:jc w:val="both"/>
              <w:rPr>
                <w:sz w:val="20"/>
                <w:szCs w:val="20"/>
              </w:rPr>
            </w:pPr>
            <w:r w:rsidRPr="00CB58FC">
              <w:rPr>
                <w:sz w:val="20"/>
                <w:szCs w:val="20"/>
              </w:rPr>
              <w:t>(i) to work out whether resale royalty is payable on the commercial resale under this Act; and</w:t>
            </w:r>
          </w:p>
          <w:p w14:paraId="56C52142" w14:textId="77777777" w:rsidR="00DE4C18" w:rsidRPr="00CB58FC" w:rsidRDefault="00DE4C18" w:rsidP="000420E3">
            <w:pPr>
              <w:autoSpaceDE w:val="0"/>
              <w:autoSpaceDN w:val="0"/>
              <w:adjustRightInd w:val="0"/>
              <w:jc w:val="both"/>
              <w:rPr>
                <w:sz w:val="20"/>
                <w:szCs w:val="20"/>
              </w:rPr>
            </w:pPr>
            <w:r w:rsidRPr="00CB58FC">
              <w:rPr>
                <w:sz w:val="20"/>
                <w:szCs w:val="20"/>
              </w:rPr>
              <w:t>(ii) to work out the amount of resale royalty payable under this Act; and</w:t>
            </w:r>
          </w:p>
          <w:p w14:paraId="6399B74B" w14:textId="77777777" w:rsidR="00DE4C18" w:rsidRPr="00CB58FC" w:rsidRDefault="00DE4C18" w:rsidP="000420E3">
            <w:pPr>
              <w:autoSpaceDE w:val="0"/>
              <w:autoSpaceDN w:val="0"/>
              <w:adjustRightInd w:val="0"/>
              <w:jc w:val="both"/>
              <w:rPr>
                <w:sz w:val="20"/>
                <w:szCs w:val="20"/>
              </w:rPr>
            </w:pPr>
            <w:r w:rsidRPr="00CB58FC">
              <w:rPr>
                <w:sz w:val="20"/>
                <w:szCs w:val="20"/>
              </w:rPr>
              <w:t>(iii) to identify who is liable to pay the resale royalty.</w:t>
            </w:r>
          </w:p>
          <w:p w14:paraId="1B199BAE" w14:textId="77777777" w:rsidR="00DE4C18" w:rsidRPr="00CB58FC" w:rsidRDefault="00DE4C18" w:rsidP="000420E3">
            <w:pPr>
              <w:autoSpaceDE w:val="0"/>
              <w:autoSpaceDN w:val="0"/>
              <w:adjustRightInd w:val="0"/>
              <w:jc w:val="both"/>
              <w:rPr>
                <w:sz w:val="20"/>
                <w:szCs w:val="20"/>
              </w:rPr>
            </w:pPr>
            <w:r w:rsidRPr="00CB58FC">
              <w:rPr>
                <w:sz w:val="20"/>
                <w:szCs w:val="20"/>
              </w:rPr>
              <w:t>(3) The seller may satisfy the requirement to give notice in accordance with this section through an agent.</w:t>
            </w:r>
          </w:p>
          <w:p w14:paraId="4076171C" w14:textId="77777777" w:rsidR="00DE4C18" w:rsidRPr="00CB58FC" w:rsidRDefault="00DE4C18" w:rsidP="000420E3">
            <w:pPr>
              <w:autoSpaceDE w:val="0"/>
              <w:autoSpaceDN w:val="0"/>
              <w:adjustRightInd w:val="0"/>
              <w:jc w:val="both"/>
              <w:rPr>
                <w:sz w:val="20"/>
                <w:szCs w:val="20"/>
              </w:rPr>
            </w:pPr>
            <w:r w:rsidRPr="00CB58FC">
              <w:rPr>
                <w:sz w:val="20"/>
                <w:szCs w:val="20"/>
              </w:rPr>
              <w:t>(4) If:</w:t>
            </w:r>
          </w:p>
          <w:p w14:paraId="0D617028" w14:textId="77777777" w:rsidR="00DE4C18" w:rsidRPr="00CB58FC" w:rsidRDefault="00DE4C18" w:rsidP="000420E3">
            <w:pPr>
              <w:autoSpaceDE w:val="0"/>
              <w:autoSpaceDN w:val="0"/>
              <w:adjustRightInd w:val="0"/>
              <w:jc w:val="both"/>
              <w:rPr>
                <w:sz w:val="20"/>
                <w:szCs w:val="20"/>
              </w:rPr>
            </w:pPr>
            <w:r w:rsidRPr="00CB58FC">
              <w:rPr>
                <w:sz w:val="20"/>
                <w:szCs w:val="20"/>
              </w:rPr>
              <w:t>(a) there is more than one seller under the commercial resale of an artwork; and</w:t>
            </w:r>
          </w:p>
          <w:p w14:paraId="6E185FFB" w14:textId="77777777" w:rsidR="00DE4C18" w:rsidRPr="00CB58FC" w:rsidRDefault="00DE4C18" w:rsidP="000420E3">
            <w:pPr>
              <w:autoSpaceDE w:val="0"/>
              <w:autoSpaceDN w:val="0"/>
              <w:adjustRightInd w:val="0"/>
              <w:jc w:val="both"/>
              <w:rPr>
                <w:sz w:val="20"/>
                <w:szCs w:val="20"/>
              </w:rPr>
            </w:pPr>
            <w:r w:rsidRPr="00CB58FC">
              <w:rPr>
                <w:sz w:val="20"/>
                <w:szCs w:val="20"/>
              </w:rPr>
              <w:t>(b) one of the sellers gives the collecting society notice in accordance with this section;</w:t>
            </w:r>
          </w:p>
          <w:p w14:paraId="38271BE4" w14:textId="77777777" w:rsidR="00DE4C18" w:rsidRPr="00CB58FC" w:rsidRDefault="00DE4C18" w:rsidP="000420E3">
            <w:pPr>
              <w:autoSpaceDE w:val="0"/>
              <w:autoSpaceDN w:val="0"/>
              <w:adjustRightInd w:val="0"/>
              <w:jc w:val="both"/>
              <w:rPr>
                <w:sz w:val="20"/>
                <w:szCs w:val="20"/>
              </w:rPr>
            </w:pPr>
            <w:r w:rsidRPr="00CB58FC">
              <w:rPr>
                <w:sz w:val="20"/>
                <w:szCs w:val="20"/>
              </w:rPr>
              <w:lastRenderedPageBreak/>
              <w:t>then all of the sellers are taken to have given the collecting society notice in accordance with this section.</w:t>
            </w:r>
          </w:p>
          <w:p w14:paraId="4F65CF78" w14:textId="77777777" w:rsidR="00DE4C18" w:rsidRPr="00CB58FC" w:rsidRDefault="00DE4C18" w:rsidP="000420E3">
            <w:pPr>
              <w:autoSpaceDE w:val="0"/>
              <w:autoSpaceDN w:val="0"/>
              <w:adjustRightInd w:val="0"/>
              <w:jc w:val="both"/>
              <w:rPr>
                <w:sz w:val="20"/>
                <w:szCs w:val="20"/>
              </w:rPr>
            </w:pPr>
            <w:r w:rsidRPr="00CB58FC">
              <w:rPr>
                <w:sz w:val="20"/>
                <w:szCs w:val="20"/>
              </w:rPr>
              <w:t>(5) A person who wishes to rely on subsection (3) or (4) bears an evidential burden in relation to those matters.</w:t>
            </w:r>
          </w:p>
          <w:p w14:paraId="0FD5200A" w14:textId="77777777" w:rsidR="00DE4C18" w:rsidRPr="00CB58FC" w:rsidRDefault="00DE4C18" w:rsidP="000420E3">
            <w:pPr>
              <w:pStyle w:val="HTMLPreformatted"/>
              <w:shd w:val="clear" w:color="auto" w:fill="F8F9FA"/>
              <w:rPr>
                <w:rStyle w:val="y2iqfc"/>
                <w:rFonts w:ascii="Arial" w:eastAsia="SimSun" w:hAnsi="Arial" w:cs="Arial"/>
                <w:szCs w:val="20"/>
                <w:lang w:val="en"/>
              </w:rPr>
            </w:pPr>
          </w:p>
          <w:p w14:paraId="7E3AD341" w14:textId="77777777" w:rsidR="00DE4C18" w:rsidRPr="00CB58FC" w:rsidRDefault="00DE4C18" w:rsidP="000420E3">
            <w:pPr>
              <w:autoSpaceDE w:val="0"/>
              <w:autoSpaceDN w:val="0"/>
              <w:adjustRightInd w:val="0"/>
              <w:jc w:val="both"/>
              <w:rPr>
                <w:b/>
                <w:bCs/>
                <w:sz w:val="20"/>
                <w:szCs w:val="20"/>
              </w:rPr>
            </w:pPr>
            <w:r w:rsidRPr="00CB58FC">
              <w:rPr>
                <w:b/>
                <w:bCs/>
                <w:sz w:val="20"/>
                <w:szCs w:val="20"/>
              </w:rPr>
              <w:t>29 Requesting information about the commercial resale of an artwork</w:t>
            </w:r>
          </w:p>
          <w:p w14:paraId="31C76A96" w14:textId="77777777" w:rsidR="00DE4C18" w:rsidRPr="00CB58FC" w:rsidRDefault="00DE4C18" w:rsidP="000420E3">
            <w:pPr>
              <w:autoSpaceDE w:val="0"/>
              <w:autoSpaceDN w:val="0"/>
              <w:adjustRightInd w:val="0"/>
              <w:jc w:val="both"/>
              <w:rPr>
                <w:sz w:val="20"/>
                <w:szCs w:val="20"/>
              </w:rPr>
            </w:pPr>
            <w:r w:rsidRPr="00CB58FC">
              <w:rPr>
                <w:sz w:val="20"/>
                <w:szCs w:val="20"/>
              </w:rPr>
              <w:t>(1) If the collecting society believes on reasonable grounds that a person is:</w:t>
            </w:r>
          </w:p>
          <w:p w14:paraId="4A50CDA4" w14:textId="77777777" w:rsidR="00DE4C18" w:rsidRPr="00CB58FC" w:rsidRDefault="00DE4C18" w:rsidP="000420E3">
            <w:pPr>
              <w:autoSpaceDE w:val="0"/>
              <w:autoSpaceDN w:val="0"/>
              <w:adjustRightInd w:val="0"/>
              <w:jc w:val="both"/>
              <w:rPr>
                <w:sz w:val="20"/>
                <w:szCs w:val="20"/>
              </w:rPr>
            </w:pPr>
            <w:r w:rsidRPr="00CB58FC">
              <w:rPr>
                <w:sz w:val="20"/>
                <w:szCs w:val="20"/>
              </w:rPr>
              <w:t>(a) a seller under a commercial resale of an artwork; or</w:t>
            </w:r>
          </w:p>
          <w:p w14:paraId="18EDDB8E" w14:textId="77777777" w:rsidR="00DE4C18" w:rsidRPr="00CB58FC" w:rsidRDefault="00DE4C18" w:rsidP="000420E3">
            <w:pPr>
              <w:autoSpaceDE w:val="0"/>
              <w:autoSpaceDN w:val="0"/>
              <w:adjustRightInd w:val="0"/>
              <w:jc w:val="both"/>
              <w:rPr>
                <w:sz w:val="20"/>
                <w:szCs w:val="20"/>
              </w:rPr>
            </w:pPr>
            <w:r w:rsidRPr="00CB58FC">
              <w:rPr>
                <w:sz w:val="20"/>
                <w:szCs w:val="20"/>
              </w:rPr>
              <w:t>(b) a buyer under a commercial resale of an artwork; or</w:t>
            </w:r>
          </w:p>
          <w:p w14:paraId="780C9B4B" w14:textId="77777777" w:rsidR="00DE4C18" w:rsidRPr="00CB58FC" w:rsidRDefault="00DE4C18" w:rsidP="000420E3">
            <w:pPr>
              <w:autoSpaceDE w:val="0"/>
              <w:autoSpaceDN w:val="0"/>
              <w:adjustRightInd w:val="0"/>
              <w:jc w:val="both"/>
              <w:rPr>
                <w:sz w:val="20"/>
                <w:szCs w:val="20"/>
              </w:rPr>
            </w:pPr>
            <w:r w:rsidRPr="00CB58FC">
              <w:rPr>
                <w:sz w:val="20"/>
                <w:szCs w:val="20"/>
              </w:rPr>
              <w:t>(c) an agent of a seller or buyer under a commercial resale of an artwork; or</w:t>
            </w:r>
          </w:p>
          <w:p w14:paraId="16AE7BBE" w14:textId="77777777" w:rsidR="00DE4C18" w:rsidRPr="00CB58FC" w:rsidRDefault="00DE4C18" w:rsidP="000420E3">
            <w:pPr>
              <w:autoSpaceDE w:val="0"/>
              <w:autoSpaceDN w:val="0"/>
              <w:adjustRightInd w:val="0"/>
              <w:jc w:val="both"/>
              <w:rPr>
                <w:sz w:val="20"/>
                <w:szCs w:val="20"/>
              </w:rPr>
            </w:pPr>
            <w:r w:rsidRPr="00CB58FC">
              <w:rPr>
                <w:sz w:val="20"/>
                <w:szCs w:val="20"/>
              </w:rPr>
              <w:t>(d) an art market professional otherwise involved in a commercial resale of an artwork;</w:t>
            </w:r>
          </w:p>
          <w:p w14:paraId="3ECDE64A" w14:textId="77777777" w:rsidR="00DE4C18" w:rsidRPr="00CB58FC" w:rsidRDefault="00DE4C18" w:rsidP="000420E3">
            <w:pPr>
              <w:autoSpaceDE w:val="0"/>
              <w:autoSpaceDN w:val="0"/>
              <w:adjustRightInd w:val="0"/>
              <w:jc w:val="both"/>
              <w:rPr>
                <w:sz w:val="20"/>
                <w:szCs w:val="20"/>
              </w:rPr>
            </w:pPr>
            <w:r w:rsidRPr="00CB58FC">
              <w:rPr>
                <w:sz w:val="20"/>
                <w:szCs w:val="20"/>
              </w:rPr>
              <w:t>the collecting society may, in writing, request the person to give the collecting society information in relation to the commercial resale relevant to determining:</w:t>
            </w:r>
          </w:p>
          <w:p w14:paraId="7C087C8C" w14:textId="77777777" w:rsidR="00DE4C18" w:rsidRPr="00CB58FC" w:rsidRDefault="00DE4C18" w:rsidP="000420E3">
            <w:pPr>
              <w:autoSpaceDE w:val="0"/>
              <w:autoSpaceDN w:val="0"/>
              <w:adjustRightInd w:val="0"/>
              <w:jc w:val="both"/>
              <w:rPr>
                <w:sz w:val="20"/>
                <w:szCs w:val="20"/>
              </w:rPr>
            </w:pPr>
            <w:r w:rsidRPr="00CB58FC">
              <w:rPr>
                <w:sz w:val="20"/>
                <w:szCs w:val="20"/>
              </w:rPr>
              <w:t>(e) the amount of any resale royalty payable on the commercial resale under this Act; and</w:t>
            </w:r>
          </w:p>
          <w:p w14:paraId="6C9EF4A0" w14:textId="77777777" w:rsidR="00DE4C18" w:rsidRPr="00CB58FC" w:rsidRDefault="00DE4C18" w:rsidP="000420E3">
            <w:pPr>
              <w:autoSpaceDE w:val="0"/>
              <w:autoSpaceDN w:val="0"/>
              <w:adjustRightInd w:val="0"/>
              <w:jc w:val="both"/>
              <w:rPr>
                <w:sz w:val="20"/>
                <w:szCs w:val="20"/>
              </w:rPr>
            </w:pPr>
            <w:r w:rsidRPr="00CB58FC">
              <w:rPr>
                <w:sz w:val="20"/>
                <w:szCs w:val="20"/>
              </w:rPr>
              <w:t>(f) who is liable to make the payment.</w:t>
            </w:r>
          </w:p>
          <w:p w14:paraId="291BA260" w14:textId="77777777" w:rsidR="00DE4C18" w:rsidRPr="00CB58FC" w:rsidRDefault="00DE4C18" w:rsidP="000420E3">
            <w:pPr>
              <w:autoSpaceDE w:val="0"/>
              <w:autoSpaceDN w:val="0"/>
              <w:adjustRightInd w:val="0"/>
              <w:jc w:val="both"/>
              <w:rPr>
                <w:sz w:val="20"/>
                <w:szCs w:val="20"/>
              </w:rPr>
            </w:pPr>
            <w:r w:rsidRPr="00CB58FC">
              <w:rPr>
                <w:sz w:val="20"/>
                <w:szCs w:val="20"/>
              </w:rPr>
              <w:t>(2) If:</w:t>
            </w:r>
          </w:p>
          <w:p w14:paraId="24310748" w14:textId="77777777" w:rsidR="00DE4C18" w:rsidRPr="00CB58FC" w:rsidRDefault="00DE4C18" w:rsidP="000420E3">
            <w:pPr>
              <w:autoSpaceDE w:val="0"/>
              <w:autoSpaceDN w:val="0"/>
              <w:adjustRightInd w:val="0"/>
              <w:jc w:val="both"/>
              <w:rPr>
                <w:sz w:val="20"/>
                <w:szCs w:val="20"/>
              </w:rPr>
            </w:pPr>
            <w:r w:rsidRPr="00CB58FC">
              <w:rPr>
                <w:sz w:val="20"/>
                <w:szCs w:val="20"/>
              </w:rPr>
              <w:t>(a) a request is made to a person in accordance with</w:t>
            </w:r>
          </w:p>
          <w:p w14:paraId="07F116CC" w14:textId="77777777" w:rsidR="00DE4C18" w:rsidRPr="00CB58FC" w:rsidRDefault="00DE4C18" w:rsidP="000420E3">
            <w:pPr>
              <w:autoSpaceDE w:val="0"/>
              <w:autoSpaceDN w:val="0"/>
              <w:adjustRightInd w:val="0"/>
              <w:jc w:val="both"/>
              <w:rPr>
                <w:sz w:val="20"/>
                <w:szCs w:val="20"/>
              </w:rPr>
            </w:pPr>
            <w:r w:rsidRPr="00CB58FC">
              <w:rPr>
                <w:sz w:val="20"/>
                <w:szCs w:val="20"/>
              </w:rPr>
              <w:t>subsection (1); and</w:t>
            </w:r>
          </w:p>
          <w:p w14:paraId="47044815" w14:textId="77777777" w:rsidR="00DE4C18" w:rsidRPr="00CB58FC" w:rsidRDefault="00DE4C18" w:rsidP="000420E3">
            <w:pPr>
              <w:autoSpaceDE w:val="0"/>
              <w:autoSpaceDN w:val="0"/>
              <w:adjustRightInd w:val="0"/>
              <w:jc w:val="both"/>
              <w:rPr>
                <w:sz w:val="20"/>
                <w:szCs w:val="20"/>
              </w:rPr>
            </w:pPr>
            <w:r w:rsidRPr="00CB58FC">
              <w:rPr>
                <w:sz w:val="20"/>
                <w:szCs w:val="20"/>
              </w:rPr>
              <w:t>(b) the commercial resale in relation to which the request was made occurred within 6 years before the request was made;</w:t>
            </w:r>
          </w:p>
          <w:p w14:paraId="0A4E1B68" w14:textId="77777777" w:rsidR="00DE4C18" w:rsidRPr="00CB58FC" w:rsidRDefault="00DE4C18" w:rsidP="000420E3">
            <w:pPr>
              <w:autoSpaceDE w:val="0"/>
              <w:autoSpaceDN w:val="0"/>
              <w:adjustRightInd w:val="0"/>
              <w:jc w:val="both"/>
              <w:rPr>
                <w:sz w:val="20"/>
                <w:szCs w:val="20"/>
              </w:rPr>
            </w:pPr>
            <w:r w:rsidRPr="00CB58FC">
              <w:rPr>
                <w:sz w:val="20"/>
                <w:szCs w:val="20"/>
              </w:rPr>
              <w:t>the person must comply with the request within 90 days after it is given.</w:t>
            </w:r>
          </w:p>
          <w:p w14:paraId="717E2D16" w14:textId="77777777" w:rsidR="00DE4C18" w:rsidRPr="00CB58FC" w:rsidRDefault="00DE4C18" w:rsidP="000420E3">
            <w:pPr>
              <w:autoSpaceDE w:val="0"/>
              <w:autoSpaceDN w:val="0"/>
              <w:adjustRightInd w:val="0"/>
              <w:jc w:val="both"/>
              <w:rPr>
                <w:i/>
                <w:iCs/>
                <w:sz w:val="20"/>
                <w:szCs w:val="20"/>
              </w:rPr>
            </w:pPr>
            <w:r w:rsidRPr="00CB58FC">
              <w:rPr>
                <w:i/>
                <w:iCs/>
                <w:sz w:val="20"/>
                <w:szCs w:val="20"/>
              </w:rPr>
              <w:t>Civil penalty:</w:t>
            </w:r>
          </w:p>
          <w:p w14:paraId="109489B3" w14:textId="77777777" w:rsidR="00DE4C18" w:rsidRPr="00CB58FC" w:rsidRDefault="00DE4C18" w:rsidP="000420E3">
            <w:pPr>
              <w:autoSpaceDE w:val="0"/>
              <w:autoSpaceDN w:val="0"/>
              <w:adjustRightInd w:val="0"/>
              <w:jc w:val="both"/>
              <w:rPr>
                <w:sz w:val="20"/>
                <w:szCs w:val="20"/>
              </w:rPr>
            </w:pPr>
            <w:r w:rsidRPr="00CB58FC">
              <w:rPr>
                <w:sz w:val="20"/>
                <w:szCs w:val="20"/>
              </w:rPr>
              <w:t>(a) for an individual—100 penalty units;</w:t>
            </w:r>
          </w:p>
          <w:p w14:paraId="2D73504D" w14:textId="77777777" w:rsidR="00DE4C18" w:rsidRPr="00CB58FC" w:rsidRDefault="00DE4C18" w:rsidP="000420E3">
            <w:pPr>
              <w:jc w:val="both"/>
              <w:rPr>
                <w:sz w:val="20"/>
                <w:szCs w:val="20"/>
              </w:rPr>
            </w:pPr>
            <w:r w:rsidRPr="00CB58FC">
              <w:rPr>
                <w:sz w:val="20"/>
                <w:szCs w:val="20"/>
              </w:rPr>
              <w:t>(b) for a body corporate—500 penalty units.</w:t>
            </w:r>
          </w:p>
        </w:tc>
        <w:tc>
          <w:tcPr>
            <w:tcW w:w="3004" w:type="dxa"/>
          </w:tcPr>
          <w:p w14:paraId="3BDC5D42" w14:textId="56BE916D" w:rsidR="00DE4C18" w:rsidRPr="00CB58FC" w:rsidRDefault="00DE4C18" w:rsidP="00DE4C18">
            <w:pPr>
              <w:pStyle w:val="ListParagraph"/>
              <w:numPr>
                <w:ilvl w:val="0"/>
                <w:numId w:val="29"/>
              </w:numPr>
              <w:spacing w:after="0"/>
              <w:rPr>
                <w:rFonts w:cs="Arial"/>
                <w:sz w:val="20"/>
                <w:szCs w:val="20"/>
              </w:rPr>
            </w:pPr>
            <w:r w:rsidRPr="00CB58FC">
              <w:rPr>
                <w:rFonts w:cs="Arial"/>
                <w:sz w:val="20"/>
                <w:szCs w:val="20"/>
              </w:rPr>
              <w:lastRenderedPageBreak/>
              <w:t>Details obligation to give notice of resale to CMO and the parties by whom this must be given</w:t>
            </w:r>
            <w:r w:rsidR="00A56C54" w:rsidRPr="00CB58FC">
              <w:rPr>
                <w:rFonts w:cs="Arial"/>
                <w:sz w:val="20"/>
                <w:szCs w:val="20"/>
              </w:rPr>
              <w:t xml:space="preserve"> (the seller, being an Australian citizen or resident or corporation).</w:t>
            </w:r>
          </w:p>
          <w:p w14:paraId="18707C4D" w14:textId="59FEE55D" w:rsidR="00A56C54" w:rsidRPr="00CB58FC" w:rsidRDefault="00A56C54" w:rsidP="00DE4C18">
            <w:pPr>
              <w:pStyle w:val="ListParagraph"/>
              <w:numPr>
                <w:ilvl w:val="0"/>
                <w:numId w:val="29"/>
              </w:numPr>
              <w:spacing w:after="0"/>
              <w:rPr>
                <w:rFonts w:cs="Arial"/>
                <w:sz w:val="20"/>
                <w:szCs w:val="20"/>
              </w:rPr>
            </w:pPr>
            <w:r w:rsidRPr="00CB58FC">
              <w:rPr>
                <w:rFonts w:cs="Arial"/>
                <w:sz w:val="20"/>
                <w:szCs w:val="20"/>
              </w:rPr>
              <w:t xml:space="preserve">May be done through an agent, presumably an art market professional, but the obligation still rests on the seller. </w:t>
            </w:r>
          </w:p>
          <w:p w14:paraId="0FF28B2A" w14:textId="65FA1D14" w:rsidR="00DE4C18" w:rsidRPr="00CB58FC" w:rsidRDefault="00DE4C18" w:rsidP="00DE4C18">
            <w:pPr>
              <w:pStyle w:val="ListParagraph"/>
              <w:numPr>
                <w:ilvl w:val="0"/>
                <w:numId w:val="29"/>
              </w:numPr>
              <w:spacing w:after="0"/>
              <w:rPr>
                <w:rFonts w:cs="Arial"/>
                <w:sz w:val="20"/>
                <w:szCs w:val="20"/>
              </w:rPr>
            </w:pPr>
            <w:r w:rsidRPr="00CB58FC">
              <w:rPr>
                <w:rFonts w:cs="Arial"/>
                <w:sz w:val="20"/>
                <w:szCs w:val="20"/>
              </w:rPr>
              <w:t>Backed up by fines (‘civil penalties’)</w:t>
            </w:r>
            <w:r w:rsidR="00A56C54" w:rsidRPr="00CB58FC">
              <w:rPr>
                <w:rFonts w:cs="Arial"/>
                <w:sz w:val="20"/>
                <w:szCs w:val="20"/>
              </w:rPr>
              <w:t>.</w:t>
            </w:r>
          </w:p>
          <w:p w14:paraId="66D18A18" w14:textId="1C7CE07E" w:rsidR="00DE4C18" w:rsidRPr="00CB58FC" w:rsidRDefault="00DE4C18" w:rsidP="00DE4C18">
            <w:pPr>
              <w:pStyle w:val="ListParagraph"/>
              <w:numPr>
                <w:ilvl w:val="0"/>
                <w:numId w:val="29"/>
              </w:numPr>
              <w:spacing w:after="0"/>
              <w:rPr>
                <w:rFonts w:cs="Arial"/>
                <w:sz w:val="18"/>
                <w:szCs w:val="18"/>
              </w:rPr>
            </w:pPr>
            <w:r w:rsidRPr="00CB58FC">
              <w:rPr>
                <w:rFonts w:cs="Arial"/>
                <w:sz w:val="20"/>
                <w:szCs w:val="20"/>
              </w:rPr>
              <w:t xml:space="preserve">Power for CMO to request information </w:t>
            </w:r>
            <w:r w:rsidR="003752F5" w:rsidRPr="00CB58FC">
              <w:rPr>
                <w:rFonts w:cs="Arial"/>
                <w:sz w:val="20"/>
                <w:szCs w:val="20"/>
              </w:rPr>
              <w:t>concerning resales</w:t>
            </w:r>
            <w:r w:rsidRPr="00CB58FC">
              <w:rPr>
                <w:rFonts w:cs="Arial"/>
                <w:sz w:val="18"/>
                <w:szCs w:val="18"/>
              </w:rPr>
              <w:t xml:space="preserve">.  </w:t>
            </w:r>
          </w:p>
        </w:tc>
      </w:tr>
      <w:tr w:rsidR="00DE4C18" w:rsidRPr="00CB58FC" w14:paraId="41548B9D" w14:textId="77777777" w:rsidTr="000420E3">
        <w:tc>
          <w:tcPr>
            <w:tcW w:w="3003" w:type="dxa"/>
          </w:tcPr>
          <w:p w14:paraId="48CA5171" w14:textId="77777777" w:rsidR="00DE4C18" w:rsidRPr="00CB58FC" w:rsidRDefault="00DE4C18" w:rsidP="000420E3">
            <w:r w:rsidRPr="00CB58FC">
              <w:rPr>
                <w:sz w:val="20"/>
                <w:szCs w:val="20"/>
              </w:rPr>
              <w:lastRenderedPageBreak/>
              <w:t>Latvia</w:t>
            </w:r>
            <w:r w:rsidRPr="00CB58FC">
              <w:rPr>
                <w:rStyle w:val="FootnoteReference"/>
                <w:sz w:val="20"/>
                <w:szCs w:val="20"/>
              </w:rPr>
              <w:footnoteReference w:id="60"/>
            </w:r>
          </w:p>
        </w:tc>
        <w:tc>
          <w:tcPr>
            <w:tcW w:w="3003" w:type="dxa"/>
          </w:tcPr>
          <w:p w14:paraId="14A341BB" w14:textId="07DD1DEE" w:rsidR="00DE4C18" w:rsidRPr="00CB58FC" w:rsidRDefault="00DE4C18" w:rsidP="000420E3">
            <w:pPr>
              <w:jc w:val="both"/>
              <w:rPr>
                <w:sz w:val="20"/>
                <w:szCs w:val="20"/>
              </w:rPr>
            </w:pPr>
            <w:r w:rsidRPr="00CB58FC">
              <w:rPr>
                <w:sz w:val="20"/>
                <w:szCs w:val="20"/>
              </w:rPr>
              <w:t xml:space="preserve">(6) On the basis of a request from a collective management </w:t>
            </w:r>
            <w:r w:rsidR="008E1C00" w:rsidRPr="00CB58FC">
              <w:rPr>
                <w:sz w:val="20"/>
                <w:szCs w:val="20"/>
              </w:rPr>
              <w:t>organization</w:t>
            </w:r>
            <w:r w:rsidRPr="00CB58FC">
              <w:rPr>
                <w:sz w:val="20"/>
                <w:szCs w:val="20"/>
              </w:rPr>
              <w:t xml:space="preserve"> managing these rights, the seller (also store, gallery, salon, etc.) has a duty to provide the information which is necessary in order to ensure management of the remuneration. Such a request may be made within three years after the sale of the original work of visual art.</w:t>
            </w:r>
          </w:p>
        </w:tc>
        <w:tc>
          <w:tcPr>
            <w:tcW w:w="3004" w:type="dxa"/>
          </w:tcPr>
          <w:p w14:paraId="561D6911" w14:textId="77777777" w:rsidR="00DE4C18" w:rsidRPr="00CB58FC" w:rsidRDefault="00DE4C18" w:rsidP="000420E3">
            <w:pPr>
              <w:rPr>
                <w:sz w:val="20"/>
                <w:szCs w:val="20"/>
              </w:rPr>
            </w:pPr>
            <w:r w:rsidRPr="00CB58FC">
              <w:rPr>
                <w:sz w:val="20"/>
                <w:szCs w:val="20"/>
              </w:rPr>
              <w:t>Imposes duty on seller (and AMP) to report resale within specified time limit.</w:t>
            </w:r>
          </w:p>
        </w:tc>
      </w:tr>
      <w:tr w:rsidR="00DE4C18" w:rsidRPr="00CB58FC" w14:paraId="720E660B" w14:textId="77777777" w:rsidTr="000420E3">
        <w:tc>
          <w:tcPr>
            <w:tcW w:w="3003" w:type="dxa"/>
          </w:tcPr>
          <w:p w14:paraId="637CE917" w14:textId="77777777" w:rsidR="00DE4C18" w:rsidRPr="00CB58FC" w:rsidRDefault="00DE4C18" w:rsidP="000420E3">
            <w:r w:rsidRPr="00CB58FC">
              <w:rPr>
                <w:sz w:val="20"/>
              </w:rPr>
              <w:t>Denmark</w:t>
            </w:r>
            <w:r w:rsidRPr="00CB58FC">
              <w:rPr>
                <w:rStyle w:val="FootnoteReference"/>
                <w:sz w:val="20"/>
              </w:rPr>
              <w:footnoteReference w:id="61"/>
            </w:r>
          </w:p>
        </w:tc>
        <w:tc>
          <w:tcPr>
            <w:tcW w:w="3003" w:type="dxa"/>
          </w:tcPr>
          <w:p w14:paraId="4A06F624" w14:textId="77777777" w:rsidR="00DE4C18" w:rsidRPr="00CB58FC" w:rsidRDefault="00DE4C18" w:rsidP="000420E3">
            <w:pPr>
              <w:jc w:val="both"/>
              <w:rPr>
                <w:sz w:val="20"/>
                <w:szCs w:val="20"/>
              </w:rPr>
            </w:pPr>
            <w:r w:rsidRPr="00CB58FC">
              <w:rPr>
                <w:sz w:val="20"/>
                <w:szCs w:val="20"/>
              </w:rPr>
              <w:t xml:space="preserve">(7) The seller or agent, cf. the second sentence in subsection (2), shall </w:t>
            </w:r>
          </w:p>
          <w:p w14:paraId="081D944E" w14:textId="7ECF0F18" w:rsidR="00DE4C18" w:rsidRPr="00CB58FC" w:rsidRDefault="00DE4C18" w:rsidP="000420E3">
            <w:pPr>
              <w:jc w:val="both"/>
              <w:rPr>
                <w:sz w:val="20"/>
                <w:szCs w:val="20"/>
              </w:rPr>
            </w:pPr>
            <w:r w:rsidRPr="00CB58FC">
              <w:rPr>
                <w:sz w:val="20"/>
                <w:szCs w:val="20"/>
              </w:rPr>
              <w:t xml:space="preserve">(i) submit an annual statement to the </w:t>
            </w:r>
            <w:r w:rsidR="008E1C00" w:rsidRPr="00CB58FC">
              <w:rPr>
                <w:sz w:val="20"/>
                <w:szCs w:val="20"/>
              </w:rPr>
              <w:t>organization</w:t>
            </w:r>
            <w:r w:rsidRPr="00CB58FC">
              <w:rPr>
                <w:sz w:val="20"/>
                <w:szCs w:val="20"/>
              </w:rPr>
              <w:t xml:space="preserve"> as at 1 June specifying the previous year’s sales of works of art that are covered by the resale right scheme, cf. subsections (1) and (2), attested by an </w:t>
            </w:r>
            <w:r w:rsidR="008E1C00" w:rsidRPr="00CB58FC">
              <w:rPr>
                <w:sz w:val="20"/>
                <w:szCs w:val="20"/>
              </w:rPr>
              <w:t>authorized</w:t>
            </w:r>
            <w:r w:rsidRPr="00CB58FC">
              <w:rPr>
                <w:sz w:val="20"/>
                <w:szCs w:val="20"/>
              </w:rPr>
              <w:t xml:space="preserve"> public accountant or a registered auditor and</w:t>
            </w:r>
          </w:p>
          <w:p w14:paraId="71CF23EA" w14:textId="3CAFA0A8" w:rsidR="00DE4C18" w:rsidRPr="00CB58FC" w:rsidRDefault="00DE4C18" w:rsidP="000420E3">
            <w:pPr>
              <w:jc w:val="both"/>
              <w:rPr>
                <w:i/>
                <w:iCs/>
                <w:sz w:val="20"/>
                <w:szCs w:val="20"/>
              </w:rPr>
            </w:pPr>
            <w:r w:rsidRPr="00CB58FC">
              <w:rPr>
                <w:sz w:val="20"/>
                <w:szCs w:val="20"/>
              </w:rPr>
              <w:t xml:space="preserve"> (ii) at the </w:t>
            </w:r>
            <w:r w:rsidR="008E1C00" w:rsidRPr="00CB58FC">
              <w:rPr>
                <w:sz w:val="20"/>
                <w:szCs w:val="20"/>
              </w:rPr>
              <w:t>organization’s</w:t>
            </w:r>
            <w:r w:rsidRPr="00CB58FC">
              <w:rPr>
                <w:sz w:val="20"/>
                <w:szCs w:val="20"/>
              </w:rPr>
              <w:t xml:space="preserve"> request and within four weeks of receipt of the request to submit all of the information necessary to secure payment of remuneration when the </w:t>
            </w:r>
            <w:r w:rsidR="008E1C00" w:rsidRPr="00CB58FC">
              <w:rPr>
                <w:sz w:val="20"/>
                <w:szCs w:val="20"/>
              </w:rPr>
              <w:t>organization</w:t>
            </w:r>
            <w:r w:rsidRPr="00CB58FC">
              <w:rPr>
                <w:sz w:val="20"/>
                <w:szCs w:val="20"/>
              </w:rPr>
              <w:t xml:space="preserve"> requests this within three years of the resale</w:t>
            </w:r>
            <w:r w:rsidRPr="00CB58FC">
              <w:rPr>
                <w:i/>
                <w:iCs/>
                <w:sz w:val="20"/>
                <w:szCs w:val="20"/>
              </w:rPr>
              <w:t xml:space="preserve">  </w:t>
            </w:r>
          </w:p>
          <w:p w14:paraId="32A1AEF6" w14:textId="77777777" w:rsidR="00DE4C18" w:rsidRPr="00CB58FC" w:rsidRDefault="00DE4C18" w:rsidP="000420E3">
            <w:pPr>
              <w:rPr>
                <w:sz w:val="20"/>
                <w:szCs w:val="20"/>
              </w:rPr>
            </w:pPr>
          </w:p>
          <w:p w14:paraId="7FC1DD05" w14:textId="77777777" w:rsidR="00DE4C18" w:rsidRPr="00CB58FC" w:rsidRDefault="00DE4C18" w:rsidP="000420E3">
            <w:r w:rsidRPr="00CB58FC">
              <w:rPr>
                <w:sz w:val="20"/>
                <w:szCs w:val="20"/>
              </w:rPr>
              <w:t>Failure to submit the information is punishable by fine cf. the Danish copyright act art. 76(1)(iv).</w:t>
            </w:r>
          </w:p>
        </w:tc>
        <w:tc>
          <w:tcPr>
            <w:tcW w:w="3004" w:type="dxa"/>
          </w:tcPr>
          <w:p w14:paraId="4B48F7DC" w14:textId="77777777" w:rsidR="00DE4C18" w:rsidRPr="00CB58FC" w:rsidRDefault="00DE4C18" w:rsidP="00DE4C18">
            <w:pPr>
              <w:pStyle w:val="ListParagraph"/>
              <w:numPr>
                <w:ilvl w:val="0"/>
                <w:numId w:val="30"/>
              </w:numPr>
              <w:spacing w:after="0"/>
              <w:rPr>
                <w:sz w:val="20"/>
                <w:szCs w:val="20"/>
              </w:rPr>
            </w:pPr>
            <w:r w:rsidRPr="00CB58FC">
              <w:rPr>
                <w:sz w:val="20"/>
                <w:szCs w:val="20"/>
              </w:rPr>
              <w:t xml:space="preserve">This sets out obligations of sellers or AMPs to report eligible sales to CMO (VISDA). </w:t>
            </w:r>
          </w:p>
          <w:p w14:paraId="49599441" w14:textId="77777777" w:rsidR="00DE4C18" w:rsidRPr="00CB58FC" w:rsidRDefault="00DE4C18" w:rsidP="00DE4C18">
            <w:pPr>
              <w:pStyle w:val="ListParagraph"/>
              <w:numPr>
                <w:ilvl w:val="0"/>
                <w:numId w:val="30"/>
              </w:numPr>
              <w:spacing w:after="0"/>
              <w:rPr>
                <w:sz w:val="20"/>
                <w:szCs w:val="20"/>
              </w:rPr>
            </w:pPr>
            <w:r w:rsidRPr="00CB58FC">
              <w:rPr>
                <w:sz w:val="20"/>
                <w:szCs w:val="20"/>
              </w:rPr>
              <w:t>Fines for failure to submit this information.</w:t>
            </w:r>
          </w:p>
          <w:p w14:paraId="0C995995" w14:textId="77777777" w:rsidR="00DE4C18" w:rsidRPr="00CB58FC" w:rsidRDefault="00DE4C18" w:rsidP="000420E3"/>
        </w:tc>
      </w:tr>
      <w:tr w:rsidR="00DE4C18" w:rsidRPr="00CB58FC" w14:paraId="315A46BC" w14:textId="77777777" w:rsidTr="000420E3">
        <w:tc>
          <w:tcPr>
            <w:tcW w:w="3003" w:type="dxa"/>
          </w:tcPr>
          <w:p w14:paraId="2D6DA7B0" w14:textId="77777777" w:rsidR="00DE4C18" w:rsidRPr="00CB58FC" w:rsidRDefault="00DE4C18" w:rsidP="000420E3">
            <w:r w:rsidRPr="00CB58FC">
              <w:rPr>
                <w:sz w:val="20"/>
              </w:rPr>
              <w:t>Sweden</w:t>
            </w:r>
            <w:r w:rsidRPr="00CB58FC">
              <w:rPr>
                <w:rStyle w:val="FootnoteReference"/>
                <w:sz w:val="20"/>
              </w:rPr>
              <w:footnoteReference w:id="62"/>
            </w:r>
          </w:p>
        </w:tc>
        <w:tc>
          <w:tcPr>
            <w:tcW w:w="3003" w:type="dxa"/>
          </w:tcPr>
          <w:p w14:paraId="62C6CFCB" w14:textId="77777777" w:rsidR="00DE4C18" w:rsidRPr="00CB58FC" w:rsidRDefault="00DE4C18" w:rsidP="000420E3">
            <w:pPr>
              <w:jc w:val="both"/>
            </w:pPr>
            <w:r w:rsidRPr="00CB58FC">
              <w:rPr>
                <w:rFonts w:eastAsia="Times New Roman"/>
                <w:color w:val="000000"/>
                <w:sz w:val="20"/>
                <w:szCs w:val="20"/>
                <w:lang w:val="en-GB" w:eastAsia="fr-CH"/>
              </w:rPr>
              <w:t>Anyone who, in a professional capacity, is active in the art market as a seller, an intermediary or a buyer shall at the latest on April 1 give an account to the organisation of the sales giving rise to remuneration which have been made during the immediately preceding calendar year. For each sale, information shall be provided about the author, the work, the sales price and the date of the sale. An account shall be given also if no sales giving rise to remuneration have been made.</w:t>
            </w:r>
          </w:p>
        </w:tc>
        <w:tc>
          <w:tcPr>
            <w:tcW w:w="3004" w:type="dxa"/>
          </w:tcPr>
          <w:p w14:paraId="001E9C2E" w14:textId="218D3216" w:rsidR="00DE4C18" w:rsidRPr="00CB58FC" w:rsidRDefault="00DE4C18" w:rsidP="00DE4C18">
            <w:pPr>
              <w:pStyle w:val="ListParagraph"/>
              <w:numPr>
                <w:ilvl w:val="0"/>
                <w:numId w:val="31"/>
              </w:numPr>
              <w:spacing w:after="0"/>
              <w:jc w:val="left"/>
              <w:rPr>
                <w:rFonts w:cs="Arial"/>
                <w:sz w:val="20"/>
                <w:szCs w:val="20"/>
              </w:rPr>
            </w:pPr>
            <w:r w:rsidRPr="00CB58FC">
              <w:rPr>
                <w:rFonts w:cs="Arial"/>
                <w:sz w:val="20"/>
                <w:szCs w:val="20"/>
              </w:rPr>
              <w:t>Sets out obligation of AMP to account for resales.</w:t>
            </w:r>
          </w:p>
        </w:tc>
      </w:tr>
      <w:tr w:rsidR="00DE4C18" w:rsidRPr="00CB58FC" w14:paraId="2817C26F" w14:textId="77777777" w:rsidTr="000420E3">
        <w:tc>
          <w:tcPr>
            <w:tcW w:w="3003" w:type="dxa"/>
          </w:tcPr>
          <w:p w14:paraId="6F5872B6" w14:textId="77777777" w:rsidR="00DE4C18" w:rsidRPr="00CB58FC" w:rsidRDefault="00DE4C18" w:rsidP="000420E3">
            <w:r w:rsidRPr="00CB58FC">
              <w:rPr>
                <w:sz w:val="20"/>
                <w:szCs w:val="20"/>
              </w:rPr>
              <w:lastRenderedPageBreak/>
              <w:t>UK</w:t>
            </w:r>
            <w:r w:rsidRPr="00CB58FC">
              <w:rPr>
                <w:rStyle w:val="FootnoteReference"/>
                <w:sz w:val="20"/>
                <w:szCs w:val="20"/>
              </w:rPr>
              <w:footnoteReference w:id="63"/>
            </w:r>
          </w:p>
        </w:tc>
        <w:tc>
          <w:tcPr>
            <w:tcW w:w="3003" w:type="dxa"/>
          </w:tcPr>
          <w:p w14:paraId="2F35A53B" w14:textId="77777777" w:rsidR="00DE4C18" w:rsidRPr="00CB58FC" w:rsidRDefault="00DE4C18" w:rsidP="000420E3">
            <w:pPr>
              <w:autoSpaceDE w:val="0"/>
              <w:autoSpaceDN w:val="0"/>
              <w:adjustRightInd w:val="0"/>
              <w:jc w:val="both"/>
              <w:rPr>
                <w:b/>
                <w:bCs/>
                <w:sz w:val="20"/>
                <w:szCs w:val="20"/>
              </w:rPr>
            </w:pPr>
            <w:r w:rsidRPr="00CB58FC">
              <w:rPr>
                <w:b/>
                <w:bCs/>
                <w:sz w:val="20"/>
                <w:szCs w:val="20"/>
              </w:rPr>
              <w:t>Right to information</w:t>
            </w:r>
          </w:p>
          <w:p w14:paraId="38109EAD" w14:textId="77777777" w:rsidR="00DE4C18" w:rsidRPr="00CB58FC" w:rsidRDefault="00DE4C18" w:rsidP="000420E3">
            <w:pPr>
              <w:autoSpaceDE w:val="0"/>
              <w:autoSpaceDN w:val="0"/>
              <w:adjustRightInd w:val="0"/>
              <w:jc w:val="both"/>
              <w:rPr>
                <w:sz w:val="20"/>
                <w:szCs w:val="20"/>
              </w:rPr>
            </w:pPr>
            <w:r w:rsidRPr="00CB58FC">
              <w:rPr>
                <w:sz w:val="20"/>
                <w:szCs w:val="20"/>
              </w:rPr>
              <w:t>15.—(1) A holder of resale right in respect of a sale, or a person acting on his behalf, shall have the right to obtain information by making a request under this regulation.</w:t>
            </w:r>
          </w:p>
          <w:p w14:paraId="70A42F4E" w14:textId="77777777" w:rsidR="00DE4C18" w:rsidRPr="00CB58FC" w:rsidRDefault="00DE4C18" w:rsidP="000420E3">
            <w:pPr>
              <w:autoSpaceDE w:val="0"/>
              <w:autoSpaceDN w:val="0"/>
              <w:adjustRightInd w:val="0"/>
              <w:jc w:val="both"/>
              <w:rPr>
                <w:sz w:val="20"/>
                <w:szCs w:val="20"/>
              </w:rPr>
            </w:pPr>
            <w:r w:rsidRPr="00CB58FC">
              <w:rPr>
                <w:sz w:val="20"/>
                <w:szCs w:val="20"/>
              </w:rPr>
              <w:t>(2) Such a request—</w:t>
            </w:r>
          </w:p>
          <w:p w14:paraId="65B7C915" w14:textId="2865ED01" w:rsidR="00DE4C18" w:rsidRPr="00CB58FC" w:rsidRDefault="00DE4C18" w:rsidP="000420E3">
            <w:pPr>
              <w:autoSpaceDE w:val="0"/>
              <w:autoSpaceDN w:val="0"/>
              <w:adjustRightInd w:val="0"/>
              <w:jc w:val="both"/>
              <w:rPr>
                <w:sz w:val="20"/>
                <w:szCs w:val="20"/>
              </w:rPr>
            </w:pPr>
            <w:r w:rsidRPr="00CB58FC">
              <w:rPr>
                <w:sz w:val="20"/>
                <w:szCs w:val="20"/>
              </w:rPr>
              <w:t>(a) may be made to any person who (in relation to that sale) satisfies the condition mentioned in regulation 12(3)(a);</w:t>
            </w:r>
            <w:r w:rsidR="00404811" w:rsidRPr="00CB58FC">
              <w:rPr>
                <w:sz w:val="20"/>
                <w:szCs w:val="20"/>
              </w:rPr>
              <w:t>*</w:t>
            </w:r>
            <w:r w:rsidRPr="00CB58FC">
              <w:rPr>
                <w:sz w:val="20"/>
                <w:szCs w:val="20"/>
              </w:rPr>
              <w:t xml:space="preserve"> but</w:t>
            </w:r>
          </w:p>
          <w:p w14:paraId="56AA0D4F" w14:textId="77777777" w:rsidR="00DE4C18" w:rsidRPr="00CB58FC" w:rsidRDefault="00DE4C18" w:rsidP="000420E3">
            <w:pPr>
              <w:autoSpaceDE w:val="0"/>
              <w:autoSpaceDN w:val="0"/>
              <w:adjustRightInd w:val="0"/>
              <w:jc w:val="both"/>
              <w:rPr>
                <w:sz w:val="20"/>
                <w:szCs w:val="20"/>
              </w:rPr>
            </w:pPr>
            <w:r w:rsidRPr="00CB58FC">
              <w:rPr>
                <w:sz w:val="20"/>
                <w:szCs w:val="20"/>
              </w:rPr>
              <w:t>(b) must be made within three years of the sale to which it relates.</w:t>
            </w:r>
          </w:p>
          <w:p w14:paraId="54CD7201" w14:textId="77777777" w:rsidR="00DE4C18" w:rsidRPr="00CB58FC" w:rsidRDefault="00DE4C18" w:rsidP="000420E3">
            <w:pPr>
              <w:autoSpaceDE w:val="0"/>
              <w:autoSpaceDN w:val="0"/>
              <w:adjustRightInd w:val="0"/>
              <w:jc w:val="both"/>
              <w:rPr>
                <w:sz w:val="20"/>
                <w:szCs w:val="20"/>
              </w:rPr>
            </w:pPr>
            <w:r w:rsidRPr="00CB58FC">
              <w:rPr>
                <w:sz w:val="20"/>
                <w:szCs w:val="20"/>
              </w:rPr>
              <w:t>(3) The information that may be so requested is any that may be necessary in order to secure payment of the resale royalty, and in particular to ascertain—</w:t>
            </w:r>
          </w:p>
          <w:p w14:paraId="689B7630" w14:textId="77777777" w:rsidR="00DE4C18" w:rsidRPr="00CB58FC" w:rsidRDefault="00DE4C18" w:rsidP="000420E3">
            <w:pPr>
              <w:autoSpaceDE w:val="0"/>
              <w:autoSpaceDN w:val="0"/>
              <w:adjustRightInd w:val="0"/>
              <w:jc w:val="both"/>
              <w:rPr>
                <w:sz w:val="20"/>
                <w:szCs w:val="20"/>
              </w:rPr>
            </w:pPr>
            <w:r w:rsidRPr="00CB58FC">
              <w:rPr>
                <w:sz w:val="20"/>
                <w:szCs w:val="20"/>
              </w:rPr>
              <w:t>(a) the amount of royalty that is due; and</w:t>
            </w:r>
          </w:p>
          <w:p w14:paraId="2F1209DF" w14:textId="77777777" w:rsidR="00DE4C18" w:rsidRPr="00CB58FC" w:rsidRDefault="00DE4C18" w:rsidP="000420E3">
            <w:pPr>
              <w:autoSpaceDE w:val="0"/>
              <w:autoSpaceDN w:val="0"/>
              <w:adjustRightInd w:val="0"/>
              <w:jc w:val="both"/>
              <w:rPr>
                <w:sz w:val="20"/>
                <w:szCs w:val="20"/>
              </w:rPr>
            </w:pPr>
            <w:r w:rsidRPr="00CB58FC">
              <w:rPr>
                <w:sz w:val="20"/>
                <w:szCs w:val="20"/>
              </w:rPr>
              <w:t>(b) where the royalty is not paid by the person to whom the request is made, the name and address of any person who is liable.</w:t>
            </w:r>
          </w:p>
          <w:p w14:paraId="62118235" w14:textId="77777777" w:rsidR="00DE4C18" w:rsidRPr="00CB58FC" w:rsidRDefault="00DE4C18" w:rsidP="000420E3">
            <w:pPr>
              <w:autoSpaceDE w:val="0"/>
              <w:autoSpaceDN w:val="0"/>
              <w:adjustRightInd w:val="0"/>
              <w:jc w:val="both"/>
              <w:rPr>
                <w:sz w:val="20"/>
                <w:szCs w:val="20"/>
              </w:rPr>
            </w:pPr>
            <w:r w:rsidRPr="00CB58FC">
              <w:rPr>
                <w:sz w:val="20"/>
                <w:szCs w:val="20"/>
              </w:rPr>
              <w:t>(4) The person to whom the request is made shall do everything within his power to supply the information requested within 90 days of the receipt of the request.</w:t>
            </w:r>
          </w:p>
          <w:p w14:paraId="54BD0F0F" w14:textId="77777777" w:rsidR="00DE4C18" w:rsidRPr="00CB58FC" w:rsidRDefault="00DE4C18" w:rsidP="000420E3">
            <w:pPr>
              <w:autoSpaceDE w:val="0"/>
              <w:autoSpaceDN w:val="0"/>
              <w:adjustRightInd w:val="0"/>
              <w:jc w:val="both"/>
              <w:rPr>
                <w:sz w:val="20"/>
                <w:szCs w:val="20"/>
              </w:rPr>
            </w:pPr>
            <w:r w:rsidRPr="00CB58FC">
              <w:rPr>
                <w:sz w:val="20"/>
                <w:szCs w:val="20"/>
              </w:rPr>
              <w:t>(5) If that information is not supplied within the period mentioned in paragraph (4), the person making the request may, in accordance with rules of court, apply to the county court for an order requiring the person to whom the request is made to supply the information.</w:t>
            </w:r>
          </w:p>
          <w:p w14:paraId="3FF38933" w14:textId="77777777" w:rsidR="00DE4C18" w:rsidRPr="00CB58FC" w:rsidRDefault="00DE4C18" w:rsidP="000420E3">
            <w:pPr>
              <w:rPr>
                <w:sz w:val="20"/>
                <w:szCs w:val="20"/>
              </w:rPr>
            </w:pPr>
            <w:r w:rsidRPr="00CB58FC">
              <w:rPr>
                <w:sz w:val="20"/>
                <w:szCs w:val="20"/>
              </w:rPr>
              <w:t>(6) In Scotland, such an application shall be by way of summary application to the sheriff, and the procedure for breach of an order shall proceed in like manner as for a contempt of court….</w:t>
            </w:r>
          </w:p>
          <w:p w14:paraId="0EAC77E9" w14:textId="77777777" w:rsidR="00404811" w:rsidRPr="00CB58FC" w:rsidRDefault="00404811" w:rsidP="000420E3"/>
          <w:p w14:paraId="73F78A30" w14:textId="192F6118" w:rsidR="00404811" w:rsidRPr="00CB58FC" w:rsidRDefault="00404811" w:rsidP="0015390C">
            <w:pPr>
              <w:jc w:val="both"/>
              <w:rPr>
                <w:sz w:val="20"/>
                <w:szCs w:val="20"/>
              </w:rPr>
            </w:pPr>
            <w:r w:rsidRPr="00CB58FC">
              <w:rPr>
                <w:sz w:val="20"/>
                <w:szCs w:val="20"/>
              </w:rPr>
              <w:t>*</w:t>
            </w:r>
            <w:r w:rsidRPr="00CB58FC">
              <w:rPr>
                <w:sz w:val="20"/>
              </w:rPr>
              <w:t xml:space="preserve">12(3)(a) the buyer or the seller, or (where the sale takes place through an agent) the agent of the buyer or seller, is acting in the course of a business of dealing in works of art;…  </w:t>
            </w:r>
          </w:p>
        </w:tc>
        <w:tc>
          <w:tcPr>
            <w:tcW w:w="3004" w:type="dxa"/>
          </w:tcPr>
          <w:p w14:paraId="7A7D482C" w14:textId="0E87F041" w:rsidR="00DE4C18" w:rsidRPr="00CB58FC" w:rsidRDefault="00DE4C18" w:rsidP="00DE4C18">
            <w:pPr>
              <w:pStyle w:val="ListParagraph"/>
              <w:numPr>
                <w:ilvl w:val="0"/>
                <w:numId w:val="31"/>
              </w:numPr>
              <w:spacing w:after="0"/>
              <w:rPr>
                <w:rFonts w:cs="Arial"/>
                <w:sz w:val="20"/>
                <w:szCs w:val="20"/>
              </w:rPr>
            </w:pPr>
            <w:r w:rsidRPr="00CB58FC">
              <w:rPr>
                <w:sz w:val="20"/>
                <w:szCs w:val="20"/>
              </w:rPr>
              <w:t>Formulates oblig</w:t>
            </w:r>
            <w:r w:rsidRPr="00CB58FC">
              <w:rPr>
                <w:rFonts w:cs="Arial"/>
                <w:sz w:val="20"/>
                <w:szCs w:val="20"/>
              </w:rPr>
              <w:t xml:space="preserve">ation here in terms of a right of the right holder to obtain information concerning resale from </w:t>
            </w:r>
            <w:r w:rsidR="00404811" w:rsidRPr="00CB58FC">
              <w:rPr>
                <w:rFonts w:cs="Arial"/>
                <w:sz w:val="20"/>
                <w:szCs w:val="20"/>
              </w:rPr>
              <w:t xml:space="preserve">the buyer, </w:t>
            </w:r>
            <w:r w:rsidRPr="00CB58FC">
              <w:rPr>
                <w:rFonts w:cs="Arial"/>
                <w:sz w:val="20"/>
                <w:szCs w:val="20"/>
              </w:rPr>
              <w:t>seller or AMP</w:t>
            </w:r>
            <w:r w:rsidR="00404811" w:rsidRPr="00CB58FC">
              <w:rPr>
                <w:rFonts w:cs="Arial"/>
                <w:sz w:val="20"/>
                <w:szCs w:val="20"/>
              </w:rPr>
              <w:t xml:space="preserve"> (these being the persons referred to in reg 12(3)(a))</w:t>
            </w:r>
            <w:r w:rsidRPr="00CB58FC">
              <w:rPr>
                <w:rFonts w:cs="Arial"/>
                <w:sz w:val="20"/>
                <w:szCs w:val="20"/>
              </w:rPr>
              <w:t>.</w:t>
            </w:r>
          </w:p>
          <w:p w14:paraId="3346C030" w14:textId="77777777" w:rsidR="00DE4C18" w:rsidRPr="00CB58FC" w:rsidRDefault="00DE4C18" w:rsidP="00DE4C18">
            <w:pPr>
              <w:pStyle w:val="ListParagraph"/>
              <w:numPr>
                <w:ilvl w:val="0"/>
                <w:numId w:val="31"/>
              </w:numPr>
              <w:spacing w:after="0"/>
              <w:rPr>
                <w:rFonts w:cs="Arial"/>
                <w:sz w:val="20"/>
                <w:szCs w:val="20"/>
              </w:rPr>
            </w:pPr>
            <w:r w:rsidRPr="00CB58FC">
              <w:rPr>
                <w:rFonts w:cs="Arial"/>
                <w:sz w:val="20"/>
                <w:szCs w:val="20"/>
              </w:rPr>
              <w:t>Details information to be given and sets out time limits.</w:t>
            </w:r>
          </w:p>
          <w:p w14:paraId="3C47C32F" w14:textId="77777777" w:rsidR="00DE4C18" w:rsidRPr="00CB58FC" w:rsidRDefault="00DE4C18" w:rsidP="00DE4C18">
            <w:pPr>
              <w:pStyle w:val="ListParagraph"/>
              <w:numPr>
                <w:ilvl w:val="0"/>
                <w:numId w:val="31"/>
              </w:numPr>
              <w:spacing w:after="0"/>
            </w:pPr>
            <w:r w:rsidRPr="00CB58FC">
              <w:rPr>
                <w:rFonts w:cs="Arial"/>
                <w:sz w:val="20"/>
                <w:szCs w:val="20"/>
              </w:rPr>
              <w:t>Provides for enforcement through court proceedings.</w:t>
            </w:r>
          </w:p>
        </w:tc>
      </w:tr>
      <w:tr w:rsidR="00DE4C18" w:rsidRPr="00CB58FC" w14:paraId="2588834C" w14:textId="77777777" w:rsidTr="000420E3">
        <w:tc>
          <w:tcPr>
            <w:tcW w:w="3003" w:type="dxa"/>
          </w:tcPr>
          <w:p w14:paraId="328AE66E" w14:textId="77777777" w:rsidR="00DE4C18" w:rsidRPr="00CB58FC" w:rsidRDefault="00DE4C18" w:rsidP="000420E3">
            <w:r w:rsidRPr="00CB58FC">
              <w:rPr>
                <w:bCs/>
                <w:sz w:val="20"/>
                <w:szCs w:val="20"/>
              </w:rPr>
              <w:lastRenderedPageBreak/>
              <w:t>Germany</w:t>
            </w:r>
            <w:r w:rsidRPr="00CB58FC">
              <w:rPr>
                <w:rStyle w:val="FootnoteReference"/>
                <w:bCs/>
                <w:sz w:val="20"/>
                <w:szCs w:val="20"/>
              </w:rPr>
              <w:footnoteReference w:id="64"/>
            </w:r>
            <w:r w:rsidRPr="00CB58FC">
              <w:rPr>
                <w:rStyle w:val="s2"/>
                <w:bCs/>
                <w:sz w:val="20"/>
                <w:szCs w:val="20"/>
              </w:rPr>
              <w:t> </w:t>
            </w:r>
          </w:p>
        </w:tc>
        <w:tc>
          <w:tcPr>
            <w:tcW w:w="3003" w:type="dxa"/>
          </w:tcPr>
          <w:p w14:paraId="15B6D617" w14:textId="77777777"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(4) The author may request information from an art dealer or auctioneer as to which originals of the author's works were resold with the participation of the art dealer or auctioneer within the last three years prior to the request for information.</w:t>
            </w:r>
          </w:p>
          <w:p w14:paraId="223FF8D0" w14:textId="226D42FD"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(5) The author may, to the extent necessary to enforce his claim against the seller, request information from the art dealer or auctioneer about the name and address of the seller as well as the amount of the proceeds from the sale. The art dealer or auctioneer may refuse to provide information about the name and address of the seller if he pays the author the share.</w:t>
            </w:r>
          </w:p>
          <w:p w14:paraId="0B390FD8" w14:textId="77777777" w:rsidR="00DE4C18" w:rsidRPr="00CB58FC" w:rsidRDefault="00DE4C18" w:rsidP="000420E3">
            <w:pPr>
              <w:pStyle w:val="s7"/>
              <w:rPr>
                <w:rFonts w:ascii="Arial" w:hAnsi="Arial" w:cs="Arial"/>
                <w:sz w:val="20"/>
                <w:szCs w:val="20"/>
              </w:rPr>
            </w:pPr>
            <w:r w:rsidRPr="00CB58FC">
              <w:rPr>
                <w:rStyle w:val="s6"/>
                <w:rFonts w:ascii="Arial" w:eastAsia="SimSun" w:hAnsi="Arial" w:cs="Arial"/>
                <w:sz w:val="20"/>
                <w:szCs w:val="20"/>
              </w:rPr>
              <w:t>(6) The claims according to paragraphs 4 and 5 can only be asserted by a collecting society.</w:t>
            </w:r>
          </w:p>
          <w:p w14:paraId="4B71CF89" w14:textId="3D8F6BF5" w:rsidR="00DE4C18" w:rsidRPr="00CB58FC" w:rsidRDefault="00DE4C18" w:rsidP="0015390C">
            <w:pPr>
              <w:pStyle w:val="s7"/>
              <w:rPr>
                <w:sz w:val="20"/>
                <w:szCs w:val="20"/>
              </w:rPr>
            </w:pPr>
            <w:r w:rsidRPr="00CB58FC">
              <w:rPr>
                <w:rStyle w:val="s6"/>
                <w:rFonts w:ascii="Arial" w:eastAsia="SimSun" w:hAnsi="Arial" w:cs="Arial"/>
                <w:sz w:val="20"/>
                <w:szCs w:val="20"/>
              </w:rPr>
              <w:t>(7) If there are reasonable doubts as to the accuracy or completeness of information in accordance with paragraph 4 or 5, the collecting society may request that, at the choice of the</w:t>
            </w:r>
            <w:r w:rsidRPr="00CB58FC">
              <w:rPr>
                <w:rStyle w:val="apple-converted-space"/>
                <w:rFonts w:ascii="Arial" w:hAnsi="Arial" w:cs="Arial"/>
                <w:sz w:val="20"/>
                <w:szCs w:val="20"/>
              </w:rPr>
              <w:t> </w:t>
            </w:r>
            <w:r w:rsidRPr="00CB58FC">
              <w:rPr>
                <w:rStyle w:val="s6"/>
                <w:rFonts w:ascii="Arial" w:eastAsia="SimSun" w:hAnsi="Arial" w:cs="Arial"/>
                <w:sz w:val="20"/>
                <w:szCs w:val="20"/>
              </w:rPr>
              <w:t>person obliged to provide the information, it or an auditor or sworn auditor appointed by it to inspect the business books or other documents is granted as necessary to determine the accuracy or completeness of the information. If the information turns out to be incorrect or incomplete, the person providing the information must reimburse the costs of the examination</w:t>
            </w:r>
          </w:p>
        </w:tc>
        <w:tc>
          <w:tcPr>
            <w:tcW w:w="3004" w:type="dxa"/>
          </w:tcPr>
          <w:p w14:paraId="683391E9" w14:textId="77777777" w:rsidR="00DE4C18" w:rsidRPr="00CB58FC" w:rsidRDefault="00DE4C18" w:rsidP="00DE4C18">
            <w:pPr>
              <w:pStyle w:val="ListParagraph"/>
              <w:numPr>
                <w:ilvl w:val="0"/>
                <w:numId w:val="32"/>
              </w:numPr>
              <w:spacing w:after="0"/>
              <w:jc w:val="left"/>
              <w:rPr>
                <w:rFonts w:cs="Arial"/>
                <w:sz w:val="20"/>
                <w:szCs w:val="20"/>
              </w:rPr>
            </w:pPr>
            <w:r w:rsidRPr="00CB58FC">
              <w:rPr>
                <w:rFonts w:cs="Arial"/>
                <w:sz w:val="20"/>
                <w:szCs w:val="20"/>
              </w:rPr>
              <w:t>Details the information that may be requested from AMP and sets time limits for this.</w:t>
            </w:r>
          </w:p>
          <w:p w14:paraId="1D717B00" w14:textId="77777777" w:rsidR="00DE4C18" w:rsidRPr="00CB58FC" w:rsidRDefault="00DE4C18" w:rsidP="00DE4C18">
            <w:pPr>
              <w:pStyle w:val="ListParagraph"/>
              <w:numPr>
                <w:ilvl w:val="0"/>
                <w:numId w:val="32"/>
              </w:numPr>
              <w:spacing w:after="0"/>
              <w:jc w:val="left"/>
            </w:pPr>
            <w:r w:rsidRPr="00CB58FC">
              <w:rPr>
                <w:rFonts w:cs="Arial"/>
                <w:sz w:val="20"/>
                <w:szCs w:val="20"/>
              </w:rPr>
              <w:t>Provides for possibility of audit in cases of doubt.</w:t>
            </w:r>
          </w:p>
        </w:tc>
      </w:tr>
      <w:tr w:rsidR="00DE4C18" w:rsidRPr="00CB58FC" w14:paraId="2DACD4E9" w14:textId="77777777" w:rsidTr="000420E3">
        <w:tc>
          <w:tcPr>
            <w:tcW w:w="3003" w:type="dxa"/>
          </w:tcPr>
          <w:p w14:paraId="0121BB5A" w14:textId="77777777" w:rsidR="00DE4C18" w:rsidRPr="00CB58FC" w:rsidRDefault="00DE4C18" w:rsidP="000420E3">
            <w:r w:rsidRPr="00CB58FC">
              <w:rPr>
                <w:sz w:val="20"/>
                <w:szCs w:val="20"/>
              </w:rPr>
              <w:t>New Zealand</w:t>
            </w:r>
            <w:r w:rsidRPr="00CB58FC">
              <w:rPr>
                <w:rStyle w:val="FootnoteReference"/>
                <w:sz w:val="20"/>
                <w:szCs w:val="20"/>
              </w:rPr>
              <w:footnoteReference w:id="65"/>
            </w:r>
          </w:p>
        </w:tc>
        <w:tc>
          <w:tcPr>
            <w:tcW w:w="3003" w:type="dxa"/>
          </w:tcPr>
          <w:p w14:paraId="061D1CC7" w14:textId="77777777" w:rsidR="00DE4C18" w:rsidRPr="00CB58FC" w:rsidRDefault="00DE4C18" w:rsidP="000420E3">
            <w:pPr>
              <w:autoSpaceDE w:val="0"/>
              <w:autoSpaceDN w:val="0"/>
              <w:adjustRightInd w:val="0"/>
              <w:jc w:val="both"/>
              <w:rPr>
                <w:b/>
                <w:bCs/>
                <w:sz w:val="20"/>
                <w:szCs w:val="20"/>
              </w:rPr>
            </w:pPr>
            <w:r w:rsidRPr="00CB58FC">
              <w:rPr>
                <w:b/>
                <w:bCs/>
                <w:sz w:val="20"/>
                <w:szCs w:val="20"/>
              </w:rPr>
              <w:t>21 Requirement to provide collection agency with information about qualifying resales</w:t>
            </w:r>
          </w:p>
          <w:p w14:paraId="25E5B0CC" w14:textId="77777777" w:rsidR="00DE4C18" w:rsidRPr="00CB58FC" w:rsidRDefault="00DE4C18" w:rsidP="000420E3">
            <w:pPr>
              <w:autoSpaceDE w:val="0"/>
              <w:autoSpaceDN w:val="0"/>
              <w:adjustRightInd w:val="0"/>
              <w:jc w:val="both"/>
              <w:rPr>
                <w:sz w:val="20"/>
                <w:szCs w:val="20"/>
              </w:rPr>
            </w:pPr>
            <w:r w:rsidRPr="00CB58FC">
              <w:rPr>
                <w:sz w:val="20"/>
                <w:szCs w:val="20"/>
              </w:rPr>
              <w:t>(1) This section applies to the following persons involved in a qualifying resale of an original visual artwork:</w:t>
            </w:r>
          </w:p>
          <w:p w14:paraId="77BC516A" w14:textId="77777777" w:rsidR="00DE4C18" w:rsidRPr="00CB58FC" w:rsidRDefault="00DE4C18" w:rsidP="000420E3">
            <w:pPr>
              <w:autoSpaceDE w:val="0"/>
              <w:autoSpaceDN w:val="0"/>
              <w:adjustRightInd w:val="0"/>
              <w:jc w:val="both"/>
              <w:rPr>
                <w:sz w:val="20"/>
                <w:szCs w:val="20"/>
              </w:rPr>
            </w:pPr>
            <w:r w:rsidRPr="00CB58FC">
              <w:rPr>
                <w:sz w:val="20"/>
                <w:szCs w:val="20"/>
              </w:rPr>
              <w:lastRenderedPageBreak/>
              <w:t>(a) in the case of a professional resale,—</w:t>
            </w:r>
          </w:p>
          <w:p w14:paraId="0E8C3F1E" w14:textId="77777777" w:rsidR="00DE4C18" w:rsidRPr="00CB58FC" w:rsidRDefault="00DE4C18" w:rsidP="000420E3">
            <w:pPr>
              <w:autoSpaceDE w:val="0"/>
              <w:autoSpaceDN w:val="0"/>
              <w:adjustRightInd w:val="0"/>
              <w:jc w:val="both"/>
              <w:rPr>
                <w:sz w:val="20"/>
                <w:szCs w:val="20"/>
              </w:rPr>
            </w:pPr>
            <w:r w:rsidRPr="00CB58FC">
              <w:rPr>
                <w:sz w:val="20"/>
                <w:szCs w:val="20"/>
              </w:rPr>
              <w:t>(i) each art market professional that is involved in the resale; or</w:t>
            </w:r>
          </w:p>
          <w:p w14:paraId="355E1779" w14:textId="77777777" w:rsidR="00DE4C18" w:rsidRPr="00CB58FC" w:rsidRDefault="00DE4C18" w:rsidP="000420E3">
            <w:pPr>
              <w:autoSpaceDE w:val="0"/>
              <w:autoSpaceDN w:val="0"/>
              <w:adjustRightInd w:val="0"/>
              <w:jc w:val="both"/>
              <w:rPr>
                <w:sz w:val="20"/>
                <w:szCs w:val="20"/>
              </w:rPr>
            </w:pPr>
            <w:r w:rsidRPr="00CB58FC">
              <w:rPr>
                <w:sz w:val="20"/>
                <w:szCs w:val="20"/>
              </w:rPr>
              <w:t>(ii) if none of the persons involved in the resale is an art market professional, each art gallery, museum, library, or archive referred to in section 9(2)(a) that is involved in the resale:</w:t>
            </w:r>
          </w:p>
          <w:p w14:paraId="75B751EC" w14:textId="77777777" w:rsidR="00DE4C18" w:rsidRPr="00CB58FC" w:rsidRDefault="00DE4C18" w:rsidP="000420E3">
            <w:pPr>
              <w:autoSpaceDE w:val="0"/>
              <w:autoSpaceDN w:val="0"/>
              <w:adjustRightInd w:val="0"/>
              <w:jc w:val="both"/>
              <w:rPr>
                <w:sz w:val="20"/>
                <w:szCs w:val="20"/>
              </w:rPr>
            </w:pPr>
            <w:r w:rsidRPr="00CB58FC">
              <w:rPr>
                <w:sz w:val="20"/>
                <w:szCs w:val="20"/>
              </w:rPr>
              <w:t>(b) in the case of a voluntary qualifying resale, the person that the parties to the resale agreed would be responsible for providing information to the collection agency.</w:t>
            </w:r>
          </w:p>
          <w:p w14:paraId="14CECA31" w14:textId="77777777" w:rsidR="00DE4C18" w:rsidRPr="00CB58FC" w:rsidRDefault="00DE4C18" w:rsidP="000420E3">
            <w:pPr>
              <w:autoSpaceDE w:val="0"/>
              <w:autoSpaceDN w:val="0"/>
              <w:adjustRightInd w:val="0"/>
              <w:jc w:val="both"/>
              <w:rPr>
                <w:sz w:val="20"/>
                <w:szCs w:val="20"/>
              </w:rPr>
            </w:pPr>
            <w:r w:rsidRPr="00CB58FC">
              <w:rPr>
                <w:sz w:val="20"/>
                <w:szCs w:val="20"/>
              </w:rPr>
              <w:t>(2) Each person must ensure that the following information about the resale is provided to the collection agency:</w:t>
            </w:r>
          </w:p>
          <w:p w14:paraId="5C2F6C3A" w14:textId="77777777" w:rsidR="00DE4C18" w:rsidRPr="00CB58FC" w:rsidRDefault="00DE4C18" w:rsidP="000420E3">
            <w:pPr>
              <w:autoSpaceDE w:val="0"/>
              <w:autoSpaceDN w:val="0"/>
              <w:adjustRightInd w:val="0"/>
              <w:jc w:val="both"/>
              <w:rPr>
                <w:sz w:val="20"/>
                <w:szCs w:val="20"/>
              </w:rPr>
            </w:pPr>
            <w:r w:rsidRPr="00CB58FC">
              <w:rPr>
                <w:sz w:val="20"/>
                <w:szCs w:val="20"/>
              </w:rPr>
              <w:t>(a) the name of the artwork, if known:</w:t>
            </w:r>
          </w:p>
          <w:p w14:paraId="2257D047" w14:textId="77777777" w:rsidR="00DE4C18" w:rsidRPr="00CB58FC" w:rsidRDefault="00DE4C18" w:rsidP="000420E3">
            <w:pPr>
              <w:autoSpaceDE w:val="0"/>
              <w:autoSpaceDN w:val="0"/>
              <w:adjustRightInd w:val="0"/>
              <w:jc w:val="both"/>
              <w:rPr>
                <w:sz w:val="20"/>
                <w:szCs w:val="20"/>
              </w:rPr>
            </w:pPr>
            <w:r w:rsidRPr="00CB58FC">
              <w:rPr>
                <w:sz w:val="20"/>
                <w:szCs w:val="20"/>
              </w:rPr>
              <w:t>(b) a brief description of the artwork:</w:t>
            </w:r>
          </w:p>
          <w:p w14:paraId="1DDDFA27" w14:textId="77777777" w:rsidR="00DE4C18" w:rsidRPr="00CB58FC" w:rsidRDefault="00DE4C18" w:rsidP="000420E3">
            <w:pPr>
              <w:autoSpaceDE w:val="0"/>
              <w:autoSpaceDN w:val="0"/>
              <w:adjustRightInd w:val="0"/>
              <w:jc w:val="both"/>
              <w:rPr>
                <w:sz w:val="20"/>
                <w:szCs w:val="20"/>
              </w:rPr>
            </w:pPr>
            <w:r w:rsidRPr="00CB58FC">
              <w:rPr>
                <w:sz w:val="20"/>
                <w:szCs w:val="20"/>
              </w:rPr>
              <w:t>(c) the resale value:</w:t>
            </w:r>
          </w:p>
          <w:p w14:paraId="67D27325" w14:textId="77777777" w:rsidR="00DE4C18" w:rsidRPr="00CB58FC" w:rsidRDefault="00DE4C18" w:rsidP="000420E3">
            <w:pPr>
              <w:autoSpaceDE w:val="0"/>
              <w:autoSpaceDN w:val="0"/>
              <w:adjustRightInd w:val="0"/>
              <w:jc w:val="both"/>
              <w:rPr>
                <w:sz w:val="20"/>
                <w:szCs w:val="20"/>
              </w:rPr>
            </w:pPr>
            <w:r w:rsidRPr="00CB58FC">
              <w:rPr>
                <w:sz w:val="20"/>
                <w:szCs w:val="20"/>
              </w:rPr>
              <w:t>(d) the name of the artist, if known:</w:t>
            </w:r>
          </w:p>
          <w:p w14:paraId="0F984F80" w14:textId="77777777" w:rsidR="00DE4C18" w:rsidRPr="00CB58FC" w:rsidRDefault="00DE4C18" w:rsidP="000420E3">
            <w:pPr>
              <w:autoSpaceDE w:val="0"/>
              <w:autoSpaceDN w:val="0"/>
              <w:adjustRightInd w:val="0"/>
              <w:jc w:val="both"/>
              <w:rPr>
                <w:sz w:val="20"/>
                <w:szCs w:val="20"/>
              </w:rPr>
            </w:pPr>
            <w:r w:rsidRPr="00CB58FC">
              <w:rPr>
                <w:sz w:val="20"/>
                <w:szCs w:val="20"/>
              </w:rPr>
              <w:t>(e) the name and contact details of the persons liable under section 17 to pay the resale royalty, if known:</w:t>
            </w:r>
          </w:p>
          <w:p w14:paraId="612E9B0B" w14:textId="77777777" w:rsidR="00DE4C18" w:rsidRPr="00CB58FC" w:rsidRDefault="00DE4C18" w:rsidP="000420E3">
            <w:pPr>
              <w:autoSpaceDE w:val="0"/>
              <w:autoSpaceDN w:val="0"/>
              <w:adjustRightInd w:val="0"/>
              <w:jc w:val="both"/>
              <w:rPr>
                <w:sz w:val="20"/>
                <w:szCs w:val="20"/>
              </w:rPr>
            </w:pPr>
            <w:r w:rsidRPr="00CB58FC">
              <w:rPr>
                <w:sz w:val="20"/>
                <w:szCs w:val="20"/>
              </w:rPr>
              <w:t>(f) any other information specified by the regulations.</w:t>
            </w:r>
          </w:p>
          <w:p w14:paraId="53FEE204" w14:textId="77777777" w:rsidR="00DE4C18" w:rsidRPr="00CB58FC" w:rsidRDefault="00DE4C18" w:rsidP="000420E3">
            <w:r w:rsidRPr="00CB58FC">
              <w:rPr>
                <w:sz w:val="20"/>
                <w:szCs w:val="20"/>
              </w:rPr>
              <w:t>(3) The information must be provided within the time frame, and otherwise in the manner, specified by the regulations.</w:t>
            </w:r>
          </w:p>
        </w:tc>
        <w:tc>
          <w:tcPr>
            <w:tcW w:w="3004" w:type="dxa"/>
          </w:tcPr>
          <w:p w14:paraId="7431984E" w14:textId="77777777" w:rsidR="00DE4C18" w:rsidRPr="00CB58FC" w:rsidRDefault="00DE4C18" w:rsidP="000420E3">
            <w:pPr>
              <w:jc w:val="both"/>
              <w:rPr>
                <w:sz w:val="20"/>
                <w:szCs w:val="20"/>
              </w:rPr>
            </w:pPr>
            <w:r w:rsidRPr="00CB58FC">
              <w:rPr>
                <w:sz w:val="20"/>
                <w:szCs w:val="20"/>
              </w:rPr>
              <w:lastRenderedPageBreak/>
              <w:t>Detailed legislative requirements concerning information to be provided to CMO by AMPs and other parties.</w:t>
            </w:r>
          </w:p>
        </w:tc>
      </w:tr>
      <w:tr w:rsidR="00EC7311" w:rsidRPr="00CB58FC" w14:paraId="1B2513C9" w14:textId="77777777" w:rsidTr="000420E3">
        <w:tc>
          <w:tcPr>
            <w:tcW w:w="3003" w:type="dxa"/>
          </w:tcPr>
          <w:p w14:paraId="4E987E62" w14:textId="6DF4E249" w:rsidR="00EC7311" w:rsidRPr="00CB58FC" w:rsidRDefault="00EC7311" w:rsidP="000420E3">
            <w:pPr>
              <w:rPr>
                <w:sz w:val="20"/>
              </w:rPr>
            </w:pPr>
            <w:r w:rsidRPr="00CB58FC">
              <w:rPr>
                <w:sz w:val="20"/>
              </w:rPr>
              <w:t>Greece</w:t>
            </w:r>
            <w:r w:rsidRPr="00CB58FC">
              <w:rPr>
                <w:rStyle w:val="FootnoteReference"/>
                <w:sz w:val="20"/>
              </w:rPr>
              <w:footnoteReference w:id="66"/>
            </w:r>
          </w:p>
        </w:tc>
        <w:tc>
          <w:tcPr>
            <w:tcW w:w="3003" w:type="dxa"/>
          </w:tcPr>
          <w:p w14:paraId="4B354DF1" w14:textId="36EE7E2D" w:rsidR="00EC7311" w:rsidRPr="00CB58FC" w:rsidRDefault="00EC7311" w:rsidP="000420E3">
            <w:pPr>
              <w:autoSpaceDE w:val="0"/>
              <w:autoSpaceDN w:val="0"/>
              <w:adjustRightInd w:val="0"/>
              <w:jc w:val="both"/>
              <w:rPr>
                <w:b/>
                <w:bCs/>
                <w:sz w:val="20"/>
                <w:szCs w:val="20"/>
              </w:rPr>
            </w:pPr>
            <w:r w:rsidRPr="00CB58FC">
              <w:rPr>
                <w:rStyle w:val="Strong"/>
                <w:sz w:val="20"/>
                <w:szCs w:val="20"/>
              </w:rPr>
              <w:t>7.</w:t>
            </w:r>
            <w:r w:rsidRPr="00CB58FC">
              <w:rPr>
                <w:sz w:val="20"/>
                <w:szCs w:val="20"/>
              </w:rPr>
              <w:t> For a period of three years after the resale, beneficiaries and collective management organizations may require from any art market professional mentioned in paragraph 1 to furnish any information that may be necessary in order to secure payment of royalties in respect of the resale. The Greek Chamber of Visual Arts shall also be entitled to collect information (article 9 of EC Directive 2001/84)</w:t>
            </w:r>
          </w:p>
        </w:tc>
        <w:tc>
          <w:tcPr>
            <w:tcW w:w="3004" w:type="dxa"/>
          </w:tcPr>
          <w:p w14:paraId="56FBF64F" w14:textId="2F58D40D" w:rsidR="00EC7311" w:rsidRPr="00CB58FC" w:rsidRDefault="00EC7311" w:rsidP="0015390C">
            <w:pPr>
              <w:pStyle w:val="ListParagraph"/>
              <w:numPr>
                <w:ilvl w:val="0"/>
                <w:numId w:val="44"/>
              </w:numPr>
              <w:rPr>
                <w:sz w:val="20"/>
              </w:rPr>
            </w:pPr>
            <w:r w:rsidRPr="00CB58FC">
              <w:rPr>
                <w:sz w:val="20"/>
                <w:szCs w:val="24"/>
              </w:rPr>
              <w:t>Provides that both beneficiaries and CMO may request information as well as Greek Chamber of Visual Arts</w:t>
            </w:r>
          </w:p>
        </w:tc>
      </w:tr>
      <w:tr w:rsidR="00DE4C18" w:rsidRPr="00CB58FC" w14:paraId="7F166410" w14:textId="77777777" w:rsidTr="000420E3">
        <w:tc>
          <w:tcPr>
            <w:tcW w:w="3003" w:type="dxa"/>
          </w:tcPr>
          <w:p w14:paraId="5A70A9C3" w14:textId="77777777" w:rsidR="00DE4C18" w:rsidRPr="00CB58FC" w:rsidRDefault="00DE4C18" w:rsidP="000420E3">
            <w:r w:rsidRPr="00CB58FC">
              <w:rPr>
                <w:sz w:val="20"/>
                <w:szCs w:val="20"/>
              </w:rPr>
              <w:t>EC</w:t>
            </w:r>
            <w:r w:rsidRPr="00CB58FC">
              <w:rPr>
                <w:rStyle w:val="FootnoteReference"/>
                <w:sz w:val="20"/>
                <w:szCs w:val="20"/>
              </w:rPr>
              <w:footnoteReference w:id="67"/>
            </w:r>
            <w:r w:rsidRPr="00CB58FC">
              <w:rPr>
                <w:i/>
                <w:iCs/>
                <w:sz w:val="20"/>
                <w:szCs w:val="20"/>
              </w:rPr>
              <w:t xml:space="preserve"> </w:t>
            </w:r>
          </w:p>
        </w:tc>
        <w:tc>
          <w:tcPr>
            <w:tcW w:w="3003" w:type="dxa"/>
          </w:tcPr>
          <w:p w14:paraId="2F2D83BE" w14:textId="77777777" w:rsidR="00DE4C18" w:rsidRPr="00CB58FC" w:rsidRDefault="00DE4C18" w:rsidP="000420E3">
            <w:pPr>
              <w:autoSpaceDE w:val="0"/>
              <w:autoSpaceDN w:val="0"/>
              <w:adjustRightInd w:val="0"/>
              <w:jc w:val="both"/>
              <w:rPr>
                <w:b/>
                <w:bCs/>
                <w:sz w:val="20"/>
                <w:szCs w:val="20"/>
              </w:rPr>
            </w:pPr>
            <w:r w:rsidRPr="00CB58FC">
              <w:rPr>
                <w:b/>
                <w:bCs/>
                <w:sz w:val="20"/>
                <w:szCs w:val="20"/>
              </w:rPr>
              <w:t>Article 9</w:t>
            </w:r>
          </w:p>
          <w:p w14:paraId="0023EB11" w14:textId="77777777" w:rsidR="00DE4C18" w:rsidRPr="00CB58FC" w:rsidRDefault="00DE4C18" w:rsidP="000420E3">
            <w:pPr>
              <w:autoSpaceDE w:val="0"/>
              <w:autoSpaceDN w:val="0"/>
              <w:adjustRightInd w:val="0"/>
              <w:jc w:val="both"/>
              <w:rPr>
                <w:b/>
                <w:bCs/>
                <w:sz w:val="20"/>
                <w:szCs w:val="20"/>
              </w:rPr>
            </w:pPr>
            <w:r w:rsidRPr="00CB58FC">
              <w:rPr>
                <w:b/>
                <w:bCs/>
                <w:sz w:val="20"/>
                <w:szCs w:val="20"/>
              </w:rPr>
              <w:t>Right to obtain information</w:t>
            </w:r>
          </w:p>
          <w:p w14:paraId="7CFD92E2" w14:textId="77777777" w:rsidR="00DE4C18" w:rsidRPr="00CB58FC" w:rsidRDefault="00DE4C18" w:rsidP="000420E3">
            <w:pPr>
              <w:jc w:val="both"/>
            </w:pPr>
            <w:r w:rsidRPr="00CB58FC">
              <w:rPr>
                <w:sz w:val="20"/>
                <w:szCs w:val="20"/>
              </w:rPr>
              <w:t xml:space="preserve">The Member States shall provide that for a period of three </w:t>
            </w:r>
            <w:r w:rsidRPr="00CB58FC">
              <w:rPr>
                <w:sz w:val="20"/>
                <w:szCs w:val="20"/>
              </w:rPr>
              <w:lastRenderedPageBreak/>
              <w:t>years after the resale, the persons entitled under Article 6 may require from any art market professional mentioned in Article 1(2) to furnish any information that may be necessary in order to secure payment of royalties in respect of the resale.</w:t>
            </w:r>
          </w:p>
        </w:tc>
        <w:tc>
          <w:tcPr>
            <w:tcW w:w="3004" w:type="dxa"/>
          </w:tcPr>
          <w:p w14:paraId="26F8F2A6" w14:textId="6C9A9F2B" w:rsidR="00DE4C18" w:rsidRPr="00CB58FC" w:rsidRDefault="00DE4C18" w:rsidP="00DE4C18">
            <w:pPr>
              <w:pStyle w:val="ListParagraph"/>
              <w:numPr>
                <w:ilvl w:val="0"/>
                <w:numId w:val="33"/>
              </w:numPr>
              <w:spacing w:after="0"/>
              <w:rPr>
                <w:rFonts w:cs="Arial"/>
                <w:sz w:val="20"/>
                <w:szCs w:val="20"/>
              </w:rPr>
            </w:pPr>
            <w:r w:rsidRPr="00CB58FC">
              <w:rPr>
                <w:rFonts w:cs="Arial"/>
                <w:sz w:val="20"/>
                <w:szCs w:val="20"/>
              </w:rPr>
              <w:lastRenderedPageBreak/>
              <w:t xml:space="preserve">General obligation for EU member states to provide for the making of requests for information concerning </w:t>
            </w:r>
            <w:r w:rsidRPr="00CB58FC">
              <w:rPr>
                <w:rFonts w:cs="Arial"/>
                <w:sz w:val="20"/>
                <w:szCs w:val="20"/>
              </w:rPr>
              <w:lastRenderedPageBreak/>
              <w:t>resales within 3-year period</w:t>
            </w:r>
            <w:r w:rsidR="00190333" w:rsidRPr="00CB58FC">
              <w:rPr>
                <w:rFonts w:cs="Arial"/>
                <w:sz w:val="20"/>
                <w:szCs w:val="20"/>
              </w:rPr>
              <w:t xml:space="preserve"> from AMPs</w:t>
            </w:r>
            <w:r w:rsidRPr="00CB58FC">
              <w:rPr>
                <w:rFonts w:cs="Arial"/>
                <w:sz w:val="20"/>
                <w:szCs w:val="20"/>
              </w:rPr>
              <w:t xml:space="preserve">. </w:t>
            </w:r>
          </w:p>
          <w:p w14:paraId="3781869F" w14:textId="77777777" w:rsidR="00DE4C18" w:rsidRPr="00CB58FC" w:rsidRDefault="00DE4C18" w:rsidP="00DE4C18">
            <w:pPr>
              <w:pStyle w:val="ListParagraph"/>
              <w:numPr>
                <w:ilvl w:val="0"/>
                <w:numId w:val="33"/>
              </w:numPr>
              <w:spacing w:after="0"/>
              <w:rPr>
                <w:rFonts w:cs="Arial"/>
                <w:sz w:val="20"/>
                <w:szCs w:val="20"/>
              </w:rPr>
            </w:pPr>
            <w:r w:rsidRPr="00CB58FC">
              <w:rPr>
                <w:rFonts w:cs="Arial"/>
                <w:sz w:val="20"/>
                <w:szCs w:val="20"/>
              </w:rPr>
              <w:t>Leaves detailed implementation to EU members.</w:t>
            </w:r>
          </w:p>
        </w:tc>
      </w:tr>
      <w:tr w:rsidR="00DE4C18" w:rsidRPr="00CB58FC" w14:paraId="6BF58802" w14:textId="77777777" w:rsidTr="000420E3">
        <w:tc>
          <w:tcPr>
            <w:tcW w:w="3003" w:type="dxa"/>
          </w:tcPr>
          <w:p w14:paraId="1909C602" w14:textId="77777777" w:rsidR="00DE4C18" w:rsidRPr="00CB58FC" w:rsidRDefault="00DE4C18" w:rsidP="000420E3">
            <w:r w:rsidRPr="00CB58FC">
              <w:rPr>
                <w:sz w:val="20"/>
                <w:szCs w:val="20"/>
                <w:lang w:val="fr-CH"/>
              </w:rPr>
              <w:lastRenderedPageBreak/>
              <w:t>France</w:t>
            </w:r>
            <w:r w:rsidRPr="00CB58FC">
              <w:rPr>
                <w:rStyle w:val="FootnoteReference"/>
                <w:sz w:val="20"/>
                <w:szCs w:val="20"/>
                <w:lang w:val="fr-CH"/>
              </w:rPr>
              <w:footnoteReference w:id="68"/>
            </w:r>
          </w:p>
        </w:tc>
        <w:tc>
          <w:tcPr>
            <w:tcW w:w="3003" w:type="dxa"/>
          </w:tcPr>
          <w:p w14:paraId="26FDE882" w14:textId="77777777" w:rsidR="00DE4C18" w:rsidRPr="00CB58FC" w:rsidRDefault="00DE4C18" w:rsidP="000420E3">
            <w:pPr>
              <w:jc w:val="both"/>
            </w:pPr>
            <w:r w:rsidRPr="00CB58FC">
              <w:rPr>
                <w:rFonts w:eastAsia="Times New Roman"/>
                <w:sz w:val="20"/>
                <w:szCs w:val="20"/>
                <w:lang w:eastAsia="en-GB"/>
              </w:rPr>
              <w:t>Societies of authors, publishers, composers or distributors may receive from the tax authorities all information relating to revenues generated by companies under their control.</w:t>
            </w:r>
          </w:p>
        </w:tc>
        <w:tc>
          <w:tcPr>
            <w:tcW w:w="3004" w:type="dxa"/>
          </w:tcPr>
          <w:p w14:paraId="75CD9C63" w14:textId="77777777" w:rsidR="00DE4C18" w:rsidRPr="00CB58FC" w:rsidRDefault="00DE4C18" w:rsidP="000420E3">
            <w:pPr>
              <w:jc w:val="both"/>
              <w:rPr>
                <w:sz w:val="20"/>
                <w:szCs w:val="20"/>
              </w:rPr>
            </w:pPr>
            <w:r w:rsidRPr="00CB58FC">
              <w:rPr>
                <w:sz w:val="20"/>
                <w:szCs w:val="20"/>
              </w:rPr>
              <w:t>Supplementary provision in French revenue law that allows French CMOs to request information concerning AMPs from tax authorities.</w:t>
            </w:r>
          </w:p>
        </w:tc>
      </w:tr>
    </w:tbl>
    <w:p w14:paraId="23BFDCED" w14:textId="77777777" w:rsidR="00DE4C18" w:rsidRPr="00CB58FC" w:rsidRDefault="00DE4C18" w:rsidP="00DE4C18"/>
    <w:p w14:paraId="782750D2" w14:textId="77777777" w:rsidR="00DE4C18" w:rsidRPr="00CB58FC" w:rsidRDefault="00DE4C18" w:rsidP="00DE4C18"/>
    <w:p w14:paraId="4F35C011" w14:textId="77777777" w:rsidR="003D6031" w:rsidRPr="00CB58FC" w:rsidRDefault="003D6031" w:rsidP="003D6031"/>
    <w:p w14:paraId="12FC01EB" w14:textId="67DDE607" w:rsidR="003D6031" w:rsidRPr="00CB58FC" w:rsidRDefault="003D6031" w:rsidP="003D6031">
      <w:r w:rsidRPr="00CB58FC">
        <w:t xml:space="preserve"> </w:t>
      </w:r>
    </w:p>
    <w:p w14:paraId="68E2408A" w14:textId="77777777" w:rsidR="003D6031" w:rsidRPr="00CB58FC" w:rsidRDefault="003D6031" w:rsidP="003D6031">
      <w:pPr>
        <w:pStyle w:val="Heading1"/>
        <w:rPr>
          <w:szCs w:val="22"/>
        </w:rPr>
      </w:pPr>
      <w:r w:rsidRPr="00CB58FC">
        <w:rPr>
          <w:szCs w:val="22"/>
        </w:rPr>
        <w:t>OBLIGATIONS OF CONFIDENTIALITY</w:t>
      </w:r>
    </w:p>
    <w:p w14:paraId="4AD2DE1D" w14:textId="77777777" w:rsidR="003D6031" w:rsidRPr="00CB58FC" w:rsidRDefault="003D6031" w:rsidP="003D6031"/>
    <w:p w14:paraId="169FD6F4" w14:textId="798A42D0" w:rsidR="003D6031" w:rsidRPr="00CB58FC" w:rsidRDefault="003D6031" w:rsidP="003D6031">
      <w:pPr>
        <w:pStyle w:val="ListParagraph"/>
        <w:numPr>
          <w:ilvl w:val="0"/>
          <w:numId w:val="16"/>
        </w:numPr>
        <w:rPr>
          <w:rFonts w:cs="Arial"/>
        </w:rPr>
      </w:pPr>
      <w:r w:rsidRPr="00CB58FC">
        <w:rPr>
          <w:rFonts w:cs="Arial"/>
        </w:rPr>
        <w:t xml:space="preserve">An important matter for CMOs handling information about right holders and eligible resales is that CMOs need to observe obligations of confidentiality in dealing with this information. Information about eligible resales is rightly in the public domain and must be made readily available, but obligations of privacy arise with respect to other information received and must be observed. These are usually matters for national laws on privacy and information security </w:t>
      </w:r>
      <w:r w:rsidR="003752F5" w:rsidRPr="00CB58FC">
        <w:rPr>
          <w:rFonts w:cs="Arial"/>
        </w:rPr>
        <w:t>generally but</w:t>
      </w:r>
      <w:r w:rsidRPr="00CB58FC">
        <w:rPr>
          <w:rFonts w:cs="Arial"/>
        </w:rPr>
        <w:t xml:space="preserve"> also find a place in some regional and national ARR laws, particularly when dealing with information obtained under statutory power</w:t>
      </w:r>
      <w:r w:rsidR="00987278" w:rsidRPr="00CB58FC">
        <w:rPr>
          <w:rFonts w:cs="Arial"/>
        </w:rPr>
        <w:t>s</w:t>
      </w:r>
      <w:r w:rsidRPr="00CB58FC">
        <w:rPr>
          <w:rFonts w:cs="Arial"/>
        </w:rPr>
        <w:t xml:space="preserve"> of request of the kind detailed in Table 23 above: see </w:t>
      </w:r>
      <w:r w:rsidR="00987278" w:rsidRPr="00CB58FC">
        <w:rPr>
          <w:rFonts w:cs="Arial"/>
        </w:rPr>
        <w:t xml:space="preserve">also </w:t>
      </w:r>
      <w:r w:rsidRPr="00CB58FC">
        <w:rPr>
          <w:rFonts w:cs="Arial"/>
        </w:rPr>
        <w:t xml:space="preserve">Table 24 </w:t>
      </w:r>
      <w:r w:rsidR="00987278" w:rsidRPr="00CB58FC">
        <w:rPr>
          <w:rFonts w:cs="Arial"/>
        </w:rPr>
        <w:t>below</w:t>
      </w:r>
      <w:r w:rsidRPr="00CB58FC">
        <w:rPr>
          <w:rFonts w:cs="Arial"/>
        </w:rPr>
        <w:t>.</w:t>
      </w:r>
    </w:p>
    <w:p w14:paraId="0D060F02" w14:textId="77777777" w:rsidR="003D6031" w:rsidRPr="00CB58FC" w:rsidRDefault="003D6031" w:rsidP="003D6031">
      <w:pPr>
        <w:pStyle w:val="Heading1"/>
        <w:rPr>
          <w:b w:val="0"/>
          <w:bCs w:val="0"/>
          <w:szCs w:val="22"/>
        </w:rPr>
      </w:pPr>
      <w:r w:rsidRPr="00CB58FC">
        <w:rPr>
          <w:b w:val="0"/>
          <w:bCs w:val="0"/>
          <w:szCs w:val="22"/>
        </w:rPr>
        <w:t xml:space="preserve">TABLE 24 – CONFIDENTIALITY OBLIGATIONS OF CMOS </w:t>
      </w:r>
    </w:p>
    <w:p w14:paraId="3C7A7454" w14:textId="77777777" w:rsidR="003D6031" w:rsidRPr="00CB58FC" w:rsidRDefault="003D6031" w:rsidP="003D6031"/>
    <w:tbl>
      <w:tblPr>
        <w:tblStyle w:val="TableGrid"/>
        <w:tblW w:w="0" w:type="auto"/>
        <w:tblLook w:val="04A0" w:firstRow="1" w:lastRow="0" w:firstColumn="1" w:lastColumn="0" w:noHBand="0" w:noVBand="1"/>
      </w:tblPr>
      <w:tblGrid>
        <w:gridCol w:w="1696"/>
        <w:gridCol w:w="4820"/>
        <w:gridCol w:w="2829"/>
      </w:tblGrid>
      <w:tr w:rsidR="00AB75EF" w:rsidRPr="00CB58FC" w14:paraId="43E6CEA8" w14:textId="2AB6A810" w:rsidTr="0015390C">
        <w:tc>
          <w:tcPr>
            <w:tcW w:w="1696" w:type="dxa"/>
          </w:tcPr>
          <w:p w14:paraId="40CD819F" w14:textId="77777777" w:rsidR="00AB75EF" w:rsidRPr="00CB58FC" w:rsidRDefault="00AB75EF" w:rsidP="009505EE">
            <w:pPr>
              <w:rPr>
                <w:b/>
                <w:bCs/>
              </w:rPr>
            </w:pPr>
            <w:r w:rsidRPr="00CB58FC">
              <w:rPr>
                <w:b/>
                <w:bCs/>
              </w:rPr>
              <w:t>Region or country</w:t>
            </w:r>
          </w:p>
        </w:tc>
        <w:tc>
          <w:tcPr>
            <w:tcW w:w="4820" w:type="dxa"/>
          </w:tcPr>
          <w:p w14:paraId="26F29910" w14:textId="77777777" w:rsidR="00AB75EF" w:rsidRPr="00CB58FC" w:rsidRDefault="00AB75EF" w:rsidP="009505EE">
            <w:pPr>
              <w:rPr>
                <w:b/>
                <w:bCs/>
              </w:rPr>
            </w:pPr>
            <w:r w:rsidRPr="00CB58FC">
              <w:rPr>
                <w:b/>
                <w:bCs/>
              </w:rPr>
              <w:t>Provision</w:t>
            </w:r>
          </w:p>
        </w:tc>
        <w:tc>
          <w:tcPr>
            <w:tcW w:w="2829" w:type="dxa"/>
          </w:tcPr>
          <w:p w14:paraId="3C5A4A59" w14:textId="37E37E68" w:rsidR="00AB75EF" w:rsidRPr="00CB58FC" w:rsidRDefault="00AB75EF" w:rsidP="009505EE">
            <w:pPr>
              <w:rPr>
                <w:b/>
                <w:bCs/>
              </w:rPr>
            </w:pPr>
            <w:r w:rsidRPr="00CB58FC">
              <w:rPr>
                <w:b/>
                <w:bCs/>
              </w:rPr>
              <w:t>Comments</w:t>
            </w:r>
          </w:p>
        </w:tc>
      </w:tr>
      <w:tr w:rsidR="00AB75EF" w:rsidRPr="00CB58FC" w14:paraId="451EDE00" w14:textId="6EE31EAE" w:rsidTr="0015390C">
        <w:tc>
          <w:tcPr>
            <w:tcW w:w="1696" w:type="dxa"/>
          </w:tcPr>
          <w:p w14:paraId="0892E6B1" w14:textId="060048D4" w:rsidR="00AB75EF" w:rsidRPr="00CB58FC" w:rsidRDefault="00AB75EF" w:rsidP="009505EE">
            <w:pPr>
              <w:rPr>
                <w:sz w:val="20"/>
                <w:szCs w:val="20"/>
              </w:rPr>
            </w:pPr>
            <w:r w:rsidRPr="00CB58FC">
              <w:rPr>
                <w:sz w:val="20"/>
                <w:szCs w:val="20"/>
              </w:rPr>
              <w:t>E</w:t>
            </w:r>
            <w:r w:rsidR="003752F5" w:rsidRPr="00CB58FC">
              <w:rPr>
                <w:sz w:val="20"/>
                <w:szCs w:val="20"/>
              </w:rPr>
              <w:t>U</w:t>
            </w:r>
            <w:r w:rsidRPr="00CB58FC">
              <w:rPr>
                <w:sz w:val="20"/>
                <w:szCs w:val="20"/>
              </w:rPr>
              <w:t xml:space="preserve"> </w:t>
            </w:r>
            <w:r w:rsidR="00987278" w:rsidRPr="00CB58FC">
              <w:rPr>
                <w:rStyle w:val="FootnoteReference"/>
                <w:sz w:val="20"/>
                <w:szCs w:val="20"/>
              </w:rPr>
              <w:footnoteReference w:id="69"/>
            </w:r>
          </w:p>
        </w:tc>
        <w:tc>
          <w:tcPr>
            <w:tcW w:w="4820" w:type="dxa"/>
          </w:tcPr>
          <w:p w14:paraId="06A8B7BF" w14:textId="77777777" w:rsidR="00AB75EF" w:rsidRPr="00CB58FC" w:rsidRDefault="00AB75EF" w:rsidP="009505EE">
            <w:pPr>
              <w:pStyle w:val="CM1"/>
              <w:spacing w:before="200" w:after="200"/>
              <w:jc w:val="both"/>
              <w:rPr>
                <w:rFonts w:ascii="Arial" w:hAnsi="Arial" w:cs="Arial"/>
                <w:sz w:val="20"/>
                <w:szCs w:val="20"/>
              </w:rPr>
            </w:pPr>
            <w:r w:rsidRPr="00CB58FC">
              <w:rPr>
                <w:rFonts w:ascii="Arial" w:hAnsi="Arial" w:cs="Arial"/>
                <w:b/>
                <w:bCs/>
                <w:sz w:val="20"/>
                <w:szCs w:val="20"/>
              </w:rPr>
              <w:t>Recital (52)</w:t>
            </w:r>
            <w:r w:rsidRPr="00CB58FC">
              <w:rPr>
                <w:rFonts w:ascii="Arial" w:hAnsi="Arial" w:cs="Arial"/>
                <w:sz w:val="20"/>
                <w:szCs w:val="20"/>
              </w:rPr>
              <w:t xml:space="preserve">: </w:t>
            </w:r>
          </w:p>
          <w:p w14:paraId="119DCAA5" w14:textId="28C648EE" w:rsidR="00AB75EF" w:rsidRPr="00CB58FC" w:rsidRDefault="00AB75EF" w:rsidP="009505EE">
            <w:pPr>
              <w:pStyle w:val="CM1"/>
              <w:spacing w:before="200" w:after="200"/>
              <w:jc w:val="both"/>
              <w:rPr>
                <w:rFonts w:ascii="Arial" w:hAnsi="Arial" w:cs="Arial"/>
                <w:sz w:val="20"/>
                <w:szCs w:val="20"/>
              </w:rPr>
            </w:pPr>
            <w:r w:rsidRPr="00CB58FC">
              <w:rPr>
                <w:rFonts w:ascii="Arial" w:hAnsi="Arial" w:cs="Arial"/>
                <w:sz w:val="20"/>
                <w:szCs w:val="20"/>
              </w:rPr>
              <w:t>It is important for collective management organisations to respect the rights to private life and personal data protection of any right</w:t>
            </w:r>
            <w:r w:rsidR="00CD3978" w:rsidRPr="00CB58FC">
              <w:rPr>
                <w:rFonts w:ascii="Arial" w:hAnsi="Arial" w:cs="Arial"/>
                <w:sz w:val="20"/>
                <w:szCs w:val="20"/>
              </w:rPr>
              <w:t xml:space="preserve"> </w:t>
            </w:r>
            <w:r w:rsidRPr="00CB58FC">
              <w:rPr>
                <w:rFonts w:ascii="Arial" w:hAnsi="Arial" w:cs="Arial"/>
                <w:sz w:val="20"/>
                <w:szCs w:val="20"/>
              </w:rPr>
              <w:t>holder, member, user and other individual whose personal data they process. Directive 95/46/EC governs the processing of personal data carried out in the Member States in the context of that Directive and under the supervision of the Member States’ competent authorities, in particular the public independent authorities designated by the Member States. Right</w:t>
            </w:r>
            <w:r w:rsidR="00CD3978" w:rsidRPr="00CB58FC">
              <w:rPr>
                <w:rFonts w:ascii="Arial" w:hAnsi="Arial" w:cs="Arial"/>
                <w:sz w:val="20"/>
                <w:szCs w:val="20"/>
              </w:rPr>
              <w:t xml:space="preserve"> </w:t>
            </w:r>
            <w:r w:rsidRPr="00CB58FC">
              <w:rPr>
                <w:rFonts w:ascii="Arial" w:hAnsi="Arial" w:cs="Arial"/>
                <w:sz w:val="20"/>
                <w:szCs w:val="20"/>
              </w:rPr>
              <w:t xml:space="preserve">holders should be given appropriate information about the processing of their data, the recipients of those data, time limits for the retention of such data in any database, and the way in which </w:t>
            </w:r>
            <w:r w:rsidRPr="00CB58FC">
              <w:rPr>
                <w:rFonts w:ascii="Arial" w:hAnsi="Arial" w:cs="Arial"/>
                <w:sz w:val="20"/>
                <w:szCs w:val="20"/>
              </w:rPr>
              <w:lastRenderedPageBreak/>
              <w:t>right</w:t>
            </w:r>
            <w:r w:rsidR="00CD3978" w:rsidRPr="00CB58FC">
              <w:rPr>
                <w:rFonts w:ascii="Arial" w:hAnsi="Arial" w:cs="Arial"/>
                <w:sz w:val="20"/>
                <w:szCs w:val="20"/>
              </w:rPr>
              <w:t xml:space="preserve"> </w:t>
            </w:r>
            <w:r w:rsidRPr="00CB58FC">
              <w:rPr>
                <w:rFonts w:ascii="Arial" w:hAnsi="Arial" w:cs="Arial"/>
                <w:sz w:val="20"/>
                <w:szCs w:val="20"/>
              </w:rPr>
              <w:t>holders can exercise their rights to access, correct or delete their personal data concerning them in accordance with Directive 95/46/EC. In particular, unique identifiers which allow for the indirect identification of a person should be treated as personal data within the meaning of that Directive.</w:t>
            </w:r>
          </w:p>
          <w:p w14:paraId="6D73CE84" w14:textId="77777777" w:rsidR="00AB75EF" w:rsidRPr="00CB58FC" w:rsidRDefault="00AB75EF" w:rsidP="009505EE">
            <w:pPr>
              <w:pStyle w:val="CM4"/>
              <w:spacing w:before="60" w:after="60"/>
              <w:jc w:val="both"/>
              <w:rPr>
                <w:rFonts w:ascii="Arial" w:hAnsi="Arial" w:cs="Arial"/>
                <w:sz w:val="20"/>
                <w:szCs w:val="20"/>
              </w:rPr>
            </w:pPr>
            <w:r w:rsidRPr="00CB58FC">
              <w:rPr>
                <w:rFonts w:ascii="Arial" w:hAnsi="Arial" w:cs="Arial"/>
                <w:i/>
                <w:iCs/>
                <w:sz w:val="20"/>
                <w:szCs w:val="20"/>
              </w:rPr>
              <w:t xml:space="preserve">Article 42 </w:t>
            </w:r>
          </w:p>
          <w:p w14:paraId="0EC68F19" w14:textId="77777777" w:rsidR="00AB75EF" w:rsidRPr="00CB58FC" w:rsidRDefault="00AB75EF" w:rsidP="009505EE">
            <w:pPr>
              <w:pStyle w:val="CM4"/>
              <w:spacing w:before="60" w:after="60"/>
              <w:jc w:val="both"/>
              <w:rPr>
                <w:rFonts w:ascii="Arial" w:hAnsi="Arial" w:cs="Arial"/>
                <w:sz w:val="20"/>
                <w:szCs w:val="20"/>
              </w:rPr>
            </w:pPr>
            <w:r w:rsidRPr="00CB58FC">
              <w:rPr>
                <w:rFonts w:ascii="Arial" w:hAnsi="Arial" w:cs="Arial"/>
                <w:b/>
                <w:bCs/>
                <w:sz w:val="20"/>
                <w:szCs w:val="20"/>
              </w:rPr>
              <w:t xml:space="preserve">Protection of personal data </w:t>
            </w:r>
          </w:p>
          <w:p w14:paraId="726C7058" w14:textId="77777777" w:rsidR="00AB75EF" w:rsidRPr="00CB58FC" w:rsidRDefault="00AB75EF" w:rsidP="009505EE">
            <w:pPr>
              <w:pStyle w:val="Default"/>
              <w:jc w:val="both"/>
              <w:rPr>
                <w:color w:val="auto"/>
                <w:sz w:val="20"/>
                <w:szCs w:val="20"/>
              </w:rPr>
            </w:pPr>
            <w:r w:rsidRPr="00CB58FC">
              <w:rPr>
                <w:color w:val="auto"/>
                <w:sz w:val="20"/>
                <w:szCs w:val="20"/>
              </w:rPr>
              <w:t>The processing of personal data carried out within the framework of this Directive shall be subject to Directive 95/46/EC.</w:t>
            </w:r>
          </w:p>
        </w:tc>
        <w:tc>
          <w:tcPr>
            <w:tcW w:w="2829" w:type="dxa"/>
          </w:tcPr>
          <w:p w14:paraId="1A1CFE10" w14:textId="17C0490D" w:rsidR="00AB75EF" w:rsidRPr="00CB58FC" w:rsidRDefault="00641FC5" w:rsidP="009505EE">
            <w:pPr>
              <w:pStyle w:val="CM1"/>
              <w:spacing w:before="200" w:after="200"/>
              <w:jc w:val="both"/>
              <w:rPr>
                <w:rFonts w:ascii="Arial" w:hAnsi="Arial" w:cs="Arial"/>
                <w:sz w:val="20"/>
                <w:szCs w:val="20"/>
              </w:rPr>
            </w:pPr>
            <w:r w:rsidRPr="00CB58FC">
              <w:rPr>
                <w:rFonts w:ascii="Arial" w:hAnsi="Arial" w:cs="Arial"/>
                <w:sz w:val="20"/>
                <w:szCs w:val="20"/>
              </w:rPr>
              <w:lastRenderedPageBreak/>
              <w:t xml:space="preserve">General obligations and principles that apply to EU member states </w:t>
            </w:r>
          </w:p>
        </w:tc>
      </w:tr>
      <w:tr w:rsidR="00AB75EF" w:rsidRPr="00CB58FC" w14:paraId="2015BA5D" w14:textId="654B613C" w:rsidTr="0015390C">
        <w:tc>
          <w:tcPr>
            <w:tcW w:w="1696" w:type="dxa"/>
          </w:tcPr>
          <w:p w14:paraId="4C376D8E" w14:textId="4BAAD773" w:rsidR="00AB75EF" w:rsidRPr="00CB58FC" w:rsidRDefault="00AB75EF" w:rsidP="009505EE">
            <w:pPr>
              <w:rPr>
                <w:sz w:val="20"/>
                <w:szCs w:val="20"/>
              </w:rPr>
            </w:pPr>
            <w:r w:rsidRPr="00CB58FC">
              <w:rPr>
                <w:sz w:val="20"/>
                <w:szCs w:val="20"/>
              </w:rPr>
              <w:t>UK</w:t>
            </w:r>
            <w:r w:rsidR="00641FC5" w:rsidRPr="00CB58FC">
              <w:rPr>
                <w:rStyle w:val="FootnoteReference"/>
                <w:sz w:val="20"/>
                <w:szCs w:val="20"/>
              </w:rPr>
              <w:footnoteReference w:id="70"/>
            </w:r>
            <w:r w:rsidRPr="00CB58FC">
              <w:rPr>
                <w:sz w:val="20"/>
                <w:szCs w:val="20"/>
              </w:rPr>
              <w:t xml:space="preserve"> </w:t>
            </w:r>
          </w:p>
        </w:tc>
        <w:tc>
          <w:tcPr>
            <w:tcW w:w="4820" w:type="dxa"/>
          </w:tcPr>
          <w:p w14:paraId="0572CC56" w14:textId="77777777" w:rsidR="00AB75EF" w:rsidRPr="00CB58FC" w:rsidRDefault="00AB75EF" w:rsidP="009505EE">
            <w:pPr>
              <w:rPr>
                <w:sz w:val="20"/>
                <w:szCs w:val="20"/>
              </w:rPr>
            </w:pPr>
            <w:r w:rsidRPr="00CB58FC">
              <w:rPr>
                <w:rFonts w:eastAsiaTheme="minorHAnsi"/>
                <w:sz w:val="20"/>
                <w:szCs w:val="20"/>
                <w14:ligatures w14:val="standardContextual"/>
              </w:rPr>
              <w:t>Reg 15(7) Information obtained under this regulation shall be treated as confidential.</w:t>
            </w:r>
          </w:p>
        </w:tc>
        <w:tc>
          <w:tcPr>
            <w:tcW w:w="2829" w:type="dxa"/>
          </w:tcPr>
          <w:p w14:paraId="17DE2832" w14:textId="57ABC98E" w:rsidR="00AB75EF" w:rsidRPr="00CB58FC" w:rsidRDefault="00641FC5" w:rsidP="0015390C">
            <w:pPr>
              <w:jc w:val="both"/>
              <w:rPr>
                <w:rFonts w:eastAsiaTheme="minorHAnsi"/>
                <w:sz w:val="20"/>
                <w14:ligatures w14:val="standardContextual"/>
              </w:rPr>
            </w:pPr>
            <w:r w:rsidRPr="00CB58FC">
              <w:rPr>
                <w:sz w:val="20"/>
                <w:szCs w:val="20"/>
              </w:rPr>
              <w:t>This deals with information, obtained on request under reg15(1): see Table 23 above.</w:t>
            </w:r>
          </w:p>
        </w:tc>
      </w:tr>
      <w:tr w:rsidR="00AB75EF" w:rsidRPr="00CB58FC" w14:paraId="28496DF4" w14:textId="40B8C122" w:rsidTr="0015390C">
        <w:tc>
          <w:tcPr>
            <w:tcW w:w="1696" w:type="dxa"/>
          </w:tcPr>
          <w:p w14:paraId="7C9B4152" w14:textId="1543E00D" w:rsidR="00AB75EF" w:rsidRPr="00CB58FC" w:rsidRDefault="00AB75EF" w:rsidP="009505EE">
            <w:pPr>
              <w:rPr>
                <w:sz w:val="20"/>
                <w:szCs w:val="20"/>
              </w:rPr>
            </w:pPr>
            <w:r w:rsidRPr="00CB58FC">
              <w:rPr>
                <w:sz w:val="20"/>
                <w:szCs w:val="20"/>
              </w:rPr>
              <w:t>Spain</w:t>
            </w:r>
            <w:r w:rsidR="00641FC5" w:rsidRPr="00CB58FC">
              <w:rPr>
                <w:rStyle w:val="FootnoteReference"/>
                <w:sz w:val="20"/>
                <w:szCs w:val="20"/>
              </w:rPr>
              <w:footnoteReference w:id="71"/>
            </w:r>
            <w:r w:rsidRPr="00CB58FC">
              <w:rPr>
                <w:sz w:val="20"/>
                <w:szCs w:val="20"/>
              </w:rPr>
              <w:t xml:space="preserve"> </w:t>
            </w:r>
          </w:p>
        </w:tc>
        <w:tc>
          <w:tcPr>
            <w:tcW w:w="4820" w:type="dxa"/>
          </w:tcPr>
          <w:p w14:paraId="6B25E830" w14:textId="77777777" w:rsidR="00AB75EF" w:rsidRPr="00CB58FC" w:rsidRDefault="00AB75EF" w:rsidP="0015390C">
            <w:pPr>
              <w:jc w:val="both"/>
              <w:rPr>
                <w:sz w:val="20"/>
                <w:szCs w:val="20"/>
              </w:rPr>
            </w:pPr>
            <w:r w:rsidRPr="00CB58FC">
              <w:rPr>
                <w:sz w:val="20"/>
                <w:szCs w:val="20"/>
              </w:rPr>
              <w:t>18. Management entities must respect the principles of confidentiality or commercial privacy in relation to any information they become aware of in the exercise of the powers provided for in this law.</w:t>
            </w:r>
          </w:p>
        </w:tc>
        <w:tc>
          <w:tcPr>
            <w:tcW w:w="2829" w:type="dxa"/>
          </w:tcPr>
          <w:p w14:paraId="0AD60D52" w14:textId="2DC971B2" w:rsidR="00AB75EF" w:rsidRPr="00CB58FC" w:rsidRDefault="00641FC5" w:rsidP="0015390C">
            <w:pPr>
              <w:jc w:val="both"/>
              <w:rPr>
                <w:sz w:val="20"/>
              </w:rPr>
            </w:pPr>
            <w:r w:rsidRPr="00CB58FC">
              <w:rPr>
                <w:sz w:val="20"/>
              </w:rPr>
              <w:t>General obligation to ‘respect’ privacy or commercial privacy of information obtained by CMO.</w:t>
            </w:r>
          </w:p>
        </w:tc>
      </w:tr>
    </w:tbl>
    <w:p w14:paraId="240BEE80" w14:textId="77777777" w:rsidR="003D6031" w:rsidRPr="00CB58FC" w:rsidRDefault="003D6031" w:rsidP="003D6031">
      <w:r w:rsidRPr="00CB58FC">
        <w:t xml:space="preserve">   </w:t>
      </w:r>
    </w:p>
    <w:p w14:paraId="78C97B90" w14:textId="77777777" w:rsidR="003D6031" w:rsidRPr="00CB58FC" w:rsidRDefault="003D6031" w:rsidP="003D6031">
      <w:pPr>
        <w:pStyle w:val="Heading1"/>
        <w:rPr>
          <w:szCs w:val="22"/>
        </w:rPr>
      </w:pPr>
      <w:r w:rsidRPr="00CB58FC">
        <w:rPr>
          <w:szCs w:val="22"/>
        </w:rPr>
        <w:t>IDENTIFYING ELIGIBLE RESALES – MORE PRACTICAL STEPS THAT MAY BE TAKEN BY CMOS (PROTOCOLS, AGREEMENTS, AND OTHER PRACTICES)</w:t>
      </w:r>
    </w:p>
    <w:p w14:paraId="6496460F" w14:textId="77777777" w:rsidR="003D6031" w:rsidRPr="00CB58FC" w:rsidRDefault="003D6031" w:rsidP="003D6031"/>
    <w:p w14:paraId="740AAC4D" w14:textId="67F7206C" w:rsidR="003D6031" w:rsidRPr="00CB58FC" w:rsidRDefault="00641FC5" w:rsidP="003D6031">
      <w:pPr>
        <w:pStyle w:val="ListParagraph"/>
        <w:numPr>
          <w:ilvl w:val="0"/>
          <w:numId w:val="16"/>
        </w:numPr>
        <w:rPr>
          <w:rFonts w:cs="Arial"/>
        </w:rPr>
      </w:pPr>
      <w:r w:rsidRPr="00CB58FC">
        <w:rPr>
          <w:rFonts w:cs="Arial"/>
        </w:rPr>
        <w:t>J</w:t>
      </w:r>
      <w:r w:rsidR="003D6031" w:rsidRPr="00CB58FC">
        <w:rPr>
          <w:rFonts w:cs="Arial"/>
        </w:rPr>
        <w:t xml:space="preserve">udgments as to the legal eligibility of a particular resale for ARR will fall to be made at several times and by several parties: at the times of resale and reporting by the AMP, seller and/or buyer; and, at the time of its receipt of the AMP’s report, by the CMO, acting on behalf of the eligible right holder. These parties will therefore need to be well briefed on the criteria for eligibility and their application to any given resale that is reportable and is reported: training of skilled staff within the CMO to deal with these matters is therefore essential. </w:t>
      </w:r>
    </w:p>
    <w:p w14:paraId="27FF663F" w14:textId="77777777" w:rsidR="003752F5" w:rsidRPr="00CB58FC" w:rsidRDefault="003752F5" w:rsidP="0015390C">
      <w:pPr>
        <w:pStyle w:val="ListParagraph"/>
        <w:ind w:left="360"/>
        <w:rPr>
          <w:rFonts w:cs="Arial"/>
        </w:rPr>
      </w:pPr>
    </w:p>
    <w:p w14:paraId="4DFF1178" w14:textId="2AD9C94A" w:rsidR="003752F5" w:rsidRPr="00CB58FC" w:rsidRDefault="003D6031" w:rsidP="003752F5">
      <w:pPr>
        <w:pStyle w:val="ListParagraph"/>
        <w:numPr>
          <w:ilvl w:val="0"/>
          <w:numId w:val="16"/>
        </w:numPr>
        <w:rPr>
          <w:rFonts w:cs="Arial"/>
        </w:rPr>
      </w:pPr>
      <w:r w:rsidRPr="00CB58FC">
        <w:rPr>
          <w:rFonts w:cs="Arial"/>
        </w:rPr>
        <w:t>In operational terms, once the eligible resale is identified and reported to the CMO, the latter can then link this information to that which it already holds concerning the eligible right holder and determine the amount of royalty payable accordingly. Nevertheless,</w:t>
      </w:r>
      <w:r w:rsidR="00E57ACA" w:rsidRPr="00CB58FC">
        <w:rPr>
          <w:rFonts w:cs="Arial"/>
        </w:rPr>
        <w:t xml:space="preserve"> there may be practical difficulties that can arise here.</w:t>
      </w:r>
      <w:r w:rsidRPr="00CB58FC">
        <w:rPr>
          <w:rFonts w:cs="Arial"/>
        </w:rPr>
        <w:t xml:space="preserve"> </w:t>
      </w:r>
      <w:r w:rsidR="00E50CCE" w:rsidRPr="00CB58FC">
        <w:rPr>
          <w:rFonts w:cs="Arial"/>
        </w:rPr>
        <w:t>W</w:t>
      </w:r>
      <w:r w:rsidRPr="00CB58FC">
        <w:rPr>
          <w:rFonts w:cs="Arial"/>
        </w:rPr>
        <w:t>hile it is helpful for right holders and CMOs to possess the power to request information from sellers and AMPs, including the power to request audit as in Germany (see above), the real objective for the CMO is to ensure that it receives timely notification of eligible resales</w:t>
      </w:r>
      <w:r w:rsidR="00E74D38" w:rsidRPr="00CB58FC">
        <w:rPr>
          <w:rFonts w:cs="Arial"/>
        </w:rPr>
        <w:t>.</w:t>
      </w:r>
      <w:r w:rsidRPr="00CB58FC">
        <w:rPr>
          <w:rFonts w:cs="Arial"/>
        </w:rPr>
        <w:t xml:space="preserve"> </w:t>
      </w:r>
      <w:r w:rsidR="00E74D38" w:rsidRPr="00CB58FC">
        <w:rPr>
          <w:rFonts w:cs="Arial"/>
        </w:rPr>
        <w:t>F</w:t>
      </w:r>
      <w:r w:rsidRPr="00CB58FC">
        <w:rPr>
          <w:rFonts w:cs="Arial"/>
        </w:rPr>
        <w:t>or this reason, as noted above, most CMOs are proactive in monitoring what is occurring within their particular art markets and in seeking information from sellers and AMPs where it is believed that an eligible resale has occurred.</w:t>
      </w:r>
    </w:p>
    <w:p w14:paraId="25ED7DE2" w14:textId="77777777" w:rsidR="003752F5" w:rsidRPr="00CB58FC" w:rsidRDefault="003752F5" w:rsidP="0015390C">
      <w:pPr>
        <w:pStyle w:val="ListParagraph"/>
        <w:ind w:left="360"/>
        <w:rPr>
          <w:rFonts w:cs="Arial"/>
        </w:rPr>
      </w:pPr>
    </w:p>
    <w:p w14:paraId="6610BDF6" w14:textId="3752FC8B" w:rsidR="003D6031" w:rsidRPr="00CB58FC" w:rsidRDefault="003D6031" w:rsidP="003D6031">
      <w:pPr>
        <w:pStyle w:val="ListParagraph"/>
        <w:numPr>
          <w:ilvl w:val="0"/>
          <w:numId w:val="16"/>
        </w:numPr>
        <w:rPr>
          <w:rFonts w:cs="Arial"/>
        </w:rPr>
      </w:pPr>
      <w:r w:rsidRPr="00CB58FC">
        <w:rPr>
          <w:rFonts w:cs="Arial"/>
        </w:rPr>
        <w:t xml:space="preserve">In practical terms, liaising with the likely groups of AMPs that will be involved in commercial resales is a sensible way of closing this information gap. In </w:t>
      </w:r>
      <w:r w:rsidR="00E57ACA" w:rsidRPr="00CB58FC">
        <w:rPr>
          <w:rFonts w:cs="Arial"/>
        </w:rPr>
        <w:t xml:space="preserve">some </w:t>
      </w:r>
      <w:r w:rsidRPr="00CB58FC">
        <w:rPr>
          <w:rFonts w:cs="Arial"/>
        </w:rPr>
        <w:t>countries, such groups will have their own professional trade associations, making it easier to set up lines of communication with members and to establish channels for the ready reporting of resales. In such cases, therefore, it may be possible to establish contractual arrangements between the CMO and these associations as well as their individual members in which protocols for reporting resales can be agreed, as well as other matters relating to the management of ARR (see further at par 8</w:t>
      </w:r>
      <w:r w:rsidR="00E50CCE" w:rsidRPr="00CB58FC">
        <w:rPr>
          <w:rFonts w:cs="Arial"/>
        </w:rPr>
        <w:t>6</w:t>
      </w:r>
      <w:r w:rsidRPr="00CB58FC">
        <w:rPr>
          <w:rFonts w:cs="Arial"/>
        </w:rPr>
        <w:t xml:space="preserve"> below in relation to the various categories of works that will potentially be liable for ARR). Such arrangements will be </w:t>
      </w:r>
      <w:r w:rsidR="00E50CCE" w:rsidRPr="00CB58FC">
        <w:rPr>
          <w:rFonts w:cs="Arial"/>
        </w:rPr>
        <w:t xml:space="preserve">separate </w:t>
      </w:r>
      <w:r w:rsidRPr="00CB58FC">
        <w:rPr>
          <w:rFonts w:cs="Arial"/>
        </w:rPr>
        <w:t xml:space="preserve">from any legislative reporting </w:t>
      </w:r>
      <w:r w:rsidRPr="00CB58FC">
        <w:rPr>
          <w:rFonts w:cs="Arial"/>
        </w:rPr>
        <w:lastRenderedPageBreak/>
        <w:t xml:space="preserve">requirements (which may still apply) and may be seen as instances of private ordering between the affected parties to ensure the smooth processing of claims and payments. </w:t>
      </w:r>
    </w:p>
    <w:p w14:paraId="36FE80C7" w14:textId="77777777" w:rsidR="003752F5" w:rsidRPr="00CB58FC" w:rsidRDefault="003752F5" w:rsidP="0015390C">
      <w:pPr>
        <w:pStyle w:val="ListParagraph"/>
        <w:ind w:left="360"/>
        <w:rPr>
          <w:rFonts w:cs="Arial"/>
        </w:rPr>
      </w:pPr>
    </w:p>
    <w:p w14:paraId="2B547437" w14:textId="306501D1" w:rsidR="003D6031" w:rsidRPr="00CB58FC" w:rsidRDefault="003D6031" w:rsidP="003D6031">
      <w:pPr>
        <w:pStyle w:val="ListParagraph"/>
        <w:numPr>
          <w:ilvl w:val="0"/>
          <w:numId w:val="16"/>
        </w:numPr>
        <w:rPr>
          <w:rFonts w:cs="Arial"/>
        </w:rPr>
      </w:pPr>
      <w:r w:rsidRPr="00CB58FC">
        <w:rPr>
          <w:rFonts w:cs="Arial"/>
        </w:rPr>
        <w:t xml:space="preserve">Germany provides an example of this approach. In that country, there are peak associations covering auctioneers (Federal Association of German Auctioneers - BVDG), galleries and art dealers (Federal Association of German Galleries and Art Dealers – BVDG), art dealers (Art Trade Association Germany – KD and Association of German Antiquarians – VDA). There are framework agreements between these associations and </w:t>
      </w:r>
      <w:r w:rsidR="00D374E1" w:rsidRPr="00CB58FC">
        <w:rPr>
          <w:rFonts w:cs="Arial"/>
        </w:rPr>
        <w:t>Bild Kunst</w:t>
      </w:r>
      <w:r w:rsidRPr="00CB58FC">
        <w:rPr>
          <w:rFonts w:cs="Arial"/>
        </w:rPr>
        <w:t xml:space="preserve"> and there is provision for their members to enter into individual contracts with </w:t>
      </w:r>
      <w:r w:rsidR="00D374E1" w:rsidRPr="00CB58FC">
        <w:rPr>
          <w:rFonts w:cs="Arial"/>
        </w:rPr>
        <w:t>Bild Kunst</w:t>
      </w:r>
      <w:r w:rsidRPr="00CB58FC">
        <w:rPr>
          <w:rFonts w:cs="Arial"/>
        </w:rPr>
        <w:t xml:space="preserve"> in which they undertake to report relevant resales, with the possibility of receiving a 10% credit of the resale right fee</w:t>
      </w:r>
      <w:r w:rsidR="00E57ACA" w:rsidRPr="00CB58FC">
        <w:rPr>
          <w:rFonts w:cs="Arial"/>
        </w:rPr>
        <w:t>.</w:t>
      </w:r>
      <w:r w:rsidR="00E57ACA" w:rsidRPr="00CB58FC">
        <w:rPr>
          <w:rStyle w:val="FootnoteReference"/>
          <w:rFonts w:cs="Arial"/>
        </w:rPr>
        <w:footnoteReference w:id="72"/>
      </w:r>
      <w:r w:rsidRPr="00CB58FC">
        <w:rPr>
          <w:rFonts w:cs="Arial"/>
        </w:rPr>
        <w:t xml:space="preserve">  </w:t>
      </w:r>
    </w:p>
    <w:p w14:paraId="33317D29" w14:textId="10B34113" w:rsidR="00744680" w:rsidRPr="00CB58FC" w:rsidRDefault="00744680" w:rsidP="00744680">
      <w:pPr>
        <w:pStyle w:val="ListParagraph"/>
        <w:ind w:left="360"/>
        <w:rPr>
          <w:rFonts w:cs="Arial"/>
        </w:rPr>
      </w:pPr>
    </w:p>
    <w:p w14:paraId="7A16A84A" w14:textId="54AFB1D6" w:rsidR="003D6031" w:rsidRPr="00CB58FC" w:rsidRDefault="003D6031" w:rsidP="003D6031">
      <w:pPr>
        <w:pStyle w:val="ListParagraph"/>
        <w:numPr>
          <w:ilvl w:val="0"/>
          <w:numId w:val="16"/>
        </w:numPr>
        <w:rPr>
          <w:rFonts w:cs="Arial"/>
        </w:rPr>
      </w:pPr>
      <w:r w:rsidRPr="00CB58FC">
        <w:rPr>
          <w:rFonts w:cs="Arial"/>
        </w:rPr>
        <w:t>A somewhat different approach is taken in the UK</w:t>
      </w:r>
      <w:r w:rsidR="00C03139">
        <w:rPr>
          <w:rFonts w:cs="Arial"/>
        </w:rPr>
        <w:t xml:space="preserve"> and France</w:t>
      </w:r>
      <w:r w:rsidRPr="00CB58FC">
        <w:rPr>
          <w:rFonts w:cs="Arial"/>
        </w:rPr>
        <w:t>, although there are also significant professional associations of AMPs in th</w:t>
      </w:r>
      <w:r w:rsidR="00E50CCE" w:rsidRPr="00CB58FC">
        <w:rPr>
          <w:rFonts w:cs="Arial"/>
        </w:rPr>
        <w:t>at</w:t>
      </w:r>
      <w:r w:rsidRPr="00CB58FC">
        <w:rPr>
          <w:rFonts w:cs="Arial"/>
        </w:rPr>
        <w:t xml:space="preserve"> countr</w:t>
      </w:r>
      <w:r w:rsidR="00E50CCE" w:rsidRPr="00CB58FC">
        <w:rPr>
          <w:rFonts w:cs="Arial"/>
        </w:rPr>
        <w:t>y</w:t>
      </w:r>
      <w:r w:rsidRPr="00CB58FC">
        <w:rPr>
          <w:rFonts w:cs="Arial"/>
        </w:rPr>
        <w:t>. DACS and ADAGP obtain information by reviewing publicly available auction results and information made available by commercial galleries. On its website, DACS has online forms for sellers and AMPs to fill in about resales</w:t>
      </w:r>
      <w:r w:rsidR="00A97861" w:rsidRPr="00CB58FC">
        <w:rPr>
          <w:rFonts w:cs="Arial"/>
        </w:rPr>
        <w:t>.</w:t>
      </w:r>
      <w:r w:rsidR="00A97861" w:rsidRPr="00CB58FC">
        <w:rPr>
          <w:rStyle w:val="FootnoteReference"/>
          <w:rFonts w:cs="Arial"/>
        </w:rPr>
        <w:footnoteReference w:id="73"/>
      </w:r>
      <w:r w:rsidRPr="00CB58FC">
        <w:rPr>
          <w:rFonts w:cs="Arial"/>
        </w:rPr>
        <w:t xml:space="preserve"> It also sends quarterly requests for information to any AMP that appears to be involved in ARR qualifying transactions to inform them of their obligations to pay ARR royalties. AMPs are then asked to respond to these requests for information with details of any qualifying sales within 90 days, relying here ultimately on their statutory power to apply for a court order to compel disclosure of information should an AMP fail to respond to a request for information. Over the years, these quarterly requests and returns from AMPs have provided a reliable source of information about resales,</w:t>
      </w:r>
      <w:r w:rsidRPr="00CB58FC">
        <w:rPr>
          <w:rStyle w:val="FootnoteReference"/>
          <w:rFonts w:cs="Arial"/>
        </w:rPr>
        <w:footnoteReference w:id="74"/>
      </w:r>
      <w:r w:rsidRPr="00CB58FC">
        <w:rPr>
          <w:rFonts w:cs="Arial"/>
        </w:rPr>
        <w:t xml:space="preserve"> although DACS employs a small team of skilled researchers to monitor resales generally and to check these returns where it appears likely that a resale has occurred but has not been reported. In this regard, DACS reported that a power to seek an audit of AMP’s books would be a useful aid in its work but, in general, the system that has evolved operates reasonably well, with trust on all sides. A similar system of quarterly reporting is operated by ACS</w:t>
      </w:r>
      <w:r w:rsidR="00E50CCE" w:rsidRPr="00CB58FC">
        <w:rPr>
          <w:rFonts w:cs="Arial"/>
        </w:rPr>
        <w:t>,</w:t>
      </w:r>
      <w:r w:rsidRPr="00CB58FC">
        <w:rPr>
          <w:rFonts w:cs="Arial"/>
        </w:rPr>
        <w:t xml:space="preserve"> the</w:t>
      </w:r>
      <w:r w:rsidR="00A97861" w:rsidRPr="00CB58FC">
        <w:rPr>
          <w:rFonts w:cs="Arial"/>
        </w:rPr>
        <w:t xml:space="preserve"> other CMO administering ARR in the UK,</w:t>
      </w:r>
      <w:r w:rsidR="00A97861" w:rsidRPr="00CB58FC">
        <w:rPr>
          <w:rStyle w:val="FootnoteReference"/>
          <w:rFonts w:cs="Arial"/>
        </w:rPr>
        <w:footnoteReference w:id="75"/>
      </w:r>
      <w:r w:rsidRPr="00CB58FC">
        <w:rPr>
          <w:rFonts w:cs="Arial"/>
        </w:rPr>
        <w:t xml:space="preserve"> and in Denmark</w:t>
      </w:r>
      <w:r w:rsidR="00A97861" w:rsidRPr="00CB58FC">
        <w:rPr>
          <w:rFonts w:cs="Arial"/>
        </w:rPr>
        <w:t>.</w:t>
      </w:r>
      <w:r w:rsidR="00A97861" w:rsidRPr="00CB58FC">
        <w:rPr>
          <w:rStyle w:val="FootnoteReference"/>
          <w:rFonts w:cs="Arial"/>
        </w:rPr>
        <w:footnoteReference w:id="76"/>
      </w:r>
      <w:r w:rsidRPr="00CB58FC">
        <w:rPr>
          <w:rFonts w:cs="Arial"/>
        </w:rPr>
        <w:t xml:space="preserve"> </w:t>
      </w:r>
      <w:r w:rsidR="00A97861" w:rsidRPr="00CB58FC">
        <w:rPr>
          <w:rFonts w:cs="Arial"/>
        </w:rPr>
        <w:t xml:space="preserve">ADAGP </w:t>
      </w:r>
      <w:r w:rsidR="00EF22BE" w:rsidRPr="00CB58FC">
        <w:t xml:space="preserve">in France likewise has </w:t>
      </w:r>
      <w:r w:rsidR="00A97861" w:rsidRPr="00CB58FC">
        <w:t>various online</w:t>
      </w:r>
      <w:r w:rsidR="00EF22BE" w:rsidRPr="00CB58FC">
        <w:t xml:space="preserve"> forms for AMP</w:t>
      </w:r>
      <w:r w:rsidR="00A97861" w:rsidRPr="00CB58FC">
        <w:t>s</w:t>
      </w:r>
      <w:r w:rsidR="00EF22BE" w:rsidRPr="00CB58FC">
        <w:t xml:space="preserve"> to fill out and return with respect to resales.</w:t>
      </w:r>
      <w:r w:rsidR="00A97861" w:rsidRPr="00CB58FC">
        <w:rPr>
          <w:rStyle w:val="FootnoteReference"/>
        </w:rPr>
        <w:footnoteReference w:id="77"/>
      </w:r>
      <w:r w:rsidR="00EF22BE" w:rsidRPr="00CB58FC">
        <w:t xml:space="preserve"> In this regard, ADAGP reports that in almost all cases AMPs respond to requests sent directly to them by ADAGP after resales, as well as sending quarterly requests to galleries and other AMPs. ADAGP also reported that it is currently working on a platform for AMPs to declare their ARR-qualifying transactions online and that this platform should be launched for galleries in 2025.</w:t>
      </w:r>
      <w:r w:rsidR="00982F59" w:rsidRPr="00CB58FC">
        <w:rPr>
          <w:rStyle w:val="FootnoteReference"/>
        </w:rPr>
        <w:footnoteReference w:id="78"/>
      </w:r>
      <w:r w:rsidR="00EF22BE" w:rsidRPr="00CB58FC">
        <w:t xml:space="preserve">   </w:t>
      </w:r>
      <w:r w:rsidRPr="00CB58FC">
        <w:rPr>
          <w:rFonts w:cs="Arial"/>
        </w:rPr>
        <w:t xml:space="preserve">   </w:t>
      </w:r>
    </w:p>
    <w:p w14:paraId="1437AD4D" w14:textId="77777777" w:rsidR="003752F5" w:rsidRPr="00CB58FC" w:rsidRDefault="003752F5" w:rsidP="0015390C">
      <w:pPr>
        <w:pStyle w:val="ListParagraph"/>
        <w:ind w:left="360"/>
        <w:rPr>
          <w:rFonts w:cs="Arial"/>
        </w:rPr>
      </w:pPr>
    </w:p>
    <w:p w14:paraId="52432AC6" w14:textId="68E9BF4F" w:rsidR="003D6031" w:rsidRPr="00CB58FC" w:rsidRDefault="003D6031" w:rsidP="003D6031">
      <w:pPr>
        <w:pStyle w:val="ListParagraph"/>
        <w:numPr>
          <w:ilvl w:val="0"/>
          <w:numId w:val="16"/>
        </w:numPr>
        <w:rPr>
          <w:rFonts w:cs="Arial"/>
        </w:rPr>
      </w:pPr>
      <w:r w:rsidRPr="00CB58FC">
        <w:rPr>
          <w:rFonts w:cs="Arial"/>
        </w:rPr>
        <w:t xml:space="preserve">The art market in each member country will vary widely, according to population and the structure of the society and economy. However, </w:t>
      </w:r>
      <w:r w:rsidR="00982F59" w:rsidRPr="00CB58FC">
        <w:rPr>
          <w:rFonts w:cs="Arial"/>
        </w:rPr>
        <w:t>the practices and experiences of the several CMOs referred to in the preceding paragraphs</w:t>
      </w:r>
      <w:r w:rsidRPr="00CB58FC">
        <w:rPr>
          <w:rFonts w:cs="Arial"/>
        </w:rPr>
        <w:t xml:space="preserve"> suggests that the development of trust relationships between CMOs and sellers/</w:t>
      </w:r>
      <w:r w:rsidR="002E238D" w:rsidRPr="00CB58FC">
        <w:rPr>
          <w:rFonts w:cs="Arial"/>
        </w:rPr>
        <w:t>AMP</w:t>
      </w:r>
      <w:r w:rsidRPr="00CB58FC">
        <w:rPr>
          <w:rFonts w:cs="Arial"/>
        </w:rPr>
        <w:t xml:space="preserve">s </w:t>
      </w:r>
      <w:r w:rsidR="00982F59" w:rsidRPr="00CB58FC">
        <w:rPr>
          <w:rFonts w:cs="Arial"/>
        </w:rPr>
        <w:t>can play a valuable role in the</w:t>
      </w:r>
      <w:r w:rsidRPr="00CB58FC">
        <w:rPr>
          <w:rFonts w:cs="Arial"/>
        </w:rPr>
        <w:t xml:space="preserve"> development </w:t>
      </w:r>
      <w:r w:rsidRPr="00CB58FC">
        <w:rPr>
          <w:rFonts w:cs="Arial"/>
        </w:rPr>
        <w:lastRenderedPageBreak/>
        <w:t>of workable system</w:t>
      </w:r>
      <w:r w:rsidR="002E238D" w:rsidRPr="00CB58FC">
        <w:rPr>
          <w:rFonts w:cs="Arial"/>
        </w:rPr>
        <w:t>s</w:t>
      </w:r>
      <w:r w:rsidRPr="00CB58FC">
        <w:rPr>
          <w:rFonts w:cs="Arial"/>
        </w:rPr>
        <w:t xml:space="preserve"> of reporting and processing of ARR claims. The following practical steps</w:t>
      </w:r>
      <w:r w:rsidR="00D52436" w:rsidRPr="00CB58FC">
        <w:rPr>
          <w:rFonts w:cs="Arial"/>
        </w:rPr>
        <w:t xml:space="preserve"> and considerations</w:t>
      </w:r>
      <w:r w:rsidRPr="00CB58FC">
        <w:rPr>
          <w:rFonts w:cs="Arial"/>
        </w:rPr>
        <w:t xml:space="preserve"> </w:t>
      </w:r>
      <w:r w:rsidR="00D52436" w:rsidRPr="00CB58FC">
        <w:rPr>
          <w:rFonts w:cs="Arial"/>
        </w:rPr>
        <w:t xml:space="preserve">may therefore </w:t>
      </w:r>
      <w:r w:rsidRPr="00CB58FC">
        <w:rPr>
          <w:rFonts w:cs="Arial"/>
        </w:rPr>
        <w:t>assist in the development of such relationships:</w:t>
      </w:r>
    </w:p>
    <w:p w14:paraId="75CCCC90" w14:textId="77777777" w:rsidR="003D6031" w:rsidRPr="00CB58FC" w:rsidRDefault="003D6031" w:rsidP="003D6031">
      <w:pPr>
        <w:pStyle w:val="ListParagraph"/>
        <w:numPr>
          <w:ilvl w:val="1"/>
          <w:numId w:val="16"/>
        </w:numPr>
        <w:rPr>
          <w:rFonts w:cs="Arial"/>
        </w:rPr>
      </w:pPr>
      <w:r w:rsidRPr="00CB58FC">
        <w:rPr>
          <w:rFonts w:cs="Arial"/>
        </w:rPr>
        <w:t xml:space="preserve">Determine the major groups of AMPs involved in potential eligible resales – are they auction houses, galleries, museums, individual art dealers, or is there some other identifiable group of AMPs active in that market? </w:t>
      </w:r>
    </w:p>
    <w:p w14:paraId="4CD099F6" w14:textId="77777777" w:rsidR="003D6031" w:rsidRPr="00CB58FC" w:rsidRDefault="003D6031" w:rsidP="003D6031">
      <w:pPr>
        <w:pStyle w:val="ListParagraph"/>
        <w:numPr>
          <w:ilvl w:val="1"/>
          <w:numId w:val="16"/>
        </w:numPr>
        <w:rPr>
          <w:rFonts w:cs="Arial"/>
        </w:rPr>
      </w:pPr>
      <w:r w:rsidRPr="00CB58FC">
        <w:rPr>
          <w:rFonts w:cs="Arial"/>
        </w:rPr>
        <w:t>Is it feasible to deal with members of these groups on an individual basis to arrive at agreed protocols for reporting and dealing with ARR claims? In some instances, this may be possible; in others, the groups may be too disparate or numerous to deal with on an individual basis.</w:t>
      </w:r>
    </w:p>
    <w:p w14:paraId="79AF50B3" w14:textId="77777777" w:rsidR="003D6031" w:rsidRPr="00CB58FC" w:rsidRDefault="003D6031" w:rsidP="003D6031">
      <w:pPr>
        <w:pStyle w:val="ListParagraph"/>
        <w:numPr>
          <w:ilvl w:val="1"/>
          <w:numId w:val="16"/>
        </w:numPr>
        <w:rPr>
          <w:rFonts w:cs="Arial"/>
        </w:rPr>
      </w:pPr>
      <w:r w:rsidRPr="00CB58FC">
        <w:rPr>
          <w:rFonts w:cs="Arial"/>
        </w:rPr>
        <w:t>Where there are larger groups involved, do they have any representative trade or professional association that may be useful to negotiate with in relation to protocols for reporting eligible sales, thereby providing a framework within which individual members of the association will be required to operate because of the other benefits of their association membership? As noted above, this level of private ordering appears to be most fully developed in Germany, but less formal arrangements and understandings may be possible in countries with smaller art markets where the principal players are well known to each other.</w:t>
      </w:r>
    </w:p>
    <w:p w14:paraId="55B7D72A" w14:textId="11A09157" w:rsidR="003D6031" w:rsidRPr="00CB58FC" w:rsidRDefault="003D6031" w:rsidP="003D6031">
      <w:pPr>
        <w:pStyle w:val="ListParagraph"/>
        <w:numPr>
          <w:ilvl w:val="1"/>
          <w:numId w:val="16"/>
        </w:numPr>
        <w:rPr>
          <w:rFonts w:cs="Arial"/>
        </w:rPr>
      </w:pPr>
      <w:r w:rsidRPr="00CB58FC">
        <w:rPr>
          <w:rFonts w:cs="Arial"/>
        </w:rPr>
        <w:t xml:space="preserve">Having said all this, it should be remembered that an incentive for AMPs and their associations to agree to reporting protocols and the like will be any legal requirement to report that arises under the ARR scheme as well as any other powers that the CMOs possess to request information on resales. In most instances, it appears that AMPs are ready to co-operate – after all, payment of ARR is simply another business cost for them – and timely and accurate reporting is therefore in their own interest as much as that of the artist and other eligible claimants. From the perspective of CMOs, recourse to the courts to enforce their rights can prove to be an exhausting process that can occur where the art market is </w:t>
      </w:r>
      <w:r w:rsidR="00D52436" w:rsidRPr="00CB58FC">
        <w:rPr>
          <w:rFonts w:cs="Arial"/>
        </w:rPr>
        <w:t xml:space="preserve">fragmented </w:t>
      </w:r>
      <w:r w:rsidRPr="00CB58FC">
        <w:rPr>
          <w:rFonts w:cs="Arial"/>
        </w:rPr>
        <w:t>and AMPs are unwilling to co-operate</w:t>
      </w:r>
      <w:r w:rsidR="00D52436" w:rsidRPr="00CB58FC">
        <w:rPr>
          <w:rFonts w:cs="Arial"/>
        </w:rPr>
        <w:t>.</w:t>
      </w:r>
      <w:r w:rsidR="00D52436" w:rsidRPr="00CB58FC">
        <w:rPr>
          <w:rStyle w:val="FootnoteReference"/>
          <w:rFonts w:cs="Arial"/>
        </w:rPr>
        <w:footnoteReference w:id="79"/>
      </w:r>
      <w:r w:rsidR="002E238D" w:rsidRPr="00CB58FC">
        <w:rPr>
          <w:rFonts w:cs="Arial"/>
        </w:rPr>
        <w:t xml:space="preserve"> </w:t>
      </w:r>
      <w:r w:rsidRPr="00CB58FC">
        <w:rPr>
          <w:rFonts w:cs="Arial"/>
        </w:rPr>
        <w:t xml:space="preserve">Good faith and trust between the interested parties are important aspects of any effective ARR scheme, as reflected in the responses of many </w:t>
      </w:r>
      <w:r w:rsidR="00D52436" w:rsidRPr="00CB58FC">
        <w:rPr>
          <w:rFonts w:cs="Arial"/>
        </w:rPr>
        <w:t xml:space="preserve">of the </w:t>
      </w:r>
      <w:r w:rsidRPr="00CB58FC">
        <w:rPr>
          <w:rFonts w:cs="Arial"/>
        </w:rPr>
        <w:t>CMOs</w:t>
      </w:r>
      <w:r w:rsidR="00D52436" w:rsidRPr="00CB58FC">
        <w:rPr>
          <w:rFonts w:cs="Arial"/>
        </w:rPr>
        <w:t xml:space="preserve"> consulted during preparation of this report. </w:t>
      </w:r>
    </w:p>
    <w:p w14:paraId="08C65515" w14:textId="77777777" w:rsidR="003D6031" w:rsidRPr="00CB58FC" w:rsidRDefault="003D6031" w:rsidP="003D6031">
      <w:pPr>
        <w:pStyle w:val="Heading1"/>
        <w:rPr>
          <w:szCs w:val="22"/>
        </w:rPr>
      </w:pPr>
      <w:r w:rsidRPr="00CB58FC">
        <w:rPr>
          <w:szCs w:val="22"/>
        </w:rPr>
        <w:t>OTHER STEPS TAKEN BY CMOS TO IDENTIFY ELIGIBLE RESALES</w:t>
      </w:r>
    </w:p>
    <w:p w14:paraId="3BBAAC8B" w14:textId="77777777" w:rsidR="003D6031" w:rsidRPr="00CB58FC" w:rsidRDefault="003D6031" w:rsidP="003D6031"/>
    <w:p w14:paraId="037A26E4" w14:textId="577C6EF4" w:rsidR="003D6031" w:rsidRPr="00CB58FC" w:rsidRDefault="003D6031" w:rsidP="003D6031">
      <w:pPr>
        <w:pStyle w:val="ListParagraph"/>
        <w:numPr>
          <w:ilvl w:val="0"/>
          <w:numId w:val="16"/>
        </w:numPr>
        <w:rPr>
          <w:rFonts w:cs="Arial"/>
        </w:rPr>
      </w:pPr>
      <w:r w:rsidRPr="00CB58FC">
        <w:rPr>
          <w:rFonts w:cs="Arial"/>
        </w:rPr>
        <w:t xml:space="preserve">Leaving aside any legislative supplements to their powers to request information and the like, all CMOs managing ARR still need to take practical steps to monitor potential eligible resales that might be occurring in their national art markets. This </w:t>
      </w:r>
      <w:r w:rsidR="00582BF2" w:rsidRPr="00CB58FC">
        <w:rPr>
          <w:rFonts w:cs="Arial"/>
        </w:rPr>
        <w:t>requir</w:t>
      </w:r>
      <w:r w:rsidRPr="00CB58FC">
        <w:rPr>
          <w:rFonts w:cs="Arial"/>
        </w:rPr>
        <w:t xml:space="preserve">es skilled inhouse personnel who are familiar with that market and the principal players in that market, such as galleries, auction houses, art dealers and so on. Such work will involve reviewing auction sale catalogues as they appear; doing online searches of gallery and auction house websites; trawling social media; and so on. Thus, in the UK, DACS reports that it ‘performs ARR forecasting by manually reviewing auction house websites for upcoming sales to identify ARR qualifying sales’. These forecasts can then be compared to the actual disclosures of qualifying resales received from AMPs for the same period to ascertain whether are any resales that may not have been </w:t>
      </w:r>
      <w:r w:rsidR="002E238D" w:rsidRPr="00CB58FC">
        <w:rPr>
          <w:rFonts w:cs="Arial"/>
        </w:rPr>
        <w:t>reported</w:t>
      </w:r>
      <w:r w:rsidR="0092347C" w:rsidRPr="00CB58FC">
        <w:rPr>
          <w:rFonts w:cs="Arial"/>
        </w:rPr>
        <w:t>,</w:t>
      </w:r>
      <w:r w:rsidRPr="00CB58FC">
        <w:rPr>
          <w:rFonts w:cs="Arial"/>
        </w:rPr>
        <w:t xml:space="preserve"> whether unintentionally or not.</w:t>
      </w:r>
    </w:p>
    <w:p w14:paraId="77259CA0" w14:textId="77777777" w:rsidR="002E238D" w:rsidRPr="00CB58FC" w:rsidRDefault="002E238D" w:rsidP="0015390C">
      <w:pPr>
        <w:pStyle w:val="ListParagraph"/>
        <w:ind w:left="360"/>
        <w:rPr>
          <w:rFonts w:cs="Arial"/>
        </w:rPr>
      </w:pPr>
    </w:p>
    <w:p w14:paraId="0032BCDE" w14:textId="015363BB" w:rsidR="003D6031" w:rsidRPr="00CB58FC" w:rsidRDefault="003D6031" w:rsidP="003D6031">
      <w:pPr>
        <w:pStyle w:val="ListParagraph"/>
        <w:numPr>
          <w:ilvl w:val="0"/>
          <w:numId w:val="16"/>
        </w:numPr>
        <w:rPr>
          <w:rFonts w:cs="Arial"/>
        </w:rPr>
      </w:pPr>
      <w:r w:rsidRPr="00CB58FC">
        <w:rPr>
          <w:rFonts w:cs="Arial"/>
        </w:rPr>
        <w:t>‘Leg work’ on the ground may also be necessary in the case of resale markets such as art fairs, as reported by ADAGP and Bild Kunst. In smaller markets, such as Estonia, monitoring of galleries and auction houses is relatively easy, as EAU reports:</w:t>
      </w:r>
    </w:p>
    <w:p w14:paraId="478279EA" w14:textId="5BB96F9D" w:rsidR="0092347C" w:rsidRPr="00CB58FC" w:rsidRDefault="003D6031">
      <w:pPr>
        <w:ind w:left="720"/>
        <w:jc w:val="both"/>
        <w:rPr>
          <w:rStyle w:val="QuoteChar"/>
          <w:rFonts w:eastAsia="MS Mincho" w:cs="Arial"/>
          <w:color w:val="auto"/>
          <w:sz w:val="20"/>
          <w:szCs w:val="20"/>
        </w:rPr>
      </w:pPr>
      <w:r w:rsidRPr="00CB58FC">
        <w:rPr>
          <w:sz w:val="20"/>
        </w:rPr>
        <w:t xml:space="preserve"> </w:t>
      </w:r>
      <w:r w:rsidRPr="00CB58FC">
        <w:rPr>
          <w:rStyle w:val="QuoteChar"/>
          <w:rFonts w:eastAsia="MS Mincho" w:cs="Arial"/>
          <w:color w:val="auto"/>
          <w:sz w:val="20"/>
          <w:szCs w:val="20"/>
        </w:rPr>
        <w:t xml:space="preserve">We monitor social media posts, press releases and gallery websites. Since we have few of these institutions in Estonia (less than ten), in case of doubt there is no problem to contact them directly and ask for information. </w:t>
      </w:r>
    </w:p>
    <w:p w14:paraId="5D2D146A" w14:textId="734634FB" w:rsidR="0092347C" w:rsidRPr="00CB58FC" w:rsidRDefault="003D6031" w:rsidP="0015390C">
      <w:pPr>
        <w:ind w:firstLine="567"/>
        <w:jc w:val="both"/>
        <w:rPr>
          <w:rStyle w:val="QuoteChar"/>
          <w:rFonts w:eastAsia="MS Mincho" w:cs="Arial"/>
          <w:color w:val="auto"/>
        </w:rPr>
      </w:pPr>
      <w:r w:rsidRPr="00CB58FC">
        <w:rPr>
          <w:rStyle w:val="QuoteChar"/>
          <w:rFonts w:eastAsia="MS Mincho" w:cs="Arial"/>
          <w:color w:val="auto"/>
        </w:rPr>
        <w:lastRenderedPageBreak/>
        <w:t xml:space="preserve">The same appears to be true in </w:t>
      </w:r>
      <w:r w:rsidR="0092347C" w:rsidRPr="00CB58FC">
        <w:rPr>
          <w:rStyle w:val="QuoteChar"/>
          <w:rFonts w:eastAsia="MS Mincho" w:cs="Arial"/>
          <w:color w:val="auto"/>
        </w:rPr>
        <w:t>neighbouring</w:t>
      </w:r>
      <w:r w:rsidRPr="00CB58FC">
        <w:rPr>
          <w:rStyle w:val="QuoteChar"/>
          <w:rFonts w:eastAsia="MS Mincho" w:cs="Arial"/>
          <w:color w:val="auto"/>
        </w:rPr>
        <w:t xml:space="preserve"> countries such as Norway: </w:t>
      </w:r>
    </w:p>
    <w:p w14:paraId="4AFF39BA" w14:textId="77777777" w:rsidR="0092347C" w:rsidRPr="00CB58FC" w:rsidRDefault="0092347C" w:rsidP="0092347C">
      <w:pPr>
        <w:ind w:left="567"/>
        <w:jc w:val="both"/>
        <w:rPr>
          <w:rStyle w:val="QuoteChar"/>
          <w:rFonts w:eastAsia="MS Mincho" w:cs="Arial"/>
          <w:color w:val="auto"/>
        </w:rPr>
      </w:pPr>
    </w:p>
    <w:p w14:paraId="3584416D" w14:textId="284A6086" w:rsidR="003D6031" w:rsidRPr="00CB58FC" w:rsidRDefault="003D6031" w:rsidP="0015390C">
      <w:pPr>
        <w:ind w:left="1134"/>
        <w:jc w:val="both"/>
        <w:rPr>
          <w:sz w:val="20"/>
        </w:rPr>
      </w:pPr>
      <w:r w:rsidRPr="00CB58FC">
        <w:rPr>
          <w:rStyle w:val="QuoteChar"/>
          <w:rFonts w:eastAsia="MS Mincho" w:cs="Arial"/>
          <w:color w:val="auto"/>
          <w:sz w:val="20"/>
          <w:szCs w:val="20"/>
        </w:rPr>
        <w:t>The Norwegian art market is a relatively small one, and thus also quite transparent. The main actors (AMPs) are known and their business transparent. We do however conduct monitoring as well as audits of selected AMPs in order to ensure that reporting is done in accordance with the law</w:t>
      </w:r>
      <w:r w:rsidR="00582BF2" w:rsidRPr="00CB58FC">
        <w:rPr>
          <w:rStyle w:val="QuoteChar"/>
          <w:rFonts w:eastAsia="MS Mincho" w:cs="Arial"/>
          <w:color w:val="auto"/>
          <w:sz w:val="20"/>
          <w:szCs w:val="20"/>
        </w:rPr>
        <w:t>.</w:t>
      </w:r>
      <w:r w:rsidR="00582BF2" w:rsidRPr="00CB58FC">
        <w:rPr>
          <w:rStyle w:val="FootnoteReference"/>
          <w:rFonts w:eastAsia="MS Mincho"/>
          <w:iCs/>
          <w:sz w:val="20"/>
          <w:lang w:val="en-AU" w:eastAsia="en-GB"/>
        </w:rPr>
        <w:footnoteReference w:id="80"/>
      </w:r>
      <w:r w:rsidR="00582BF2" w:rsidRPr="00CB58FC">
        <w:rPr>
          <w:rStyle w:val="QuoteChar"/>
          <w:rFonts w:eastAsia="MS Mincho" w:cs="Arial"/>
          <w:color w:val="auto"/>
          <w:sz w:val="20"/>
          <w:szCs w:val="20"/>
        </w:rPr>
        <w:t>…</w:t>
      </w:r>
      <w:r w:rsidRPr="00CB58FC">
        <w:rPr>
          <w:sz w:val="20"/>
        </w:rPr>
        <w:t xml:space="preserve"> </w:t>
      </w:r>
    </w:p>
    <w:p w14:paraId="2533BD9C" w14:textId="77777777" w:rsidR="002E238D" w:rsidRPr="00CB58FC" w:rsidRDefault="002E238D" w:rsidP="0015390C">
      <w:pPr>
        <w:pStyle w:val="ListParagraph"/>
        <w:ind w:left="360"/>
        <w:rPr>
          <w:rFonts w:cs="Arial"/>
        </w:rPr>
      </w:pPr>
    </w:p>
    <w:p w14:paraId="2DCED5F5" w14:textId="4F810F46" w:rsidR="003D6031" w:rsidRPr="00CB58FC" w:rsidRDefault="003D6031" w:rsidP="003D6031">
      <w:pPr>
        <w:pStyle w:val="ListParagraph"/>
        <w:numPr>
          <w:ilvl w:val="0"/>
          <w:numId w:val="16"/>
        </w:numPr>
        <w:rPr>
          <w:rFonts w:cs="Arial"/>
        </w:rPr>
      </w:pPr>
      <w:r w:rsidRPr="00CB58FC">
        <w:rPr>
          <w:rFonts w:cs="Arial"/>
        </w:rPr>
        <w:t>Even in smaller markets such as these, the fact that the CMO possesses default powers to request information from AMPs and resellers doubtless assists in the information flow back to the CMO. Larger art markets may pose more difficulties, as in Hungary:</w:t>
      </w:r>
    </w:p>
    <w:p w14:paraId="72F2D452" w14:textId="4B008121" w:rsidR="003D6031" w:rsidRPr="00CB58FC" w:rsidRDefault="003D6031" w:rsidP="0015390C">
      <w:pPr>
        <w:pStyle w:val="Quote"/>
        <w:ind w:left="1134"/>
        <w:rPr>
          <w:rFonts w:ascii="Arial" w:hAnsi="Arial" w:cs="Arial"/>
          <w:color w:val="auto"/>
        </w:rPr>
      </w:pPr>
      <w:r w:rsidRPr="00CB58FC">
        <w:rPr>
          <w:rFonts w:ascii="Arial" w:hAnsi="Arial" w:cs="Arial"/>
          <w:color w:val="auto"/>
        </w:rPr>
        <w:t>HUNGART has no specific tools to monitor the activity of the AMPs. We monitor the press releases on major auctions and regularly check the websites of the AMPs. It would be useful if HUNGART could have a comprehensive list of the AMPs, that could be the basis for enforcement.</w:t>
      </w:r>
      <w:r w:rsidR="00590FB5" w:rsidRPr="00CB58FC">
        <w:rPr>
          <w:rStyle w:val="FootnoteReference"/>
          <w:rFonts w:ascii="Arial" w:hAnsi="Arial" w:cs="Arial"/>
          <w:color w:val="auto"/>
        </w:rPr>
        <w:footnoteReference w:id="81"/>
      </w:r>
      <w:r w:rsidRPr="00CB58FC">
        <w:rPr>
          <w:rFonts w:ascii="Arial" w:hAnsi="Arial" w:cs="Arial"/>
          <w:color w:val="auto"/>
        </w:rPr>
        <w:t xml:space="preserve"> </w:t>
      </w:r>
    </w:p>
    <w:p w14:paraId="68C83018" w14:textId="77777777" w:rsidR="003D6031" w:rsidRPr="00CB58FC" w:rsidRDefault="003D6031" w:rsidP="003D6031">
      <w:pPr>
        <w:pStyle w:val="ListParagraph"/>
        <w:numPr>
          <w:ilvl w:val="0"/>
          <w:numId w:val="16"/>
        </w:numPr>
        <w:rPr>
          <w:rFonts w:eastAsia="Source Sans Pro" w:cs="Arial"/>
          <w:lang w:val="en-US"/>
        </w:rPr>
      </w:pPr>
      <w:r w:rsidRPr="00CB58FC">
        <w:rPr>
          <w:rFonts w:cs="Arial"/>
        </w:rPr>
        <w:t xml:space="preserve">Some kinds of commercial resales may also be easier to monitor than others. Thus, in Sweden, </w:t>
      </w:r>
      <w:r w:rsidRPr="00CB58FC">
        <w:rPr>
          <w:rFonts w:eastAsia="Source Sans Pro" w:cs="Arial"/>
          <w:lang w:val="en-US"/>
        </w:rPr>
        <w:t xml:space="preserve">Bildupphovsrätt reports that it: </w:t>
      </w:r>
    </w:p>
    <w:p w14:paraId="62E9EE8B" w14:textId="56D315D4" w:rsidR="003D6031" w:rsidRPr="00CB58FC" w:rsidRDefault="003D6031" w:rsidP="0015390C">
      <w:pPr>
        <w:pStyle w:val="Quote"/>
        <w:ind w:left="1134"/>
        <w:rPr>
          <w:rFonts w:ascii="Arial" w:hAnsi="Arial" w:cs="Arial"/>
          <w:color w:val="auto"/>
        </w:rPr>
      </w:pPr>
      <w:r w:rsidRPr="00CB58FC">
        <w:rPr>
          <w:rFonts w:ascii="Arial" w:eastAsia="Source Sans Pro" w:hAnsi="Arial" w:cs="Arial"/>
          <w:color w:val="auto"/>
        </w:rPr>
        <w:t>…conducts thorough assessments by consistently monitoring major online auctions, such as Auctionet and Bukowskis. In the course of these evaluations, ongoing sales are scrutinized to ensure the proper identification of works eligible for resale rights. When dealing with galleries and art dealers, oversight becomes more intricate. Currently, we lack the means to scrutinize a gallery's records or other documents to ascertain whether they have executed sales that trigger royalty compensation without proper disclosure. Our authority does not extend to conducting examinations or demanding detailed accounting. Instead, our primary objective is to provide information about the pertinent rules and laws governing resale rights, and we stand ready to offer assistance if needed or if there are inquiries related to resale rights.</w:t>
      </w:r>
      <w:r w:rsidRPr="00CB58FC">
        <w:rPr>
          <w:rFonts w:ascii="Arial" w:hAnsi="Arial" w:cs="Arial"/>
          <w:color w:val="auto"/>
        </w:rPr>
        <w:t xml:space="preserve"> </w:t>
      </w:r>
    </w:p>
    <w:p w14:paraId="437144EE" w14:textId="77777777" w:rsidR="003D6031" w:rsidRPr="00CB58FC" w:rsidRDefault="003D6031" w:rsidP="003D6031">
      <w:pPr>
        <w:pStyle w:val="Quote"/>
        <w:rPr>
          <w:rFonts w:ascii="Arial" w:hAnsi="Arial" w:cs="Arial"/>
          <w:color w:val="auto"/>
        </w:rPr>
      </w:pPr>
      <w:r w:rsidRPr="00CB58FC">
        <w:rPr>
          <w:rFonts w:ascii="Arial" w:hAnsi="Arial" w:cs="Arial"/>
          <w:color w:val="auto"/>
        </w:rPr>
        <w:t>…</w:t>
      </w:r>
    </w:p>
    <w:p w14:paraId="6B6E30A8" w14:textId="7E9778F0" w:rsidR="003D6031" w:rsidRPr="00CB58FC" w:rsidRDefault="003D6031" w:rsidP="0015390C">
      <w:pPr>
        <w:pStyle w:val="Quote"/>
        <w:ind w:left="1134"/>
        <w:rPr>
          <w:rFonts w:ascii="Arial" w:hAnsi="Arial" w:cs="Arial"/>
          <w:color w:val="auto"/>
        </w:rPr>
      </w:pPr>
      <w:r w:rsidRPr="00CB58FC">
        <w:rPr>
          <w:rFonts w:ascii="Arial" w:eastAsia="Source Sans Pro" w:hAnsi="Arial" w:cs="Arial"/>
          <w:color w:val="auto"/>
        </w:rPr>
        <w:t>Bildupphovsrätt has implemented a robust internal system structure to guarantee the timely receipt of reports from major players. In instances where an auction house fails to report, we can efficiently issue reminders.</w:t>
      </w:r>
      <w:r w:rsidR="00582BF2" w:rsidRPr="00CB58FC">
        <w:rPr>
          <w:rStyle w:val="FootnoteReference"/>
          <w:rFonts w:ascii="Arial" w:eastAsia="Source Sans Pro" w:hAnsi="Arial" w:cs="Arial"/>
          <w:color w:val="auto"/>
        </w:rPr>
        <w:footnoteReference w:id="82"/>
      </w:r>
    </w:p>
    <w:p w14:paraId="7D4D80D5" w14:textId="4865CFDE" w:rsidR="003D6031" w:rsidRPr="00CB58FC" w:rsidRDefault="003D6031" w:rsidP="003D6031">
      <w:pPr>
        <w:pStyle w:val="ListParagraph"/>
        <w:numPr>
          <w:ilvl w:val="0"/>
          <w:numId w:val="16"/>
        </w:numPr>
        <w:rPr>
          <w:rFonts w:eastAsia="Times New Roman" w:cs="Arial"/>
          <w:lang w:eastAsia="en-GB"/>
        </w:rPr>
      </w:pPr>
      <w:r w:rsidRPr="00CB58FC">
        <w:rPr>
          <w:rFonts w:cs="Arial"/>
        </w:rPr>
        <w:t xml:space="preserve">How the function of monitoring is done may also be a significant aspect of the initial accreditation aspect of a CMO when this is sought. For example, in Australia when </w:t>
      </w:r>
      <w:r w:rsidR="002E238D" w:rsidRPr="00CB58FC">
        <w:rPr>
          <w:rFonts w:cs="Arial"/>
        </w:rPr>
        <w:t xml:space="preserve">CA </w:t>
      </w:r>
      <w:r w:rsidRPr="00CB58FC">
        <w:rPr>
          <w:rFonts w:cs="Arial"/>
        </w:rPr>
        <w:t xml:space="preserve">sought </w:t>
      </w:r>
      <w:r w:rsidR="002E238D" w:rsidRPr="00CB58FC">
        <w:rPr>
          <w:rFonts w:cs="Arial"/>
        </w:rPr>
        <w:t xml:space="preserve">initial </w:t>
      </w:r>
      <w:r w:rsidRPr="00CB58FC">
        <w:rPr>
          <w:rFonts w:cs="Arial"/>
        </w:rPr>
        <w:t xml:space="preserve">accreditation from the relevant Government minister, it was required to address in its application detailed questions as to how it would collect information monitoring </w:t>
      </w:r>
      <w:r w:rsidRPr="00CB58FC">
        <w:rPr>
          <w:rFonts w:eastAsia="Times New Roman" w:cs="Arial"/>
          <w:lang w:eastAsia="en-GB"/>
        </w:rPr>
        <w:t>commercial resales of artwork so as to identify resales that might trigger liability to pay a resale royalty, how it would identify and approach AMPs about reporting requirements, and how it would develop tools and documentations to assist in this process.</w:t>
      </w:r>
      <w:r w:rsidR="00C35028" w:rsidRPr="00CB58FC">
        <w:rPr>
          <w:rStyle w:val="FootnoteReference"/>
          <w:rFonts w:eastAsia="Times New Roman" w:cs="Arial"/>
          <w:lang w:eastAsia="en-GB"/>
        </w:rPr>
        <w:footnoteReference w:id="83"/>
      </w:r>
      <w:r w:rsidRPr="00CB58FC">
        <w:rPr>
          <w:rFonts w:eastAsia="Times New Roman" w:cs="Arial"/>
          <w:lang w:eastAsia="en-GB"/>
        </w:rPr>
        <w:t xml:space="preserve"> Use of appropriate information technology is also critical in this regard, as CA reports:</w:t>
      </w:r>
    </w:p>
    <w:p w14:paraId="2154697C" w14:textId="5B64FC97" w:rsidR="003D6031" w:rsidRPr="00CB58FC" w:rsidRDefault="003D6031" w:rsidP="0015390C">
      <w:pPr>
        <w:pStyle w:val="Quote"/>
        <w:ind w:left="1134"/>
        <w:rPr>
          <w:rFonts w:ascii="Arial" w:hAnsi="Arial" w:cs="Arial"/>
          <w:color w:val="auto"/>
        </w:rPr>
      </w:pPr>
      <w:r w:rsidRPr="00CB58FC">
        <w:rPr>
          <w:rFonts w:ascii="Arial" w:hAnsi="Arial" w:cs="Arial"/>
          <w:color w:val="auto"/>
        </w:rPr>
        <w:t>The Copyright Agency has built a bespoke IT system and website which supports the receipt of information, automates the process where possible and provides information to rightsholders and reporters in an accessible and transparent way [not all of this is publicly available]. The administrators focus on confirming resales eligible; carrying out the research to locate artists/beneficiaries and resolve will issues; and monitor reports and market activity to drive compliance for the scheme.  Some of the research activities plus the compliance and monitoring are the higher cost elements of managing the scheme.</w:t>
      </w:r>
      <w:r w:rsidR="00582BF2" w:rsidRPr="00CB58FC">
        <w:rPr>
          <w:rStyle w:val="FootnoteReference"/>
          <w:rFonts w:ascii="Arial" w:hAnsi="Arial" w:cs="Arial"/>
          <w:color w:val="auto"/>
        </w:rPr>
        <w:footnoteReference w:id="84"/>
      </w:r>
      <w:r w:rsidRPr="00CB58FC">
        <w:rPr>
          <w:rFonts w:ascii="Arial" w:hAnsi="Arial" w:cs="Arial"/>
          <w:color w:val="auto"/>
        </w:rPr>
        <w:t xml:space="preserve"> </w:t>
      </w:r>
    </w:p>
    <w:p w14:paraId="3E5F887F" w14:textId="61DC8686" w:rsidR="003D6031" w:rsidRPr="00CB58FC" w:rsidRDefault="003D6031" w:rsidP="003D6031">
      <w:pPr>
        <w:pStyle w:val="ListParagraph"/>
        <w:numPr>
          <w:ilvl w:val="0"/>
          <w:numId w:val="16"/>
        </w:numPr>
        <w:rPr>
          <w:rFonts w:cs="Arial"/>
        </w:rPr>
      </w:pPr>
      <w:r w:rsidRPr="00CB58FC">
        <w:rPr>
          <w:rFonts w:eastAsia="Times New Roman" w:cs="Arial"/>
          <w:lang w:eastAsia="en-GB"/>
        </w:rPr>
        <w:lastRenderedPageBreak/>
        <w:t>More generally,</w:t>
      </w:r>
      <w:r w:rsidR="002E238D" w:rsidRPr="00CB58FC" w:rsidDel="002E238D">
        <w:rPr>
          <w:rFonts w:eastAsia="Times New Roman" w:cs="Arial"/>
          <w:lang w:eastAsia="en-GB"/>
        </w:rPr>
        <w:t xml:space="preserve"> </w:t>
      </w:r>
      <w:r w:rsidRPr="00CB58FC">
        <w:rPr>
          <w:rFonts w:eastAsia="Times New Roman" w:cs="Arial"/>
          <w:lang w:eastAsia="en-GB"/>
        </w:rPr>
        <w:t>the use of appropriate information technology (IT) will be a critical component of ARR management for any CMO and, there are some IT systems that can be used to identify artists and works</w:t>
      </w:r>
      <w:r w:rsidR="007B7C16" w:rsidRPr="00CB58FC">
        <w:rPr>
          <w:rFonts w:eastAsia="Times New Roman" w:cs="Arial"/>
          <w:lang w:eastAsia="en-GB"/>
        </w:rPr>
        <w:t xml:space="preserve"> represented by other CMOs for the purposes of forwarding payments</w:t>
      </w:r>
      <w:r w:rsidRPr="00CB58FC">
        <w:rPr>
          <w:rFonts w:eastAsia="Times New Roman" w:cs="Arial"/>
          <w:lang w:eastAsia="en-GB"/>
        </w:rPr>
        <w:t xml:space="preserve">, such as </w:t>
      </w:r>
      <w:r w:rsidRPr="00CB58FC">
        <w:rPr>
          <w:rFonts w:cs="Arial"/>
        </w:rPr>
        <w:t>Interested Party Information (IPI)(used</w:t>
      </w:r>
      <w:r w:rsidR="007B7C16" w:rsidRPr="00CB58FC">
        <w:rPr>
          <w:rFonts w:cs="Arial"/>
        </w:rPr>
        <w:t xml:space="preserve"> by most, if not all, CMOs</w:t>
      </w:r>
      <w:r w:rsidRPr="00CB58FC">
        <w:rPr>
          <w:rFonts w:cs="Arial"/>
        </w:rPr>
        <w:t>). In the UK, DACS uses ERP software to manage the collection and use of data about AMPs and responses to requests for information about qualifying sales and collection and distribution of resale royalties. DACS is also currently exploring the potential for the use of blockchain and other frontier technology to help with ARR collection through collaboration with other partners (this is also under review by CA in Australia). In this regard, however, it should be noted that another CMO (</w:t>
      </w:r>
      <w:r w:rsidR="00C35028" w:rsidRPr="00CB58FC">
        <w:rPr>
          <w:rFonts w:cs="Arial"/>
        </w:rPr>
        <w:t>Bild Kunst</w:t>
      </w:r>
      <w:r w:rsidRPr="00CB58FC">
        <w:rPr>
          <w:rFonts w:cs="Arial"/>
        </w:rPr>
        <w:t xml:space="preserve"> in Germany) sounded a note of scepticism about the deployment of blockchain technologies in relation to ARR, particularly where there are gaps between the analogue and digital world that will need to be bridged. </w:t>
      </w:r>
    </w:p>
    <w:p w14:paraId="58A160EC" w14:textId="77777777" w:rsidR="002E238D" w:rsidRPr="00CB58FC" w:rsidRDefault="002E238D" w:rsidP="0015390C">
      <w:pPr>
        <w:pStyle w:val="ListParagraph"/>
        <w:ind w:left="360"/>
        <w:rPr>
          <w:rFonts w:eastAsia="Times New Roman" w:cs="Arial"/>
          <w:lang w:eastAsia="en-GB"/>
        </w:rPr>
      </w:pPr>
    </w:p>
    <w:p w14:paraId="720450CB" w14:textId="21D7388E" w:rsidR="003D6031" w:rsidRPr="00CB58FC" w:rsidRDefault="003D6031" w:rsidP="003D6031">
      <w:pPr>
        <w:pStyle w:val="ListParagraph"/>
        <w:numPr>
          <w:ilvl w:val="0"/>
          <w:numId w:val="16"/>
        </w:numPr>
        <w:rPr>
          <w:rFonts w:eastAsia="Times New Roman" w:cs="Arial"/>
          <w:lang w:eastAsia="en-GB"/>
        </w:rPr>
      </w:pPr>
      <w:r w:rsidRPr="00CB58FC">
        <w:rPr>
          <w:rFonts w:cs="Arial"/>
        </w:rPr>
        <w:t xml:space="preserve">It is beyond the scope of the present Toolkit to provide specific guidance on IT matters to countries establishing an ARR scheme and a CMO to manage this, other than to say this is an area where assistance should be sought from CMOs in countries already managing ARR and to draw upon their experiences in this regard.   </w:t>
      </w:r>
      <w:r w:rsidRPr="00CB58FC">
        <w:rPr>
          <w:rFonts w:eastAsia="Times New Roman" w:cs="Arial"/>
          <w:lang w:eastAsia="en-GB"/>
        </w:rPr>
        <w:t xml:space="preserve">  </w:t>
      </w:r>
    </w:p>
    <w:p w14:paraId="2A9C61BA" w14:textId="77777777" w:rsidR="003D6031" w:rsidRPr="00CB58FC" w:rsidRDefault="003D6031" w:rsidP="003D6031">
      <w:pPr>
        <w:pStyle w:val="Heading1"/>
        <w:rPr>
          <w:szCs w:val="22"/>
        </w:rPr>
      </w:pPr>
      <w:r w:rsidRPr="00CB58FC">
        <w:rPr>
          <w:szCs w:val="22"/>
        </w:rPr>
        <w:t>FURTHER CMO POWERS – INSPECTION AND AUDIT</w:t>
      </w:r>
    </w:p>
    <w:p w14:paraId="4C5DD84A" w14:textId="77777777" w:rsidR="003D6031" w:rsidRPr="00CB58FC" w:rsidRDefault="003D6031" w:rsidP="003D6031"/>
    <w:p w14:paraId="473F5FCE" w14:textId="79E5BBD2" w:rsidR="003D6031" w:rsidRPr="00CB58FC" w:rsidRDefault="003D6031" w:rsidP="003D6031">
      <w:pPr>
        <w:pStyle w:val="ListParagraph"/>
        <w:numPr>
          <w:ilvl w:val="0"/>
          <w:numId w:val="16"/>
        </w:numPr>
        <w:rPr>
          <w:rFonts w:cs="Arial"/>
        </w:rPr>
      </w:pPr>
      <w:r w:rsidRPr="00CB58FC">
        <w:rPr>
          <w:rFonts w:cs="Arial"/>
        </w:rPr>
        <w:t xml:space="preserve">As noted above, several CMOs have reported that, in addition to powers to request information about resales from AMPs, a power to inspect and audit the books of errant AMPs would be useful where an eligible resale is suspected to have occurred but has not been reported. An example of such a power is to be found in s 26(7) of the German law set out above in Table 23. </w:t>
      </w:r>
      <w:r w:rsidR="00C35028" w:rsidRPr="00CB58FC">
        <w:rPr>
          <w:rFonts w:cs="Arial"/>
        </w:rPr>
        <w:t>Bild Kunst</w:t>
      </w:r>
      <w:r w:rsidRPr="00CB58FC">
        <w:rPr>
          <w:rFonts w:cs="Arial"/>
        </w:rPr>
        <w:t xml:space="preserve"> reported that it had only used this power, requiring a court order, twice in the last decade. While such a power may have an </w:t>
      </w:r>
      <w:r w:rsidRPr="00CB58FC">
        <w:rPr>
          <w:rFonts w:cs="Arial"/>
          <w:i/>
          <w:iCs/>
        </w:rPr>
        <w:t xml:space="preserve">in terrorem </w:t>
      </w:r>
      <w:r w:rsidRPr="00CB58FC">
        <w:rPr>
          <w:rFonts w:cs="Arial"/>
        </w:rPr>
        <w:t xml:space="preserve">effect and encourage compliance with reporting requirements by CMOs, it may prove to be controversial in some countries, on the basis that this is an unusual power to place in the hands of a private party (the CMO). By way of a counter-balance, the requirement to seek a court order, with its attendant costs, as in Germany, may provide some assurance that the power will not be abused. </w:t>
      </w:r>
    </w:p>
    <w:p w14:paraId="6A8B8D53" w14:textId="77777777" w:rsidR="002E238D" w:rsidRPr="00CB58FC" w:rsidRDefault="002E238D" w:rsidP="0015390C">
      <w:pPr>
        <w:pStyle w:val="ListParagraph"/>
        <w:ind w:left="360"/>
        <w:rPr>
          <w:rFonts w:cs="Arial"/>
        </w:rPr>
      </w:pPr>
    </w:p>
    <w:p w14:paraId="654B4244" w14:textId="66FF5BB1" w:rsidR="003D6031" w:rsidRPr="00CB58FC" w:rsidRDefault="003D6031" w:rsidP="003D6031">
      <w:pPr>
        <w:pStyle w:val="ListParagraph"/>
        <w:numPr>
          <w:ilvl w:val="0"/>
          <w:numId w:val="16"/>
        </w:numPr>
        <w:rPr>
          <w:rFonts w:cs="Arial"/>
        </w:rPr>
      </w:pPr>
      <w:r w:rsidRPr="00CB58FC">
        <w:rPr>
          <w:rFonts w:cs="Arial"/>
        </w:rPr>
        <w:t xml:space="preserve">As noted in Table 23 above, in France CMOs also have the power to request and obtain from the tax authorities information relating to the annual revenues of an AMP, as well as the amount of sales subject to VAT and reduced VAT. Once again, such a power might not be acceptable in some jurisdictions, given that CMOs are private, rather than public of governmental, entities. That said, as they are usually non-profit and acting on behalf of members to whom </w:t>
      </w:r>
      <w:r w:rsidR="002E238D" w:rsidRPr="00CB58FC">
        <w:rPr>
          <w:rFonts w:cs="Arial"/>
        </w:rPr>
        <w:t>royalties</w:t>
      </w:r>
      <w:r w:rsidR="00C35028" w:rsidRPr="00CB58FC">
        <w:rPr>
          <w:rFonts w:cs="Arial"/>
        </w:rPr>
        <w:t xml:space="preserve"> are </w:t>
      </w:r>
      <w:r w:rsidRPr="00CB58FC">
        <w:rPr>
          <w:rFonts w:cs="Arial"/>
        </w:rPr>
        <w:t>due pursuant to law, it might be said that in this context the CMO is acting for a public purpose and such a power can therefore be justified. This will be a matter for each national law to determine for itself.</w:t>
      </w:r>
    </w:p>
    <w:p w14:paraId="133A2224" w14:textId="77777777" w:rsidR="003D6031" w:rsidRPr="00CB58FC" w:rsidRDefault="003D6031" w:rsidP="003D6031">
      <w:pPr>
        <w:pStyle w:val="Heading1"/>
        <w:rPr>
          <w:szCs w:val="22"/>
        </w:rPr>
      </w:pPr>
      <w:r w:rsidRPr="00CB58FC">
        <w:rPr>
          <w:szCs w:val="22"/>
        </w:rPr>
        <w:t>DETERMINING ROYALTIES AND MAKING PAYMENTS</w:t>
      </w:r>
    </w:p>
    <w:p w14:paraId="383C8716" w14:textId="77777777" w:rsidR="003D6031" w:rsidRPr="00CB58FC" w:rsidRDefault="003D6031" w:rsidP="003D6031"/>
    <w:p w14:paraId="05171FD4" w14:textId="36BA3D63" w:rsidR="003D6031" w:rsidRPr="00CB58FC" w:rsidRDefault="003D6031" w:rsidP="003D6031">
      <w:pPr>
        <w:pStyle w:val="ListParagraph"/>
        <w:numPr>
          <w:ilvl w:val="0"/>
          <w:numId w:val="16"/>
        </w:numPr>
        <w:rPr>
          <w:rFonts w:cs="Arial"/>
        </w:rPr>
      </w:pPr>
      <w:r w:rsidRPr="00CB58FC">
        <w:rPr>
          <w:rFonts w:cs="Arial"/>
        </w:rPr>
        <w:t xml:space="preserve">The linking of eligible resales and eligible right holders </w:t>
      </w:r>
      <w:r w:rsidR="00C35028" w:rsidRPr="00CB58FC">
        <w:rPr>
          <w:rFonts w:cs="Arial"/>
        </w:rPr>
        <w:t>will be</w:t>
      </w:r>
      <w:r w:rsidRPr="00CB58FC">
        <w:rPr>
          <w:rFonts w:cs="Arial"/>
        </w:rPr>
        <w:t xml:space="preserve"> the central role of the CMO in relation to ARR and CMOs will </w:t>
      </w:r>
      <w:r w:rsidR="00C35028" w:rsidRPr="00CB58FC">
        <w:rPr>
          <w:rFonts w:cs="Arial"/>
        </w:rPr>
        <w:t>therefore require</w:t>
      </w:r>
      <w:r w:rsidRPr="00CB58FC">
        <w:rPr>
          <w:rFonts w:cs="Arial"/>
        </w:rPr>
        <w:t xml:space="preserve"> efficient internal systems for this</w:t>
      </w:r>
      <w:r w:rsidR="00C35028" w:rsidRPr="00CB58FC">
        <w:rPr>
          <w:rFonts w:cs="Arial"/>
        </w:rPr>
        <w:t xml:space="preserve"> to occur</w:t>
      </w:r>
      <w:r w:rsidRPr="00CB58FC">
        <w:rPr>
          <w:rFonts w:cs="Arial"/>
        </w:rPr>
        <w:t xml:space="preserve">, that is, to calculate the amount of the royalty due, the persons entitled to payment, and so on. Given that CMOs managing ARR will often have experience in collecting and distributing royalties received for other uses of works, there will already be internal experience that can be drawn upon here (although, as noted above, collection and distribution of ARR payments is a distinct exercise from that of collecting royalties for uses that may continue over </w:t>
      </w:r>
      <w:r w:rsidR="002E238D" w:rsidRPr="00CB58FC">
        <w:rPr>
          <w:rFonts w:cs="Arial"/>
        </w:rPr>
        <w:t>a period</w:t>
      </w:r>
      <w:r w:rsidRPr="00CB58FC">
        <w:rPr>
          <w:rFonts w:cs="Arial"/>
        </w:rPr>
        <w:t xml:space="preserve">). In addition, CMOs in countries that have already been managing ARR payments can help CMOs that are starting to do this. CISAC, EVA and WIPO likewise have expertise that can be drawn upon here.  </w:t>
      </w:r>
    </w:p>
    <w:p w14:paraId="12115D3F" w14:textId="77777777" w:rsidR="002E238D" w:rsidRPr="00CB58FC" w:rsidRDefault="002E238D" w:rsidP="0015390C">
      <w:pPr>
        <w:pStyle w:val="ListParagraph"/>
        <w:ind w:left="360"/>
        <w:rPr>
          <w:rFonts w:cs="Arial"/>
        </w:rPr>
      </w:pPr>
    </w:p>
    <w:p w14:paraId="632CAA68" w14:textId="676B8402" w:rsidR="003D6031" w:rsidRPr="00CB58FC" w:rsidRDefault="002C45B9" w:rsidP="003D6031">
      <w:pPr>
        <w:pStyle w:val="ListParagraph"/>
        <w:numPr>
          <w:ilvl w:val="0"/>
          <w:numId w:val="16"/>
        </w:numPr>
        <w:rPr>
          <w:rFonts w:cs="Arial"/>
        </w:rPr>
      </w:pPr>
      <w:r w:rsidRPr="00CB58FC">
        <w:rPr>
          <w:rFonts w:cs="Arial"/>
        </w:rPr>
        <w:lastRenderedPageBreak/>
        <w:t>It is a good practice to exercise transparency where appropriate. Fo</w:t>
      </w:r>
      <w:r w:rsidR="002E238D" w:rsidRPr="00CB58FC">
        <w:rPr>
          <w:rFonts w:cs="Arial"/>
        </w:rPr>
        <w:t>r</w:t>
      </w:r>
      <w:r w:rsidRPr="00CB58FC">
        <w:rPr>
          <w:rFonts w:cs="Arial"/>
        </w:rPr>
        <w:t xml:space="preserve"> example, </w:t>
      </w:r>
      <w:r w:rsidR="003D6031" w:rsidRPr="00CB58FC">
        <w:rPr>
          <w:rFonts w:cs="Arial"/>
        </w:rPr>
        <w:t xml:space="preserve">information about resales notified to the CMO </w:t>
      </w:r>
      <w:r w:rsidRPr="00CB58FC">
        <w:rPr>
          <w:rFonts w:cs="Arial"/>
        </w:rPr>
        <w:t xml:space="preserve">may </w:t>
      </w:r>
      <w:r w:rsidR="003D6031" w:rsidRPr="00CB58FC">
        <w:rPr>
          <w:rFonts w:cs="Arial"/>
        </w:rPr>
        <w:t xml:space="preserve">be made publicly </w:t>
      </w:r>
      <w:r w:rsidR="002E238D" w:rsidRPr="00CB58FC">
        <w:rPr>
          <w:rFonts w:cs="Arial"/>
        </w:rPr>
        <w:t>available on</w:t>
      </w:r>
      <w:r w:rsidR="003D6031" w:rsidRPr="00CB58FC">
        <w:rPr>
          <w:rFonts w:cs="Arial"/>
        </w:rPr>
        <w:t xml:space="preserve"> the CMO’s website to assist in identifying eligible right holders.  Provisions for online calculators of rates will also be of assistance here</w:t>
      </w:r>
      <w:r w:rsidRPr="00CB58FC">
        <w:rPr>
          <w:rFonts w:cs="Arial"/>
        </w:rPr>
        <w:t xml:space="preserve">, particularly in EU countries </w:t>
      </w:r>
      <w:r w:rsidR="002E238D" w:rsidRPr="00CB58FC">
        <w:rPr>
          <w:rFonts w:cs="Arial"/>
        </w:rPr>
        <w:t xml:space="preserve">where </w:t>
      </w:r>
      <w:r w:rsidRPr="00CB58FC">
        <w:rPr>
          <w:rFonts w:cs="Arial"/>
        </w:rPr>
        <w:t>there is a sliding scale of resale prices with different percentages th</w:t>
      </w:r>
      <w:r w:rsidR="002E238D" w:rsidRPr="00CB58FC">
        <w:rPr>
          <w:rFonts w:cs="Arial"/>
        </w:rPr>
        <w:t>a</w:t>
      </w:r>
      <w:r w:rsidRPr="00CB58FC">
        <w:rPr>
          <w:rFonts w:cs="Arial"/>
        </w:rPr>
        <w:t>t are applied</w:t>
      </w:r>
      <w:r w:rsidR="002E238D" w:rsidRPr="00CB58FC">
        <w:rPr>
          <w:rFonts w:cs="Arial"/>
        </w:rPr>
        <w:t xml:space="preserve"> at different price bands</w:t>
      </w:r>
      <w:r w:rsidR="003D6031" w:rsidRPr="00CB58FC">
        <w:rPr>
          <w:rFonts w:cs="Arial"/>
        </w:rPr>
        <w:t xml:space="preserve">: see, for example, </w:t>
      </w:r>
      <w:r w:rsidRPr="00CB58FC">
        <w:rPr>
          <w:rFonts w:cs="Arial"/>
        </w:rPr>
        <w:t xml:space="preserve">the websites of </w:t>
      </w:r>
      <w:r w:rsidR="003D6031" w:rsidRPr="00CB58FC">
        <w:rPr>
          <w:rFonts w:cs="Arial"/>
        </w:rPr>
        <w:t>AGADP</w:t>
      </w:r>
      <w:r w:rsidRPr="00CB58FC">
        <w:rPr>
          <w:rFonts w:cs="Arial"/>
        </w:rPr>
        <w:t>,</w:t>
      </w:r>
      <w:r w:rsidRPr="00CB58FC">
        <w:rPr>
          <w:rStyle w:val="FootnoteReference"/>
          <w:rFonts w:cs="Arial"/>
        </w:rPr>
        <w:footnoteReference w:id="85"/>
      </w:r>
      <w:r w:rsidRPr="00CB58FC">
        <w:rPr>
          <w:rFonts w:cs="Arial"/>
        </w:rPr>
        <w:t xml:space="preserve"> </w:t>
      </w:r>
      <w:r w:rsidR="003D6031" w:rsidRPr="00CB58FC">
        <w:rPr>
          <w:rFonts w:cs="Arial"/>
        </w:rPr>
        <w:t>Bild Kunst</w:t>
      </w:r>
      <w:r w:rsidRPr="00CB58FC">
        <w:rPr>
          <w:rFonts w:cs="Arial"/>
        </w:rPr>
        <w:t>,</w:t>
      </w:r>
      <w:r w:rsidRPr="00CB58FC">
        <w:rPr>
          <w:rStyle w:val="FootnoteReference"/>
          <w:rFonts w:cs="Arial"/>
        </w:rPr>
        <w:footnoteReference w:id="86"/>
      </w:r>
      <w:r w:rsidR="003D6031" w:rsidRPr="00CB58FC">
        <w:rPr>
          <w:rFonts w:cs="Arial"/>
        </w:rPr>
        <w:t xml:space="preserve"> DACS</w:t>
      </w:r>
      <w:r w:rsidRPr="00CB58FC">
        <w:rPr>
          <w:rFonts w:cs="Arial"/>
        </w:rPr>
        <w:t>,</w:t>
      </w:r>
      <w:r w:rsidRPr="00CB58FC">
        <w:rPr>
          <w:rStyle w:val="FootnoteReference"/>
          <w:rFonts w:cs="Arial"/>
        </w:rPr>
        <w:footnoteReference w:id="87"/>
      </w:r>
      <w:r w:rsidR="003D6031" w:rsidRPr="00CB58FC">
        <w:rPr>
          <w:rFonts w:cs="Arial"/>
        </w:rPr>
        <w:t xml:space="preserve"> and VEGAP</w:t>
      </w:r>
      <w:r w:rsidRPr="00CB58FC">
        <w:rPr>
          <w:rFonts w:cs="Arial"/>
        </w:rPr>
        <w:t>.</w:t>
      </w:r>
      <w:r w:rsidRPr="00CB58FC">
        <w:rPr>
          <w:rStyle w:val="FootnoteReference"/>
          <w:rFonts w:cs="Arial"/>
        </w:rPr>
        <w:footnoteReference w:id="88"/>
      </w:r>
      <w:r w:rsidR="003D6031" w:rsidRPr="00CB58FC">
        <w:rPr>
          <w:rFonts w:cs="Arial"/>
        </w:rPr>
        <w:t xml:space="preserve">  </w:t>
      </w:r>
    </w:p>
    <w:p w14:paraId="2CAA862A" w14:textId="77777777" w:rsidR="002E238D" w:rsidRPr="00CB58FC" w:rsidRDefault="002E238D" w:rsidP="0015390C">
      <w:pPr>
        <w:pStyle w:val="ListParagraph"/>
        <w:ind w:left="360"/>
        <w:rPr>
          <w:rFonts w:cs="Arial"/>
        </w:rPr>
      </w:pPr>
    </w:p>
    <w:p w14:paraId="43923FEF" w14:textId="209D9965" w:rsidR="003D6031" w:rsidRPr="00CB58FC" w:rsidRDefault="003D6031" w:rsidP="003D6031">
      <w:pPr>
        <w:pStyle w:val="ListParagraph"/>
        <w:numPr>
          <w:ilvl w:val="0"/>
          <w:numId w:val="16"/>
        </w:numPr>
        <w:rPr>
          <w:rFonts w:cs="Arial"/>
        </w:rPr>
      </w:pPr>
      <w:r w:rsidRPr="00CB58FC">
        <w:rPr>
          <w:rFonts w:cs="Arial"/>
        </w:rPr>
        <w:t xml:space="preserve">As noted in Part I of this Toolkit, there are differences between </w:t>
      </w:r>
      <w:r w:rsidR="0092347C" w:rsidRPr="00CB58FC">
        <w:rPr>
          <w:rFonts w:cs="Arial"/>
        </w:rPr>
        <w:t xml:space="preserve">Berne </w:t>
      </w:r>
      <w:r w:rsidRPr="00CB58FC">
        <w:rPr>
          <w:rFonts w:cs="Arial"/>
        </w:rPr>
        <w:t xml:space="preserve">members as to the way in which </w:t>
      </w:r>
      <w:r w:rsidR="0092347C" w:rsidRPr="00CB58FC">
        <w:rPr>
          <w:rFonts w:cs="Arial"/>
        </w:rPr>
        <w:t xml:space="preserve">the amount of </w:t>
      </w:r>
      <w:r w:rsidRPr="00CB58FC">
        <w:rPr>
          <w:rFonts w:cs="Arial"/>
        </w:rPr>
        <w:t xml:space="preserve">ARR payments </w:t>
      </w:r>
      <w:r w:rsidR="0092347C" w:rsidRPr="00CB58FC">
        <w:rPr>
          <w:rFonts w:cs="Arial"/>
        </w:rPr>
        <w:t xml:space="preserve">is </w:t>
      </w:r>
      <w:r w:rsidRPr="00CB58FC">
        <w:rPr>
          <w:rFonts w:cs="Arial"/>
        </w:rPr>
        <w:t>to be determined, notably whether these should be on a sliding scale depending on the resale price or as a simple percentage of that price</w:t>
      </w:r>
      <w:r w:rsidR="0092347C" w:rsidRPr="00CB58FC">
        <w:rPr>
          <w:rFonts w:cs="Arial"/>
        </w:rPr>
        <w:t>. A further issue is</w:t>
      </w:r>
      <w:r w:rsidRPr="00CB58FC">
        <w:rPr>
          <w:rFonts w:cs="Arial"/>
        </w:rPr>
        <w:t xml:space="preserve"> whether there should be minimum and maximum limits set on the amount of ARR that is charged. Given that the sliding scale approach is adopted under the EC Directive, this is the approach to be found in EC countries as well as in some non-EC countries such as Mexico. However, from a practical perspective a fixed percentage, as in Uruguay and Australia, may be easier to apply</w:t>
      </w:r>
      <w:r w:rsidR="0032561B" w:rsidRPr="00CB58FC">
        <w:rPr>
          <w:rFonts w:cs="Arial"/>
        </w:rPr>
        <w:t xml:space="preserve"> as it does not involve the aggregation of different levels of percentage according to the band or bands within which the resale price falls. </w:t>
      </w:r>
      <w:r w:rsidRPr="00CB58FC">
        <w:rPr>
          <w:rFonts w:cs="Arial"/>
        </w:rPr>
        <w:t xml:space="preserve"> </w:t>
      </w:r>
    </w:p>
    <w:p w14:paraId="2CDBC23C" w14:textId="77777777" w:rsidR="002E238D" w:rsidRPr="00CB58FC" w:rsidRDefault="002E238D" w:rsidP="0015390C">
      <w:pPr>
        <w:pStyle w:val="ListParagraph"/>
        <w:ind w:left="360"/>
        <w:rPr>
          <w:rFonts w:cs="Arial"/>
        </w:rPr>
      </w:pPr>
    </w:p>
    <w:p w14:paraId="5CAB79BB" w14:textId="438C5925" w:rsidR="003D6031" w:rsidRPr="00CB58FC" w:rsidRDefault="003D6031" w:rsidP="003D6031">
      <w:pPr>
        <w:pStyle w:val="ListParagraph"/>
        <w:numPr>
          <w:ilvl w:val="0"/>
          <w:numId w:val="16"/>
        </w:numPr>
        <w:rPr>
          <w:rFonts w:cs="Arial"/>
        </w:rPr>
      </w:pPr>
      <w:r w:rsidRPr="00CB58FC">
        <w:rPr>
          <w:rFonts w:cs="Arial"/>
        </w:rPr>
        <w:t xml:space="preserve">As for the timing of payments, the EC CMO Directive provides guidelines that apply generally to revenues collected by CMOs: payments should be made ‘in a timely manner’, any delays should be objectively determined (Recital 29), but payments should be made no later than nine months from the end of the financial year in which the revenue was collected (art 13). These </w:t>
      </w:r>
      <w:r w:rsidR="003B05BB" w:rsidRPr="00CB58FC">
        <w:rPr>
          <w:rFonts w:cs="Arial"/>
        </w:rPr>
        <w:t xml:space="preserve">guidelines </w:t>
      </w:r>
      <w:r w:rsidRPr="00CB58FC">
        <w:rPr>
          <w:rFonts w:cs="Arial"/>
        </w:rPr>
        <w:t>may need adaptation in the case of ARR payments, which will be one-off payments made with respect to particular resales and the frequency of which may be very uneven. This contrasts with the receipt of royalty payments for the continuing use of a work, as might occur in the case of public performance or reproduction rights. Nonetheless, right holders will have a lively interest in the frequency with which ARR payments will be made, once the ARR on resales has been collected, e</w:t>
      </w:r>
      <w:r w:rsidR="00CD3978" w:rsidRPr="00CB58FC">
        <w:rPr>
          <w:rFonts w:cs="Arial"/>
        </w:rPr>
        <w:t>.</w:t>
      </w:r>
      <w:r w:rsidRPr="00CB58FC">
        <w:rPr>
          <w:rFonts w:cs="Arial"/>
        </w:rPr>
        <w:t>g</w:t>
      </w:r>
      <w:r w:rsidR="00CD3978" w:rsidRPr="00CB58FC">
        <w:rPr>
          <w:rFonts w:cs="Arial"/>
        </w:rPr>
        <w:t>.</w:t>
      </w:r>
      <w:r w:rsidRPr="00CB58FC">
        <w:rPr>
          <w:rFonts w:cs="Arial"/>
        </w:rPr>
        <w:t xml:space="preserve"> whether this is to be done only on an annual basis or whether they can expect distributions at shorter intervals. Individual CMOs may deal with this question differently under their internal distribution rules, but the following payment schedules applied by CMOs in some Berne member countries may be instructive here: three times annually (Sweden), monthly (DACS, UK), twice annually (Bild Kunst, Germany), at least annually (AGADP, France), at least twice annually (Hungary) three times annually (Norway), quarterly (Italy); automatically upon receipt in the case of national members (Uruguay) and on a six monthly basis (Mexico).</w:t>
      </w:r>
      <w:r w:rsidR="003B05BB" w:rsidRPr="00CB58FC">
        <w:rPr>
          <w:rStyle w:val="FootnoteReference"/>
          <w:rFonts w:cs="Arial"/>
        </w:rPr>
        <w:footnoteReference w:id="89"/>
      </w:r>
      <w:r w:rsidRPr="00CB58FC">
        <w:rPr>
          <w:rFonts w:cs="Arial"/>
        </w:rPr>
        <w:t xml:space="preserve"> </w:t>
      </w:r>
    </w:p>
    <w:p w14:paraId="3969E6D5" w14:textId="77777777" w:rsidR="003D6031" w:rsidRPr="00CB58FC" w:rsidRDefault="003D6031" w:rsidP="003D6031">
      <w:pPr>
        <w:pStyle w:val="Heading1"/>
        <w:rPr>
          <w:b w:val="0"/>
          <w:bCs w:val="0"/>
          <w:szCs w:val="22"/>
        </w:rPr>
      </w:pPr>
      <w:r w:rsidRPr="00CB58FC">
        <w:rPr>
          <w:b w:val="0"/>
          <w:bCs w:val="0"/>
          <w:szCs w:val="22"/>
        </w:rPr>
        <w:t>TABLE 25 – DETERMINING AND DISTRIBUTING ARR PAYMENTS</w:t>
      </w:r>
    </w:p>
    <w:p w14:paraId="2EC9426F" w14:textId="77777777" w:rsidR="003D6031" w:rsidRPr="00CB58FC" w:rsidRDefault="003D6031" w:rsidP="003D6031"/>
    <w:tbl>
      <w:tblPr>
        <w:tblStyle w:val="TableGrid"/>
        <w:tblW w:w="9345" w:type="dxa"/>
        <w:tblLook w:val="04A0" w:firstRow="1" w:lastRow="0" w:firstColumn="1" w:lastColumn="0" w:noHBand="0" w:noVBand="1"/>
      </w:tblPr>
      <w:tblGrid>
        <w:gridCol w:w="2209"/>
        <w:gridCol w:w="4449"/>
        <w:gridCol w:w="2687"/>
      </w:tblGrid>
      <w:tr w:rsidR="0093188F" w:rsidRPr="00CB58FC" w14:paraId="5D816E59" w14:textId="2FA77020" w:rsidTr="0015390C">
        <w:tc>
          <w:tcPr>
            <w:tcW w:w="2209" w:type="dxa"/>
          </w:tcPr>
          <w:p w14:paraId="7A0679FB" w14:textId="77777777" w:rsidR="0093188F" w:rsidRPr="00CB58FC" w:rsidRDefault="0093188F" w:rsidP="009505EE">
            <w:pPr>
              <w:rPr>
                <w:b/>
                <w:bCs/>
              </w:rPr>
            </w:pPr>
            <w:r w:rsidRPr="00CB58FC">
              <w:rPr>
                <w:b/>
                <w:bCs/>
              </w:rPr>
              <w:t>Region or country</w:t>
            </w:r>
          </w:p>
        </w:tc>
        <w:tc>
          <w:tcPr>
            <w:tcW w:w="4449" w:type="dxa"/>
          </w:tcPr>
          <w:p w14:paraId="65829455" w14:textId="77777777" w:rsidR="0093188F" w:rsidRPr="00CB58FC" w:rsidRDefault="0093188F" w:rsidP="009505EE">
            <w:pPr>
              <w:rPr>
                <w:b/>
                <w:bCs/>
              </w:rPr>
            </w:pPr>
            <w:r w:rsidRPr="00CB58FC">
              <w:rPr>
                <w:b/>
                <w:bCs/>
              </w:rPr>
              <w:t>Provision</w:t>
            </w:r>
          </w:p>
        </w:tc>
        <w:tc>
          <w:tcPr>
            <w:tcW w:w="2687" w:type="dxa"/>
          </w:tcPr>
          <w:p w14:paraId="45855850" w14:textId="7F60E513" w:rsidR="0093188F" w:rsidRPr="00CB58FC" w:rsidRDefault="0093188F" w:rsidP="009505EE">
            <w:pPr>
              <w:rPr>
                <w:b/>
                <w:bCs/>
              </w:rPr>
            </w:pPr>
            <w:r w:rsidRPr="00CB58FC">
              <w:rPr>
                <w:b/>
                <w:bCs/>
              </w:rPr>
              <w:t>Comments</w:t>
            </w:r>
          </w:p>
        </w:tc>
      </w:tr>
      <w:tr w:rsidR="0093188F" w:rsidRPr="00CB58FC" w14:paraId="25479161" w14:textId="2799C2FD" w:rsidTr="0015390C">
        <w:tc>
          <w:tcPr>
            <w:tcW w:w="2209" w:type="dxa"/>
          </w:tcPr>
          <w:p w14:paraId="497334A2" w14:textId="6B27E3BC" w:rsidR="0093188F" w:rsidRPr="00CB58FC" w:rsidRDefault="0093188F" w:rsidP="009505EE">
            <w:pPr>
              <w:rPr>
                <w:i/>
                <w:iCs/>
                <w:sz w:val="20"/>
                <w:szCs w:val="20"/>
              </w:rPr>
            </w:pPr>
            <w:r w:rsidRPr="00CB58FC">
              <w:rPr>
                <w:sz w:val="20"/>
                <w:szCs w:val="20"/>
              </w:rPr>
              <w:t>EC</w:t>
            </w:r>
            <w:r w:rsidR="00CF175E" w:rsidRPr="00CB58FC">
              <w:rPr>
                <w:rStyle w:val="FootnoteReference"/>
                <w:sz w:val="20"/>
                <w:szCs w:val="20"/>
              </w:rPr>
              <w:footnoteReference w:id="90"/>
            </w:r>
            <w:r w:rsidRPr="00CB58FC">
              <w:rPr>
                <w:i/>
                <w:iCs/>
                <w:sz w:val="20"/>
                <w:szCs w:val="20"/>
              </w:rPr>
              <w:t xml:space="preserve"> </w:t>
            </w:r>
          </w:p>
        </w:tc>
        <w:tc>
          <w:tcPr>
            <w:tcW w:w="4449" w:type="dxa"/>
          </w:tcPr>
          <w:p w14:paraId="63463F02" w14:textId="4A2B218D" w:rsidR="00CF175E" w:rsidRPr="00CB58FC" w:rsidRDefault="00CF175E" w:rsidP="009505EE">
            <w:pPr>
              <w:pStyle w:val="CM1"/>
              <w:spacing w:before="200" w:after="200"/>
              <w:jc w:val="both"/>
              <w:rPr>
                <w:rFonts w:ascii="Arial" w:hAnsi="Arial" w:cs="Arial"/>
                <w:i/>
                <w:iCs/>
                <w:sz w:val="20"/>
                <w:szCs w:val="20"/>
              </w:rPr>
            </w:pPr>
            <w:r w:rsidRPr="00CB58FC">
              <w:rPr>
                <w:rFonts w:ascii="Arial" w:hAnsi="Arial" w:cs="Arial"/>
                <w:i/>
                <w:iCs/>
                <w:sz w:val="20"/>
                <w:szCs w:val="20"/>
              </w:rPr>
              <w:t>Recital…</w:t>
            </w:r>
          </w:p>
          <w:p w14:paraId="63B6FEB2" w14:textId="705ABDBC" w:rsidR="0093188F" w:rsidRPr="00CB58FC" w:rsidRDefault="0093188F" w:rsidP="009505EE">
            <w:pPr>
              <w:pStyle w:val="CM1"/>
              <w:spacing w:before="200" w:after="200"/>
              <w:jc w:val="both"/>
              <w:rPr>
                <w:rFonts w:ascii="Arial" w:hAnsi="Arial" w:cs="Arial"/>
                <w:sz w:val="20"/>
                <w:szCs w:val="20"/>
              </w:rPr>
            </w:pPr>
            <w:r w:rsidRPr="00CB58FC">
              <w:rPr>
                <w:rFonts w:ascii="Arial" w:hAnsi="Arial" w:cs="Arial"/>
                <w:sz w:val="20"/>
                <w:szCs w:val="20"/>
              </w:rPr>
              <w:t>(29) The distribution and payment of amounts due to individual right</w:t>
            </w:r>
            <w:r w:rsidR="00BA0225" w:rsidRPr="00CB58FC">
              <w:rPr>
                <w:rFonts w:ascii="Arial" w:hAnsi="Arial" w:cs="Arial"/>
                <w:sz w:val="20"/>
                <w:szCs w:val="20"/>
              </w:rPr>
              <w:t xml:space="preserve"> </w:t>
            </w:r>
            <w:r w:rsidRPr="00CB58FC">
              <w:rPr>
                <w:rFonts w:ascii="Arial" w:hAnsi="Arial" w:cs="Arial"/>
                <w:sz w:val="20"/>
                <w:szCs w:val="20"/>
              </w:rPr>
              <w:t>holders or, as the case may be, to categories of right</w:t>
            </w:r>
            <w:r w:rsidR="00BA0225" w:rsidRPr="00CB58FC">
              <w:rPr>
                <w:rFonts w:ascii="Arial" w:hAnsi="Arial" w:cs="Arial"/>
                <w:sz w:val="20"/>
                <w:szCs w:val="20"/>
              </w:rPr>
              <w:t xml:space="preserve"> </w:t>
            </w:r>
            <w:r w:rsidRPr="00CB58FC">
              <w:rPr>
                <w:rFonts w:ascii="Arial" w:hAnsi="Arial" w:cs="Arial"/>
                <w:sz w:val="20"/>
                <w:szCs w:val="20"/>
              </w:rPr>
              <w:t xml:space="preserve">holders, should be carried out in a timely manner and in accordance </w:t>
            </w:r>
            <w:r w:rsidRPr="00CB58FC">
              <w:rPr>
                <w:rFonts w:ascii="Arial" w:hAnsi="Arial" w:cs="Arial"/>
                <w:sz w:val="20"/>
                <w:szCs w:val="20"/>
              </w:rPr>
              <w:lastRenderedPageBreak/>
              <w:t>with the general policy on distribution of the collective management organisation concerned, including when they are performed via another entity representing the right</w:t>
            </w:r>
            <w:r w:rsidR="00876936" w:rsidRPr="00CB58FC">
              <w:rPr>
                <w:rFonts w:ascii="Arial" w:hAnsi="Arial" w:cs="Arial"/>
                <w:sz w:val="20"/>
                <w:szCs w:val="20"/>
              </w:rPr>
              <w:t xml:space="preserve"> </w:t>
            </w:r>
            <w:r w:rsidRPr="00CB58FC">
              <w:rPr>
                <w:rFonts w:ascii="Arial" w:hAnsi="Arial" w:cs="Arial"/>
                <w:sz w:val="20"/>
                <w:szCs w:val="20"/>
              </w:rPr>
              <w:t>holders. Only objective reasons beyond the control of a collective management organisation can justify delay in the distribution and payment of amounts due to right</w:t>
            </w:r>
            <w:r w:rsidR="00876936" w:rsidRPr="00CB58FC">
              <w:rPr>
                <w:rFonts w:ascii="Arial" w:hAnsi="Arial" w:cs="Arial"/>
                <w:sz w:val="20"/>
                <w:szCs w:val="20"/>
              </w:rPr>
              <w:t xml:space="preserve"> </w:t>
            </w:r>
            <w:r w:rsidRPr="00CB58FC">
              <w:rPr>
                <w:rFonts w:ascii="Arial" w:hAnsi="Arial" w:cs="Arial"/>
                <w:sz w:val="20"/>
                <w:szCs w:val="20"/>
              </w:rPr>
              <w:t>holders. Therefore, circumstances such as the rights revenue having been invested subject to a maturity date should not qualify as valid reasons for such a delay. It is appropriate to leave it to Member States to decide on rules ensuring timely distribution and the effective search for, and identification of, right</w:t>
            </w:r>
            <w:r w:rsidR="00876936" w:rsidRPr="00CB58FC">
              <w:rPr>
                <w:rFonts w:ascii="Arial" w:hAnsi="Arial" w:cs="Arial"/>
                <w:sz w:val="20"/>
                <w:szCs w:val="20"/>
              </w:rPr>
              <w:t xml:space="preserve"> </w:t>
            </w:r>
            <w:r w:rsidRPr="00CB58FC">
              <w:rPr>
                <w:rFonts w:ascii="Arial" w:hAnsi="Arial" w:cs="Arial"/>
                <w:sz w:val="20"/>
                <w:szCs w:val="20"/>
              </w:rPr>
              <w:t>holders in cases where such objective reasons occur. In order to ensure that the amounts due to right</w:t>
            </w:r>
            <w:r w:rsidR="00876936" w:rsidRPr="00CB58FC">
              <w:rPr>
                <w:rFonts w:ascii="Arial" w:hAnsi="Arial" w:cs="Arial"/>
                <w:sz w:val="20"/>
                <w:szCs w:val="20"/>
              </w:rPr>
              <w:t xml:space="preserve"> </w:t>
            </w:r>
            <w:r w:rsidRPr="00CB58FC">
              <w:rPr>
                <w:rFonts w:ascii="Arial" w:hAnsi="Arial" w:cs="Arial"/>
                <w:sz w:val="20"/>
                <w:szCs w:val="20"/>
              </w:rPr>
              <w:t>holders are appropriately and effectively distributed, without prejudice to the possibility for Member States to provide for more stringent rules, it is necessary to require collective management organi</w:t>
            </w:r>
            <w:r w:rsidR="00876936" w:rsidRPr="00CB58FC">
              <w:rPr>
                <w:rFonts w:ascii="Arial" w:hAnsi="Arial" w:cs="Arial"/>
                <w:sz w:val="20"/>
                <w:szCs w:val="20"/>
              </w:rPr>
              <w:t>z</w:t>
            </w:r>
            <w:r w:rsidRPr="00CB58FC">
              <w:rPr>
                <w:rFonts w:ascii="Arial" w:hAnsi="Arial" w:cs="Arial"/>
                <w:sz w:val="20"/>
                <w:szCs w:val="20"/>
              </w:rPr>
              <w:t>ations to take reasonable and diligent measures, on the basis of good faith, to identify and locate the relevant right</w:t>
            </w:r>
            <w:r w:rsidR="00876936" w:rsidRPr="00CB58FC">
              <w:rPr>
                <w:rFonts w:ascii="Arial" w:hAnsi="Arial" w:cs="Arial"/>
                <w:sz w:val="20"/>
                <w:szCs w:val="20"/>
              </w:rPr>
              <w:t xml:space="preserve"> </w:t>
            </w:r>
            <w:r w:rsidRPr="00CB58FC">
              <w:rPr>
                <w:rFonts w:ascii="Arial" w:hAnsi="Arial" w:cs="Arial"/>
                <w:sz w:val="20"/>
                <w:szCs w:val="20"/>
              </w:rPr>
              <w:t>holders. It is also appropriate that members of a collective management organisation, to the extent allowed for under national law, should decide on the use of any amounts that cannot be distributed in situations where right</w:t>
            </w:r>
            <w:r w:rsidR="00876936" w:rsidRPr="00CB58FC">
              <w:rPr>
                <w:rFonts w:ascii="Arial" w:hAnsi="Arial" w:cs="Arial"/>
                <w:sz w:val="20"/>
                <w:szCs w:val="20"/>
              </w:rPr>
              <w:t xml:space="preserve"> </w:t>
            </w:r>
            <w:r w:rsidRPr="00CB58FC">
              <w:rPr>
                <w:rFonts w:ascii="Arial" w:hAnsi="Arial" w:cs="Arial"/>
                <w:sz w:val="20"/>
                <w:szCs w:val="20"/>
              </w:rPr>
              <w:t>holders entitled to those amounts cannot be identified or located.</w:t>
            </w:r>
          </w:p>
          <w:p w14:paraId="7E55D651" w14:textId="77777777" w:rsidR="0093188F" w:rsidRPr="00CB58FC" w:rsidRDefault="0093188F" w:rsidP="009505EE">
            <w:pPr>
              <w:pStyle w:val="CM4"/>
              <w:spacing w:before="60" w:after="60"/>
              <w:rPr>
                <w:rFonts w:ascii="Arial" w:hAnsi="Arial" w:cs="Arial"/>
                <w:sz w:val="20"/>
                <w:szCs w:val="20"/>
              </w:rPr>
            </w:pPr>
            <w:r w:rsidRPr="00CB58FC">
              <w:rPr>
                <w:rFonts w:ascii="Arial" w:hAnsi="Arial" w:cs="Arial"/>
                <w:i/>
                <w:iCs/>
                <w:sz w:val="20"/>
                <w:szCs w:val="20"/>
              </w:rPr>
              <w:t xml:space="preserve">Article 13 </w:t>
            </w:r>
          </w:p>
          <w:p w14:paraId="3E0BD198" w14:textId="05989FC8" w:rsidR="0093188F" w:rsidRPr="00CB58FC" w:rsidRDefault="0093188F" w:rsidP="009505EE">
            <w:pPr>
              <w:pStyle w:val="CM4"/>
              <w:spacing w:before="60" w:after="60"/>
              <w:rPr>
                <w:rFonts w:ascii="Arial" w:hAnsi="Arial" w:cs="Arial"/>
                <w:sz w:val="20"/>
                <w:szCs w:val="20"/>
              </w:rPr>
            </w:pPr>
            <w:r w:rsidRPr="00CB58FC">
              <w:rPr>
                <w:rFonts w:ascii="Arial" w:hAnsi="Arial" w:cs="Arial"/>
                <w:b/>
                <w:bCs/>
                <w:sz w:val="20"/>
                <w:szCs w:val="20"/>
              </w:rPr>
              <w:t>Distribution of amounts due to right</w:t>
            </w:r>
            <w:r w:rsidR="00876936" w:rsidRPr="00CB58FC">
              <w:rPr>
                <w:rFonts w:ascii="Arial" w:hAnsi="Arial" w:cs="Arial"/>
                <w:b/>
                <w:bCs/>
                <w:sz w:val="20"/>
                <w:szCs w:val="20"/>
              </w:rPr>
              <w:t xml:space="preserve"> </w:t>
            </w:r>
            <w:r w:rsidRPr="00CB58FC">
              <w:rPr>
                <w:rFonts w:ascii="Arial" w:hAnsi="Arial" w:cs="Arial"/>
                <w:b/>
                <w:bCs/>
                <w:sz w:val="20"/>
                <w:szCs w:val="20"/>
              </w:rPr>
              <w:t xml:space="preserve">holders </w:t>
            </w:r>
          </w:p>
          <w:p w14:paraId="66748AE9" w14:textId="166A42FD" w:rsidR="0093188F" w:rsidRPr="00CB58FC" w:rsidRDefault="0093188F" w:rsidP="009505EE">
            <w:pPr>
              <w:pStyle w:val="CM4"/>
              <w:spacing w:before="60" w:after="60"/>
              <w:jc w:val="both"/>
              <w:rPr>
                <w:rFonts w:ascii="Arial" w:hAnsi="Arial" w:cs="Arial"/>
                <w:sz w:val="20"/>
                <w:szCs w:val="20"/>
              </w:rPr>
            </w:pPr>
            <w:r w:rsidRPr="00CB58FC">
              <w:rPr>
                <w:rFonts w:ascii="Arial" w:hAnsi="Arial" w:cs="Arial"/>
                <w:sz w:val="20"/>
                <w:szCs w:val="20"/>
              </w:rPr>
              <w:t>1. Without prejudice to Article 15(3) and Article 28, Member States shall ensure that each collective management organisation regularly, diligently and accurately distributes and pays amounts due to right</w:t>
            </w:r>
            <w:r w:rsidR="00876936" w:rsidRPr="00CB58FC">
              <w:rPr>
                <w:rFonts w:ascii="Arial" w:hAnsi="Arial" w:cs="Arial"/>
                <w:sz w:val="20"/>
                <w:szCs w:val="20"/>
              </w:rPr>
              <w:t xml:space="preserve"> </w:t>
            </w:r>
            <w:r w:rsidRPr="00CB58FC">
              <w:rPr>
                <w:rFonts w:ascii="Arial" w:hAnsi="Arial" w:cs="Arial"/>
                <w:sz w:val="20"/>
                <w:szCs w:val="20"/>
              </w:rPr>
              <w:t>holders in accordance with the general policy on distribution referred to in point (a) of Article 8(5).  Member States shall also ensure that collective management organisations or their members who are entities representing right</w:t>
            </w:r>
            <w:r w:rsidR="00876936" w:rsidRPr="00CB58FC">
              <w:rPr>
                <w:rFonts w:ascii="Arial" w:hAnsi="Arial" w:cs="Arial"/>
                <w:sz w:val="20"/>
                <w:szCs w:val="20"/>
              </w:rPr>
              <w:t xml:space="preserve"> </w:t>
            </w:r>
            <w:r w:rsidRPr="00CB58FC">
              <w:rPr>
                <w:rFonts w:ascii="Arial" w:hAnsi="Arial" w:cs="Arial"/>
                <w:sz w:val="20"/>
                <w:szCs w:val="20"/>
              </w:rPr>
              <w:t>holders distribute and pay those amounts to right</w:t>
            </w:r>
            <w:r w:rsidR="00876936" w:rsidRPr="00CB58FC">
              <w:rPr>
                <w:rFonts w:ascii="Arial" w:hAnsi="Arial" w:cs="Arial"/>
                <w:sz w:val="20"/>
                <w:szCs w:val="20"/>
              </w:rPr>
              <w:t xml:space="preserve"> </w:t>
            </w:r>
            <w:r w:rsidRPr="00CB58FC">
              <w:rPr>
                <w:rFonts w:ascii="Arial" w:hAnsi="Arial" w:cs="Arial"/>
                <w:sz w:val="20"/>
                <w:szCs w:val="20"/>
              </w:rPr>
              <w:t>holders as soon as possible but no later than nine months from the end of the financial year in which the rights revenue was collected, unless objective reasons relating in particular to reporting by users, identification of rights, right</w:t>
            </w:r>
            <w:r w:rsidR="00876936" w:rsidRPr="00CB58FC">
              <w:rPr>
                <w:rFonts w:ascii="Arial" w:hAnsi="Arial" w:cs="Arial"/>
                <w:sz w:val="20"/>
                <w:szCs w:val="20"/>
              </w:rPr>
              <w:t xml:space="preserve"> </w:t>
            </w:r>
            <w:r w:rsidRPr="00CB58FC">
              <w:rPr>
                <w:rFonts w:ascii="Arial" w:hAnsi="Arial" w:cs="Arial"/>
                <w:sz w:val="20"/>
                <w:szCs w:val="20"/>
              </w:rPr>
              <w:t>holders or matching of information on works and other subject-matter with right</w:t>
            </w:r>
            <w:r w:rsidR="00876936" w:rsidRPr="00CB58FC">
              <w:rPr>
                <w:rFonts w:ascii="Arial" w:hAnsi="Arial" w:cs="Arial"/>
                <w:sz w:val="20"/>
                <w:szCs w:val="20"/>
              </w:rPr>
              <w:t xml:space="preserve"> </w:t>
            </w:r>
            <w:r w:rsidRPr="00CB58FC">
              <w:rPr>
                <w:rFonts w:ascii="Arial" w:hAnsi="Arial" w:cs="Arial"/>
                <w:sz w:val="20"/>
                <w:szCs w:val="20"/>
              </w:rPr>
              <w:t xml:space="preserve">holders prevent the collective management organisation or, where applicable, its members from meeting that deadline. </w:t>
            </w:r>
          </w:p>
          <w:p w14:paraId="2001EC8E" w14:textId="6C91B972" w:rsidR="0093188F" w:rsidRPr="00CB58FC" w:rsidRDefault="0093188F" w:rsidP="009505EE">
            <w:pPr>
              <w:pStyle w:val="CM4"/>
              <w:spacing w:before="60" w:after="60"/>
              <w:jc w:val="both"/>
              <w:rPr>
                <w:rFonts w:ascii="Arial" w:hAnsi="Arial" w:cs="Arial"/>
                <w:sz w:val="20"/>
                <w:szCs w:val="20"/>
              </w:rPr>
            </w:pPr>
            <w:r w:rsidRPr="00CB58FC">
              <w:rPr>
                <w:rFonts w:ascii="Arial" w:hAnsi="Arial" w:cs="Arial"/>
                <w:sz w:val="20"/>
                <w:szCs w:val="20"/>
              </w:rPr>
              <w:t>2. Where the amounts due to right</w:t>
            </w:r>
            <w:r w:rsidR="00876936" w:rsidRPr="00CB58FC">
              <w:rPr>
                <w:rFonts w:ascii="Arial" w:hAnsi="Arial" w:cs="Arial"/>
                <w:sz w:val="20"/>
                <w:szCs w:val="20"/>
              </w:rPr>
              <w:t xml:space="preserve"> </w:t>
            </w:r>
            <w:r w:rsidRPr="00CB58FC">
              <w:rPr>
                <w:rFonts w:ascii="Arial" w:hAnsi="Arial" w:cs="Arial"/>
                <w:sz w:val="20"/>
                <w:szCs w:val="20"/>
              </w:rPr>
              <w:t>holders cannot be distributed within the deadline set in paragraph 1 because the relevant right</w:t>
            </w:r>
            <w:r w:rsidR="00876936" w:rsidRPr="00CB58FC">
              <w:rPr>
                <w:rFonts w:ascii="Arial" w:hAnsi="Arial" w:cs="Arial"/>
                <w:sz w:val="20"/>
                <w:szCs w:val="20"/>
              </w:rPr>
              <w:t xml:space="preserve"> </w:t>
            </w:r>
            <w:r w:rsidRPr="00CB58FC">
              <w:rPr>
                <w:rFonts w:ascii="Arial" w:hAnsi="Arial" w:cs="Arial"/>
                <w:sz w:val="20"/>
                <w:szCs w:val="20"/>
              </w:rPr>
              <w:t xml:space="preserve">holders cannot be identified or located and the exception to that deadline does not apply, those amounts </w:t>
            </w:r>
            <w:r w:rsidRPr="00CB58FC">
              <w:rPr>
                <w:rFonts w:ascii="Arial" w:hAnsi="Arial" w:cs="Arial"/>
                <w:sz w:val="20"/>
                <w:szCs w:val="20"/>
              </w:rPr>
              <w:lastRenderedPageBreak/>
              <w:t>shall be kept separate in the accounts of the collective management organi</w:t>
            </w:r>
            <w:r w:rsidR="005B562E" w:rsidRPr="00CB58FC">
              <w:rPr>
                <w:rFonts w:ascii="Arial" w:hAnsi="Arial" w:cs="Arial"/>
                <w:sz w:val="20"/>
                <w:szCs w:val="20"/>
              </w:rPr>
              <w:t>z</w:t>
            </w:r>
            <w:r w:rsidRPr="00CB58FC">
              <w:rPr>
                <w:rFonts w:ascii="Arial" w:hAnsi="Arial" w:cs="Arial"/>
                <w:sz w:val="20"/>
                <w:szCs w:val="20"/>
              </w:rPr>
              <w:t xml:space="preserve">ation. </w:t>
            </w:r>
          </w:p>
          <w:p w14:paraId="04DCCA3F" w14:textId="77777777" w:rsidR="0093188F" w:rsidRPr="00CB58FC" w:rsidRDefault="0093188F" w:rsidP="009505EE">
            <w:pPr>
              <w:rPr>
                <w:sz w:val="20"/>
                <w:szCs w:val="20"/>
              </w:rPr>
            </w:pPr>
            <w:r w:rsidRPr="00CB58FC">
              <w:rPr>
                <w:sz w:val="20"/>
                <w:szCs w:val="20"/>
              </w:rPr>
              <w:t xml:space="preserve">… </w:t>
            </w:r>
          </w:p>
        </w:tc>
        <w:tc>
          <w:tcPr>
            <w:tcW w:w="2687" w:type="dxa"/>
          </w:tcPr>
          <w:p w14:paraId="50DA3A27" w14:textId="08623663" w:rsidR="0093188F" w:rsidRPr="00CB58FC" w:rsidRDefault="00CF175E" w:rsidP="009505EE">
            <w:pPr>
              <w:pStyle w:val="CM1"/>
              <w:spacing w:before="200" w:after="200"/>
              <w:jc w:val="both"/>
              <w:rPr>
                <w:rFonts w:ascii="Arial" w:hAnsi="Arial" w:cs="Arial"/>
                <w:sz w:val="20"/>
                <w:szCs w:val="20"/>
              </w:rPr>
            </w:pPr>
            <w:r w:rsidRPr="00CB58FC">
              <w:rPr>
                <w:rFonts w:ascii="Arial" w:hAnsi="Arial" w:cs="Arial"/>
                <w:sz w:val="20"/>
                <w:szCs w:val="20"/>
              </w:rPr>
              <w:lastRenderedPageBreak/>
              <w:t>Sets out general principles to be applied by CMOs in EU in distributing payments (not just for ARR).</w:t>
            </w:r>
          </w:p>
        </w:tc>
      </w:tr>
      <w:tr w:rsidR="0093188F" w:rsidRPr="00CB58FC" w14:paraId="3F0940B6" w14:textId="5EF5C6A1" w:rsidTr="0015390C">
        <w:tc>
          <w:tcPr>
            <w:tcW w:w="2209" w:type="dxa"/>
          </w:tcPr>
          <w:p w14:paraId="45A0FC72" w14:textId="5FDFD99B" w:rsidR="0093188F" w:rsidRPr="00CB58FC" w:rsidRDefault="0093188F" w:rsidP="009505EE">
            <w:pPr>
              <w:pStyle w:val="Default"/>
              <w:jc w:val="both"/>
              <w:rPr>
                <w:color w:val="auto"/>
                <w:sz w:val="20"/>
                <w:szCs w:val="20"/>
              </w:rPr>
            </w:pPr>
            <w:r w:rsidRPr="00CB58FC">
              <w:rPr>
                <w:color w:val="auto"/>
                <w:sz w:val="20"/>
                <w:szCs w:val="20"/>
              </w:rPr>
              <w:lastRenderedPageBreak/>
              <w:t>UK</w:t>
            </w:r>
            <w:r w:rsidR="00CF175E" w:rsidRPr="00CB58FC">
              <w:rPr>
                <w:rStyle w:val="FootnoteReference"/>
                <w:color w:val="auto"/>
                <w:sz w:val="20"/>
                <w:szCs w:val="20"/>
              </w:rPr>
              <w:footnoteReference w:id="91"/>
            </w:r>
            <w:r w:rsidRPr="00CB58FC">
              <w:rPr>
                <w:color w:val="auto"/>
                <w:sz w:val="20"/>
                <w:szCs w:val="20"/>
              </w:rPr>
              <w:t xml:space="preserve"> </w:t>
            </w:r>
          </w:p>
        </w:tc>
        <w:tc>
          <w:tcPr>
            <w:tcW w:w="4449" w:type="dxa"/>
          </w:tcPr>
          <w:p w14:paraId="4C0182D2" w14:textId="77777777" w:rsidR="0093188F" w:rsidRPr="00CB58FC" w:rsidRDefault="0093188F" w:rsidP="009505EE">
            <w:pPr>
              <w:pStyle w:val="Default"/>
              <w:jc w:val="both"/>
              <w:rPr>
                <w:color w:val="auto"/>
                <w:sz w:val="20"/>
                <w:szCs w:val="20"/>
              </w:rPr>
            </w:pPr>
            <w:r w:rsidRPr="00CB58FC">
              <w:rPr>
                <w:b/>
                <w:bCs/>
                <w:color w:val="auto"/>
                <w:sz w:val="20"/>
                <w:szCs w:val="20"/>
              </w:rPr>
              <w:t>12.</w:t>
            </w:r>
            <w:r w:rsidRPr="00CB58FC">
              <w:rPr>
                <w:color w:val="auto"/>
                <w:sz w:val="20"/>
                <w:szCs w:val="20"/>
              </w:rPr>
              <w:t>—(1) A collective management organisation must regularly, diligently and accurately distribute and pay amounts due to right holders in accordance with the general policy on distribution referred to in paragraph (1)(d)(i) of regulation 7 (general assembly of members) subject to paragraph (3) of regulation 14 (deductions and payments) and regulation 27 (payment).</w:t>
            </w:r>
          </w:p>
          <w:p w14:paraId="71049138" w14:textId="6C4B1A95" w:rsidR="0093188F" w:rsidRPr="00CB58FC" w:rsidRDefault="0093188F" w:rsidP="009505EE">
            <w:pPr>
              <w:pStyle w:val="Default"/>
              <w:jc w:val="both"/>
              <w:rPr>
                <w:color w:val="auto"/>
                <w:sz w:val="20"/>
                <w:szCs w:val="20"/>
              </w:rPr>
            </w:pPr>
            <w:r w:rsidRPr="00CB58FC">
              <w:rPr>
                <w:color w:val="auto"/>
                <w:sz w:val="20"/>
                <w:szCs w:val="20"/>
              </w:rPr>
              <w:t>(2) A collective management organi</w:t>
            </w:r>
            <w:r w:rsidR="005B562E" w:rsidRPr="00CB58FC">
              <w:rPr>
                <w:color w:val="auto"/>
                <w:sz w:val="20"/>
                <w:szCs w:val="20"/>
              </w:rPr>
              <w:t>z</w:t>
            </w:r>
            <w:r w:rsidRPr="00CB58FC">
              <w:rPr>
                <w:color w:val="auto"/>
                <w:sz w:val="20"/>
                <w:szCs w:val="20"/>
              </w:rPr>
              <w:t>ation or, a member of it which is an entity representing right</w:t>
            </w:r>
            <w:r w:rsidR="005E44AE" w:rsidRPr="00CB58FC">
              <w:rPr>
                <w:color w:val="auto"/>
                <w:sz w:val="20"/>
                <w:szCs w:val="20"/>
              </w:rPr>
              <w:t xml:space="preserve"> </w:t>
            </w:r>
            <w:r w:rsidRPr="00CB58FC">
              <w:rPr>
                <w:color w:val="auto"/>
                <w:sz w:val="20"/>
                <w:szCs w:val="20"/>
              </w:rPr>
              <w:t>holders, must distribute and pay the amounts referred to in paragraph (1) to right holders as soon as possible but in any event no later than the beginning of the period which starts 9 months from the end of the financial year in which the rights revenue was collected unless paragraph (3) applies.</w:t>
            </w:r>
          </w:p>
          <w:p w14:paraId="574416DD" w14:textId="7DFF5AF3" w:rsidR="0093188F" w:rsidRPr="00CB58FC" w:rsidRDefault="0093188F" w:rsidP="009505EE">
            <w:pPr>
              <w:pStyle w:val="Default"/>
              <w:jc w:val="both"/>
              <w:rPr>
                <w:color w:val="auto"/>
                <w:sz w:val="20"/>
                <w:szCs w:val="20"/>
              </w:rPr>
            </w:pPr>
            <w:r w:rsidRPr="00CB58FC">
              <w:rPr>
                <w:color w:val="auto"/>
                <w:sz w:val="20"/>
                <w:szCs w:val="20"/>
              </w:rPr>
              <w:t>(3) This paragraph applies where there are objective reasons which prevent the collective management organi</w:t>
            </w:r>
            <w:r w:rsidR="005B562E" w:rsidRPr="00CB58FC">
              <w:rPr>
                <w:color w:val="auto"/>
                <w:sz w:val="20"/>
                <w:szCs w:val="20"/>
              </w:rPr>
              <w:t>z</w:t>
            </w:r>
            <w:r w:rsidRPr="00CB58FC">
              <w:rPr>
                <w:color w:val="auto"/>
                <w:sz w:val="20"/>
                <w:szCs w:val="20"/>
              </w:rPr>
              <w:t>ation or its member referred to in paragraph (2) from distributing or paying the amounts within the time specified in that paragraph.</w:t>
            </w:r>
          </w:p>
          <w:p w14:paraId="6A2E107F" w14:textId="29ABF42A" w:rsidR="0093188F" w:rsidRPr="00CB58FC" w:rsidRDefault="0093188F" w:rsidP="0015390C">
            <w:pPr>
              <w:jc w:val="both"/>
              <w:rPr>
                <w:sz w:val="20"/>
                <w:szCs w:val="20"/>
              </w:rPr>
            </w:pPr>
            <w:r w:rsidRPr="00CB58FC">
              <w:rPr>
                <w:sz w:val="20"/>
                <w:szCs w:val="20"/>
              </w:rPr>
              <w:t>(4) The objective reasons referred to in</w:t>
            </w:r>
            <w:r w:rsidR="007C7624" w:rsidRPr="00CB58FC">
              <w:rPr>
                <w:sz w:val="20"/>
                <w:szCs w:val="20"/>
              </w:rPr>
              <w:t xml:space="preserve"> </w:t>
            </w:r>
            <w:r w:rsidRPr="00CB58FC">
              <w:rPr>
                <w:sz w:val="20"/>
                <w:szCs w:val="20"/>
              </w:rPr>
              <w:t>paragraph (3) may relate in particular to</w:t>
            </w:r>
          </w:p>
          <w:p w14:paraId="043BCDC7" w14:textId="77777777" w:rsidR="0093188F" w:rsidRPr="00CB58FC" w:rsidRDefault="0093188F" w:rsidP="009505EE">
            <w:pPr>
              <w:rPr>
                <w:sz w:val="20"/>
                <w:szCs w:val="20"/>
              </w:rPr>
            </w:pPr>
            <w:r w:rsidRPr="00CB58FC">
              <w:rPr>
                <w:sz w:val="20"/>
                <w:szCs w:val="20"/>
              </w:rPr>
              <w:t>(a) reporting by users;</w:t>
            </w:r>
          </w:p>
          <w:p w14:paraId="05520584" w14:textId="77777777" w:rsidR="0093188F" w:rsidRPr="00CB58FC" w:rsidRDefault="0093188F" w:rsidP="009505EE">
            <w:pPr>
              <w:rPr>
                <w:sz w:val="20"/>
                <w:szCs w:val="20"/>
              </w:rPr>
            </w:pPr>
            <w:r w:rsidRPr="00CB58FC">
              <w:rPr>
                <w:sz w:val="20"/>
                <w:szCs w:val="20"/>
              </w:rPr>
              <w:t>(b) identification of rights or right holders; or</w:t>
            </w:r>
          </w:p>
          <w:p w14:paraId="36AA519A" w14:textId="77777777" w:rsidR="0093188F" w:rsidRPr="00CB58FC" w:rsidRDefault="0093188F" w:rsidP="009505EE">
            <w:pPr>
              <w:pStyle w:val="Default"/>
              <w:jc w:val="both"/>
              <w:rPr>
                <w:color w:val="auto"/>
                <w:sz w:val="20"/>
                <w:szCs w:val="20"/>
              </w:rPr>
            </w:pPr>
            <w:r w:rsidRPr="00CB58FC">
              <w:rPr>
                <w:color w:val="auto"/>
                <w:sz w:val="20"/>
                <w:szCs w:val="20"/>
              </w:rPr>
              <w:t>(c) matching of information on works and other subject matter with right holders.</w:t>
            </w:r>
          </w:p>
        </w:tc>
        <w:tc>
          <w:tcPr>
            <w:tcW w:w="2687" w:type="dxa"/>
          </w:tcPr>
          <w:p w14:paraId="15D1EDE0" w14:textId="0237EB60" w:rsidR="0093188F" w:rsidRPr="00CB58FC" w:rsidRDefault="00CF175E" w:rsidP="009505EE">
            <w:pPr>
              <w:pStyle w:val="Default"/>
              <w:jc w:val="both"/>
              <w:rPr>
                <w:color w:val="auto"/>
                <w:sz w:val="20"/>
                <w:szCs w:val="20"/>
              </w:rPr>
            </w:pPr>
            <w:r w:rsidRPr="00CB58FC">
              <w:rPr>
                <w:color w:val="auto"/>
                <w:sz w:val="20"/>
                <w:szCs w:val="20"/>
              </w:rPr>
              <w:t xml:space="preserve">Regulation in UK law implementing Directive requirements (still relevant after Brexit).  </w:t>
            </w:r>
          </w:p>
        </w:tc>
      </w:tr>
    </w:tbl>
    <w:p w14:paraId="46EDA8CD" w14:textId="77777777" w:rsidR="003B05BB" w:rsidRPr="00CB58FC" w:rsidRDefault="003B05BB" w:rsidP="003D6031">
      <w:pPr>
        <w:pStyle w:val="Heading1"/>
        <w:rPr>
          <w:szCs w:val="22"/>
        </w:rPr>
      </w:pPr>
    </w:p>
    <w:p w14:paraId="61044FB2" w14:textId="240DF7F1" w:rsidR="003D6031" w:rsidRPr="00CB58FC" w:rsidRDefault="003D6031" w:rsidP="003D6031">
      <w:pPr>
        <w:pStyle w:val="Heading1"/>
        <w:rPr>
          <w:szCs w:val="22"/>
        </w:rPr>
      </w:pPr>
      <w:r w:rsidRPr="00CB58FC">
        <w:rPr>
          <w:szCs w:val="22"/>
        </w:rPr>
        <w:t>ENFORCEMENT OF ARR</w:t>
      </w:r>
    </w:p>
    <w:p w14:paraId="7D7247BC" w14:textId="77777777" w:rsidR="003D6031" w:rsidRPr="00CB58FC" w:rsidRDefault="003D6031" w:rsidP="003D6031"/>
    <w:p w14:paraId="243702F7" w14:textId="44C2B577" w:rsidR="003D6031" w:rsidRPr="00CB58FC" w:rsidRDefault="003D6031" w:rsidP="003D6031">
      <w:pPr>
        <w:pStyle w:val="ListParagraph"/>
        <w:numPr>
          <w:ilvl w:val="0"/>
          <w:numId w:val="16"/>
        </w:numPr>
        <w:rPr>
          <w:rFonts w:cs="Arial"/>
        </w:rPr>
      </w:pPr>
      <w:r w:rsidRPr="00CB58FC">
        <w:rPr>
          <w:rFonts w:cs="Arial"/>
        </w:rPr>
        <w:t xml:space="preserve">Any ARR scheme, which is ultimately concerned with the collection and distribution of payments due on eligible resales, should have clear guidelines as to how the scheme is to be enforced. The desirability of CMOs having specific powers to request information about resales from AMPs has already been referred to above, including the possibility of being able to audit the books of AMPs. In one country, Algeria, there is also power in the legislation which entitles the CMO and/or the right holder, who may opt to manage his right individually, to attend the auction where </w:t>
      </w:r>
      <w:r w:rsidR="007C7624" w:rsidRPr="00CB58FC">
        <w:rPr>
          <w:rFonts w:cs="Arial"/>
        </w:rPr>
        <w:t xml:space="preserve">a </w:t>
      </w:r>
      <w:r w:rsidRPr="00CB58FC">
        <w:rPr>
          <w:rFonts w:cs="Arial"/>
        </w:rPr>
        <w:t xml:space="preserve">resale is occurring, to request information and inspect documents: see the text of the provision in Table 26 below.    </w:t>
      </w:r>
    </w:p>
    <w:p w14:paraId="093C0C1F" w14:textId="77777777" w:rsidR="003B05BB" w:rsidRPr="00CB58FC" w:rsidRDefault="003B05BB" w:rsidP="0015390C">
      <w:pPr>
        <w:pStyle w:val="ListParagraph"/>
        <w:ind w:left="360"/>
        <w:rPr>
          <w:rFonts w:cs="Arial"/>
        </w:rPr>
      </w:pPr>
    </w:p>
    <w:p w14:paraId="6D798762" w14:textId="799D3B9F" w:rsidR="003D6031" w:rsidRPr="00CB58FC" w:rsidRDefault="003D6031" w:rsidP="003D6031">
      <w:pPr>
        <w:pStyle w:val="ListParagraph"/>
        <w:numPr>
          <w:ilvl w:val="0"/>
          <w:numId w:val="16"/>
        </w:numPr>
        <w:rPr>
          <w:rFonts w:cs="Arial"/>
        </w:rPr>
      </w:pPr>
      <w:r w:rsidRPr="00CB58FC">
        <w:rPr>
          <w:rFonts w:cs="Arial"/>
        </w:rPr>
        <w:t>Time limits for the taking of certain steps are also critical, for example, in relation to the notification of eligible resales by AMPs, provision of information by AMPs to CMOs and the making of payments when ARR is due. Such limits provide a focus for enforcement proceedings by the CMO and are preferably established under legislation or regulation, as</w:t>
      </w:r>
      <w:r w:rsidR="007C7624" w:rsidRPr="00CB58FC">
        <w:rPr>
          <w:rFonts w:cs="Arial"/>
        </w:rPr>
        <w:t xml:space="preserve"> for</w:t>
      </w:r>
      <w:r w:rsidRPr="00CB58FC">
        <w:rPr>
          <w:rFonts w:cs="Arial"/>
        </w:rPr>
        <w:t xml:space="preserve"> example, in Spain where payment of ARR by an AMP must be made within 2 months of the making of a notification to a relevant CMO and in France where a period of 4 months is fixed: see Table 26 below. In the case of requests by CMOs for information, in the UK a 90 day period for a response is stipulated: see Table 26 below.  </w:t>
      </w:r>
    </w:p>
    <w:p w14:paraId="5CE3542E" w14:textId="77777777" w:rsidR="003B05BB" w:rsidRPr="00CB58FC" w:rsidRDefault="003B05BB" w:rsidP="0015390C">
      <w:pPr>
        <w:pStyle w:val="ListParagraph"/>
        <w:ind w:left="360"/>
        <w:rPr>
          <w:rFonts w:cs="Arial"/>
        </w:rPr>
      </w:pPr>
    </w:p>
    <w:p w14:paraId="6A4BA9A5" w14:textId="6EFA6D8D" w:rsidR="003D6031" w:rsidRPr="00CB58FC" w:rsidRDefault="003D6031" w:rsidP="003D6031">
      <w:pPr>
        <w:pStyle w:val="ListParagraph"/>
        <w:numPr>
          <w:ilvl w:val="0"/>
          <w:numId w:val="16"/>
        </w:numPr>
        <w:rPr>
          <w:rFonts w:cs="Arial"/>
        </w:rPr>
      </w:pPr>
      <w:r w:rsidRPr="00CB58FC">
        <w:rPr>
          <w:rFonts w:cs="Arial"/>
        </w:rPr>
        <w:t>More generally, where payment of ARR has not been made, CMOs should have the specific power to pursue an entitlement to ARR through the courts on behalf of the eligible right holder as a debt owed to that person. In many instances, this power should be inherent in the mandate given to the CMO by the member, that is, the CMO is entitled to take such action as the agent of the right holder: see further the discussion of mandates generally</w:t>
      </w:r>
      <w:r w:rsidR="007C7624" w:rsidRPr="00CB58FC">
        <w:rPr>
          <w:rFonts w:cs="Arial"/>
        </w:rPr>
        <w:t xml:space="preserve"> at paras 24 ff above</w:t>
      </w:r>
      <w:r w:rsidRPr="00CB58FC">
        <w:rPr>
          <w:rFonts w:cs="Arial"/>
        </w:rPr>
        <w:t>, and the specific examples given there, notably A</w:t>
      </w:r>
      <w:r w:rsidR="00EF22BE" w:rsidRPr="00CB58FC">
        <w:rPr>
          <w:rFonts w:cs="Arial"/>
        </w:rPr>
        <w:t>D</w:t>
      </w:r>
      <w:r w:rsidRPr="00CB58FC">
        <w:rPr>
          <w:rFonts w:cs="Arial"/>
        </w:rPr>
        <w:t>A</w:t>
      </w:r>
      <w:r w:rsidR="00EF22BE" w:rsidRPr="00CB58FC">
        <w:rPr>
          <w:rFonts w:cs="Arial"/>
        </w:rPr>
        <w:t>G</w:t>
      </w:r>
      <w:r w:rsidRPr="00CB58FC">
        <w:rPr>
          <w:rFonts w:cs="Arial"/>
        </w:rPr>
        <w:t>P where the power to undertake civil proceedings is specially entrusted to it in the mandate receive</w:t>
      </w:r>
      <w:r w:rsidR="007C7624" w:rsidRPr="00CB58FC">
        <w:rPr>
          <w:rFonts w:cs="Arial"/>
        </w:rPr>
        <w:t>d</w:t>
      </w:r>
      <w:r w:rsidRPr="00CB58FC">
        <w:rPr>
          <w:rFonts w:cs="Arial"/>
        </w:rPr>
        <w:t xml:space="preserve"> from members. Ultimately, the scope of the CMO’s authority to take legal proceedings on behalf of individual right holders will be a matter of the terms of the mandate it has received as well as any relevant provisions of national law which may differ from country to country. </w:t>
      </w:r>
    </w:p>
    <w:p w14:paraId="4A4F6152" w14:textId="77777777" w:rsidR="003B05BB" w:rsidRPr="00CB58FC" w:rsidRDefault="003B05BB" w:rsidP="0015390C">
      <w:pPr>
        <w:pStyle w:val="ListParagraph"/>
        <w:ind w:left="360"/>
        <w:rPr>
          <w:rFonts w:cs="Arial"/>
        </w:rPr>
      </w:pPr>
    </w:p>
    <w:p w14:paraId="73B80045" w14:textId="0E6C3DCE" w:rsidR="003D6031" w:rsidRPr="00CB58FC" w:rsidRDefault="003D6031" w:rsidP="003D6031">
      <w:pPr>
        <w:pStyle w:val="ListParagraph"/>
        <w:numPr>
          <w:ilvl w:val="0"/>
          <w:numId w:val="16"/>
        </w:numPr>
        <w:rPr>
          <w:rFonts w:cs="Arial"/>
        </w:rPr>
      </w:pPr>
      <w:r w:rsidRPr="00CB58FC">
        <w:rPr>
          <w:rFonts w:cs="Arial"/>
        </w:rPr>
        <w:t>Several national laws, to avoid any doubts arising as to the standing of CMOs to initiate and pursue legal proceedings to enforce ARR payments, have specific legislative provisions dealing with this topic. Two such countries are Australia and New Zealand</w:t>
      </w:r>
      <w:r w:rsidR="005E44AE" w:rsidRPr="00CB58FC">
        <w:rPr>
          <w:rFonts w:cs="Arial"/>
        </w:rPr>
        <w:t xml:space="preserve"> </w:t>
      </w:r>
      <w:r w:rsidRPr="00CB58FC">
        <w:rPr>
          <w:rFonts w:cs="Arial"/>
        </w:rPr>
        <w:t>: see Table 26 below. The Australian legislation also contains some evidentiary presumptions that may be useful in such proceedings. In France, the entitlement of a CMO to take legal action to defend the rights of members for which it is responsible within the framework of its members’ mandates is specifically confirmed under French IP law: see Table 26 below. Such powers are also referred to in the statute of one leading French CMO (ADAGP).</w:t>
      </w:r>
    </w:p>
    <w:p w14:paraId="5952DA67" w14:textId="77777777" w:rsidR="003B05BB" w:rsidRPr="00CB58FC" w:rsidRDefault="003B05BB" w:rsidP="0015390C">
      <w:pPr>
        <w:pStyle w:val="ListParagraph"/>
        <w:ind w:left="360"/>
        <w:rPr>
          <w:rFonts w:cs="Arial"/>
        </w:rPr>
      </w:pPr>
    </w:p>
    <w:p w14:paraId="74EF5565" w14:textId="5D5D249F" w:rsidR="003D6031" w:rsidRPr="00CB58FC" w:rsidRDefault="003D6031" w:rsidP="003D6031">
      <w:pPr>
        <w:pStyle w:val="ListParagraph"/>
        <w:numPr>
          <w:ilvl w:val="0"/>
          <w:numId w:val="16"/>
        </w:numPr>
        <w:rPr>
          <w:rFonts w:cs="Arial"/>
        </w:rPr>
      </w:pPr>
      <w:r w:rsidRPr="00CB58FC">
        <w:rPr>
          <w:rFonts w:cs="Arial"/>
        </w:rPr>
        <w:t>Another possibility is that a CMO may be entrusted under national law with more general powers to monitor and police potential breaches of copyright law, including ARR. This is the case in Italy (see Table 26 below). The practical implementation of these powers in the context of ARR was described by SIAE in the following way:</w:t>
      </w:r>
    </w:p>
    <w:p w14:paraId="1CABE720" w14:textId="5447BEF2" w:rsidR="003D6031" w:rsidRPr="00CB58FC" w:rsidRDefault="003D6031" w:rsidP="003D6031">
      <w:pPr>
        <w:pStyle w:val="Quote"/>
        <w:rPr>
          <w:rFonts w:ascii="Arial" w:hAnsi="Arial" w:cs="Arial"/>
          <w:color w:val="auto"/>
        </w:rPr>
      </w:pPr>
      <w:r w:rsidRPr="00CB58FC">
        <w:rPr>
          <w:rFonts w:ascii="Arial" w:hAnsi="Arial" w:cs="Arial"/>
          <w:color w:val="auto"/>
        </w:rPr>
        <w:t xml:space="preserve">In these cases, SIAE and the Fiscal Police jointly carry out the checks all over the territory, which often lead to the seizure of the documentation relating to the transactions regarding the artworks and other financial documentation (including cross-examination on the fiscal data of sellers or buyers). </w:t>
      </w:r>
    </w:p>
    <w:p w14:paraId="09CE6B9A" w14:textId="4D24DCF0" w:rsidR="003D6031" w:rsidRPr="00CB58FC" w:rsidRDefault="003D6031" w:rsidP="003D6031">
      <w:pPr>
        <w:pStyle w:val="Quote"/>
        <w:rPr>
          <w:rFonts w:ascii="Arial" w:hAnsi="Arial" w:cs="Arial"/>
          <w:color w:val="auto"/>
        </w:rPr>
      </w:pPr>
      <w:r w:rsidRPr="00CB58FC">
        <w:rPr>
          <w:rFonts w:ascii="Arial" w:hAnsi="Arial" w:cs="Arial"/>
          <w:color w:val="auto"/>
        </w:rPr>
        <w:t>The investigation activity can also concern the online platforms and the TV channels broadcast, which host tele</w:t>
      </w:r>
      <w:r w:rsidR="00282D4F" w:rsidRPr="00CB58FC">
        <w:rPr>
          <w:rFonts w:ascii="Arial" w:hAnsi="Arial" w:cs="Arial"/>
          <w:color w:val="auto"/>
        </w:rPr>
        <w:t>-</w:t>
      </w:r>
      <w:r w:rsidRPr="00CB58FC">
        <w:rPr>
          <w:rFonts w:ascii="Arial" w:hAnsi="Arial" w:cs="Arial"/>
          <w:color w:val="auto"/>
        </w:rPr>
        <w:t>sales of works of art marketed by the gallery or the auction house under inspection.</w:t>
      </w:r>
    </w:p>
    <w:p w14:paraId="4F02B688" w14:textId="3C9C343C" w:rsidR="003D6031" w:rsidRPr="00CB58FC" w:rsidRDefault="003D6031" w:rsidP="003D6031">
      <w:pPr>
        <w:pStyle w:val="Quote"/>
        <w:rPr>
          <w:rFonts w:ascii="Arial" w:hAnsi="Arial" w:cs="Arial"/>
          <w:color w:val="auto"/>
        </w:rPr>
      </w:pPr>
      <w:r w:rsidRPr="00CB58FC">
        <w:rPr>
          <w:rFonts w:ascii="Arial" w:hAnsi="Arial" w:cs="Arial"/>
          <w:color w:val="auto"/>
        </w:rPr>
        <w:t xml:space="preserve">SIAE does not have the power to interrogate the sellers or other professionals., but the Fiscal Police and/or the Public Prosecutor certainly are entitled to do so during the investigation phase. </w:t>
      </w:r>
      <w:r w:rsidR="00CF175E" w:rsidRPr="00CB58FC">
        <w:rPr>
          <w:rStyle w:val="FootnoteReference"/>
          <w:rFonts w:ascii="Arial" w:hAnsi="Arial" w:cs="Arial"/>
          <w:color w:val="auto"/>
        </w:rPr>
        <w:footnoteReference w:id="92"/>
      </w:r>
    </w:p>
    <w:p w14:paraId="3621531A" w14:textId="77777777" w:rsidR="003D6031" w:rsidRPr="00CB58FC" w:rsidRDefault="003D6031" w:rsidP="003D6031">
      <w:pPr>
        <w:rPr>
          <w:lang w:val="en-AU" w:eastAsia="en-GB"/>
        </w:rPr>
      </w:pPr>
    </w:p>
    <w:p w14:paraId="377DE22A" w14:textId="77777777" w:rsidR="003D6031" w:rsidRPr="00CB58FC" w:rsidRDefault="003D6031" w:rsidP="003D6031">
      <w:pPr>
        <w:pStyle w:val="Heading1"/>
        <w:rPr>
          <w:b w:val="0"/>
          <w:bCs w:val="0"/>
          <w:szCs w:val="22"/>
          <w:lang w:val="en-AU" w:eastAsia="en-GB"/>
        </w:rPr>
      </w:pPr>
      <w:r w:rsidRPr="00CB58FC">
        <w:rPr>
          <w:b w:val="0"/>
          <w:bCs w:val="0"/>
          <w:szCs w:val="22"/>
          <w:lang w:val="en-AU" w:eastAsia="en-GB"/>
        </w:rPr>
        <w:t>TABLE 26 – ENFORCEMENT OF ARR</w:t>
      </w:r>
    </w:p>
    <w:p w14:paraId="735A374D" w14:textId="77777777" w:rsidR="003D6031" w:rsidRPr="00CB58FC" w:rsidRDefault="003D6031" w:rsidP="003D6031">
      <w:pPr>
        <w:rPr>
          <w:lang w:val="en-AU" w:eastAsia="en-GB"/>
        </w:rPr>
      </w:pPr>
    </w:p>
    <w:tbl>
      <w:tblPr>
        <w:tblStyle w:val="TableGrid"/>
        <w:tblW w:w="0" w:type="auto"/>
        <w:tblLook w:val="04A0" w:firstRow="1" w:lastRow="0" w:firstColumn="1" w:lastColumn="0" w:noHBand="0" w:noVBand="1"/>
      </w:tblPr>
      <w:tblGrid>
        <w:gridCol w:w="1971"/>
        <w:gridCol w:w="4261"/>
        <w:gridCol w:w="3113"/>
      </w:tblGrid>
      <w:tr w:rsidR="0093188F" w:rsidRPr="00CB58FC" w14:paraId="6EDC29BD" w14:textId="26CC80C7" w:rsidTr="0015390C">
        <w:tc>
          <w:tcPr>
            <w:tcW w:w="1971" w:type="dxa"/>
          </w:tcPr>
          <w:p w14:paraId="67088134" w14:textId="77777777" w:rsidR="0093188F" w:rsidRPr="00CB58FC" w:rsidRDefault="0093188F" w:rsidP="009505EE">
            <w:pPr>
              <w:rPr>
                <w:b/>
                <w:bCs/>
              </w:rPr>
            </w:pPr>
            <w:r w:rsidRPr="00CB58FC">
              <w:rPr>
                <w:b/>
                <w:bCs/>
              </w:rPr>
              <w:t>Country</w:t>
            </w:r>
          </w:p>
        </w:tc>
        <w:tc>
          <w:tcPr>
            <w:tcW w:w="4261" w:type="dxa"/>
          </w:tcPr>
          <w:p w14:paraId="4C518806" w14:textId="77777777" w:rsidR="0093188F" w:rsidRPr="00CB58FC" w:rsidRDefault="0093188F" w:rsidP="009505EE">
            <w:pPr>
              <w:rPr>
                <w:b/>
              </w:rPr>
            </w:pPr>
            <w:r w:rsidRPr="00CB58FC">
              <w:rPr>
                <w:b/>
              </w:rPr>
              <w:t>Legislative and other provisions</w:t>
            </w:r>
          </w:p>
        </w:tc>
        <w:tc>
          <w:tcPr>
            <w:tcW w:w="3113" w:type="dxa"/>
          </w:tcPr>
          <w:p w14:paraId="0E751342" w14:textId="709C4915" w:rsidR="0093188F" w:rsidRPr="00CB58FC" w:rsidRDefault="0093188F" w:rsidP="009505EE">
            <w:pPr>
              <w:rPr>
                <w:b/>
              </w:rPr>
            </w:pPr>
            <w:r w:rsidRPr="00CB58FC">
              <w:rPr>
                <w:b/>
              </w:rPr>
              <w:t>Comments</w:t>
            </w:r>
          </w:p>
        </w:tc>
      </w:tr>
      <w:tr w:rsidR="0093188F" w:rsidRPr="00CB58FC" w14:paraId="3804C129" w14:textId="3C7090F6" w:rsidTr="0015390C">
        <w:tc>
          <w:tcPr>
            <w:tcW w:w="1971" w:type="dxa"/>
          </w:tcPr>
          <w:p w14:paraId="0F3A3684" w14:textId="503C6906" w:rsidR="0093188F" w:rsidRPr="00CB58FC" w:rsidRDefault="0093188F" w:rsidP="009505EE">
            <w:pPr>
              <w:rPr>
                <w:sz w:val="20"/>
                <w:szCs w:val="20"/>
              </w:rPr>
            </w:pPr>
            <w:r w:rsidRPr="00CB58FC">
              <w:rPr>
                <w:sz w:val="20"/>
                <w:szCs w:val="20"/>
              </w:rPr>
              <w:t>Spain</w:t>
            </w:r>
            <w:r w:rsidR="003D0050" w:rsidRPr="00CB58FC">
              <w:rPr>
                <w:rStyle w:val="FootnoteReference"/>
                <w:sz w:val="20"/>
                <w:szCs w:val="20"/>
              </w:rPr>
              <w:footnoteReference w:id="93"/>
            </w:r>
            <w:r w:rsidRPr="00CB58FC">
              <w:rPr>
                <w:sz w:val="20"/>
                <w:szCs w:val="20"/>
              </w:rPr>
              <w:t xml:space="preserve"> </w:t>
            </w:r>
          </w:p>
        </w:tc>
        <w:tc>
          <w:tcPr>
            <w:tcW w:w="4261" w:type="dxa"/>
          </w:tcPr>
          <w:p w14:paraId="474A2D5C" w14:textId="77777777" w:rsidR="0093188F" w:rsidRPr="00CB58FC" w:rsidRDefault="0093188F" w:rsidP="009505EE">
            <w:pPr>
              <w:pStyle w:val="HTMLPreformatted"/>
              <w:shd w:val="clear" w:color="auto" w:fill="F8F9FA"/>
              <w:rPr>
                <w:rStyle w:val="y2iqfc"/>
                <w:rFonts w:ascii="Arial" w:hAnsi="Arial" w:cs="Arial"/>
                <w:sz w:val="22"/>
                <w:szCs w:val="22"/>
                <w:lang w:val="en"/>
              </w:rPr>
            </w:pPr>
            <w:r w:rsidRPr="00CB58FC">
              <w:rPr>
                <w:rStyle w:val="y2iqfc"/>
                <w:rFonts w:ascii="Arial" w:hAnsi="Arial" w:cs="Arial"/>
                <w:lang w:val="en"/>
              </w:rPr>
              <w:t>15. Once the notification referred to in paragraph a) of section 14 has been made, the art market professionals will make the payment of the right to the corresponding management entity within a maximum period of two months</w:t>
            </w:r>
            <w:r w:rsidRPr="00CB58FC">
              <w:rPr>
                <w:rStyle w:val="y2iqfc"/>
                <w:rFonts w:ascii="Arial" w:hAnsi="Arial" w:cs="Arial"/>
                <w:sz w:val="22"/>
                <w:szCs w:val="22"/>
                <w:lang w:val="en"/>
              </w:rPr>
              <w:t>.</w:t>
            </w:r>
          </w:p>
          <w:p w14:paraId="03BB003C" w14:textId="77777777" w:rsidR="0093188F" w:rsidRPr="00CB58FC" w:rsidRDefault="0093188F" w:rsidP="009505EE"/>
        </w:tc>
        <w:tc>
          <w:tcPr>
            <w:tcW w:w="3113" w:type="dxa"/>
          </w:tcPr>
          <w:p w14:paraId="4575F9DE" w14:textId="47847CA9" w:rsidR="0093188F" w:rsidRPr="00CB58FC" w:rsidRDefault="0014338B"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 xml:space="preserve">Requirement for CMO to make payment after notification within </w:t>
            </w:r>
            <w:r w:rsidR="00282D4F" w:rsidRPr="00CB58FC">
              <w:rPr>
                <w:rStyle w:val="y2iqfc"/>
                <w:rFonts w:ascii="Arial" w:hAnsi="Arial" w:cs="Arial"/>
                <w:lang w:val="en"/>
              </w:rPr>
              <w:t>a 2-month</w:t>
            </w:r>
            <w:r w:rsidRPr="00CB58FC">
              <w:rPr>
                <w:rStyle w:val="y2iqfc"/>
                <w:rFonts w:ascii="Arial" w:hAnsi="Arial" w:cs="Arial"/>
                <w:lang w:val="en"/>
              </w:rPr>
              <w:t xml:space="preserve"> period. </w:t>
            </w:r>
          </w:p>
        </w:tc>
      </w:tr>
      <w:tr w:rsidR="0093188F" w:rsidRPr="00CB58FC" w14:paraId="186E8D13" w14:textId="59FFA4F2" w:rsidTr="0015390C">
        <w:tc>
          <w:tcPr>
            <w:tcW w:w="1971" w:type="dxa"/>
          </w:tcPr>
          <w:p w14:paraId="297300B0" w14:textId="0EF95BA4" w:rsidR="0093188F" w:rsidRPr="00CB58FC" w:rsidRDefault="0093188F" w:rsidP="009505EE">
            <w:pPr>
              <w:rPr>
                <w:sz w:val="20"/>
                <w:szCs w:val="20"/>
              </w:rPr>
            </w:pPr>
            <w:r w:rsidRPr="00CB58FC">
              <w:rPr>
                <w:sz w:val="20"/>
                <w:szCs w:val="20"/>
              </w:rPr>
              <w:t>France</w:t>
            </w:r>
            <w:r w:rsidR="003B05BB" w:rsidRPr="00CB58FC">
              <w:rPr>
                <w:rStyle w:val="FootnoteReference"/>
                <w:sz w:val="20"/>
                <w:szCs w:val="20"/>
              </w:rPr>
              <w:footnoteReference w:id="94"/>
            </w:r>
            <w:r w:rsidRPr="00CB58FC">
              <w:rPr>
                <w:sz w:val="20"/>
                <w:szCs w:val="20"/>
              </w:rPr>
              <w:t xml:space="preserve"> </w:t>
            </w:r>
          </w:p>
        </w:tc>
        <w:tc>
          <w:tcPr>
            <w:tcW w:w="4261" w:type="dxa"/>
          </w:tcPr>
          <w:p w14:paraId="3BEE1BA8" w14:textId="77777777" w:rsidR="0093188F" w:rsidRPr="00CB58FC" w:rsidRDefault="0093188F" w:rsidP="009505EE">
            <w:pPr>
              <w:pStyle w:val="HTMLPreformatted"/>
              <w:shd w:val="clear" w:color="auto" w:fill="F8F9FA"/>
              <w:rPr>
                <w:rStyle w:val="y2iqfc"/>
                <w:rFonts w:ascii="Arial" w:eastAsiaTheme="majorEastAsia" w:hAnsi="Arial" w:cs="Arial"/>
                <w:lang w:val="en"/>
              </w:rPr>
            </w:pPr>
            <w:r w:rsidRPr="00CB58FC">
              <w:rPr>
                <w:rStyle w:val="y2iqfc"/>
                <w:rFonts w:ascii="Arial" w:eastAsiaTheme="majorEastAsia" w:hAnsi="Arial" w:cs="Arial"/>
                <w:lang w:val="en"/>
              </w:rPr>
              <w:t xml:space="preserve">I. - When receiving a request from the beneficiary, the professional responsible for payment of the resale right pays him the amount thereof within a period which cannot exceed four months from the date of receipt of </w:t>
            </w:r>
            <w:r w:rsidRPr="00CB58FC">
              <w:rPr>
                <w:rStyle w:val="y2iqfc"/>
                <w:rFonts w:ascii="Arial" w:eastAsiaTheme="majorEastAsia" w:hAnsi="Arial" w:cs="Arial"/>
                <w:lang w:val="en"/>
              </w:rPr>
              <w:lastRenderedPageBreak/>
              <w:t>the request. request or, if this request is received before the sale, from the date of this sale.</w:t>
            </w:r>
          </w:p>
          <w:p w14:paraId="38A7CCF4" w14:textId="77777777" w:rsidR="0093188F" w:rsidRPr="00CB58FC" w:rsidRDefault="0093188F" w:rsidP="009505EE"/>
        </w:tc>
        <w:tc>
          <w:tcPr>
            <w:tcW w:w="3113" w:type="dxa"/>
          </w:tcPr>
          <w:p w14:paraId="3F67B5F3" w14:textId="0F3D5D7A" w:rsidR="0093188F" w:rsidRPr="00CB58FC" w:rsidRDefault="0014338B" w:rsidP="009505EE">
            <w:pPr>
              <w:pStyle w:val="HTMLPreformatted"/>
              <w:shd w:val="clear" w:color="auto" w:fill="F8F9FA"/>
              <w:rPr>
                <w:rStyle w:val="y2iqfc"/>
                <w:rFonts w:ascii="Arial" w:eastAsiaTheme="majorEastAsia" w:hAnsi="Arial" w:cs="Arial"/>
                <w:lang w:val="en"/>
              </w:rPr>
            </w:pPr>
            <w:r w:rsidRPr="00CB58FC">
              <w:rPr>
                <w:rStyle w:val="y2iqfc"/>
                <w:rFonts w:ascii="Arial" w:eastAsiaTheme="majorEastAsia" w:hAnsi="Arial" w:cs="Arial"/>
                <w:lang w:val="en"/>
              </w:rPr>
              <w:lastRenderedPageBreak/>
              <w:t xml:space="preserve">Payment to be made </w:t>
            </w:r>
            <w:r w:rsidR="007C7624" w:rsidRPr="00CB58FC">
              <w:rPr>
                <w:rStyle w:val="y2iqfc"/>
                <w:rFonts w:ascii="Arial" w:eastAsiaTheme="majorEastAsia" w:hAnsi="Arial" w:cs="Arial"/>
                <w:lang w:val="en"/>
              </w:rPr>
              <w:t>within</w:t>
            </w:r>
            <w:r w:rsidRPr="00CB58FC">
              <w:rPr>
                <w:rStyle w:val="y2iqfc"/>
                <w:rFonts w:ascii="Arial" w:eastAsiaTheme="majorEastAsia" w:hAnsi="Arial" w:cs="Arial"/>
                <w:lang w:val="en"/>
              </w:rPr>
              <w:t xml:space="preserve"> four months.</w:t>
            </w:r>
          </w:p>
        </w:tc>
      </w:tr>
      <w:tr w:rsidR="0093188F" w:rsidRPr="00CB58FC" w14:paraId="66D59E96" w14:textId="08BC038C" w:rsidTr="0015390C">
        <w:tc>
          <w:tcPr>
            <w:tcW w:w="1971" w:type="dxa"/>
          </w:tcPr>
          <w:p w14:paraId="6426E2F9" w14:textId="67FA7BA8" w:rsidR="0093188F" w:rsidRPr="00CB58FC" w:rsidRDefault="0093188F" w:rsidP="009505EE">
            <w:pPr>
              <w:rPr>
                <w:sz w:val="20"/>
                <w:szCs w:val="20"/>
              </w:rPr>
            </w:pPr>
            <w:r w:rsidRPr="00CB58FC">
              <w:rPr>
                <w:sz w:val="20"/>
                <w:szCs w:val="20"/>
              </w:rPr>
              <w:t>UK</w:t>
            </w:r>
            <w:r w:rsidR="003D0050" w:rsidRPr="00CB58FC">
              <w:rPr>
                <w:rStyle w:val="FootnoteReference"/>
                <w:sz w:val="20"/>
                <w:szCs w:val="20"/>
              </w:rPr>
              <w:footnoteReference w:id="95"/>
            </w:r>
            <w:r w:rsidRPr="00CB58FC">
              <w:rPr>
                <w:sz w:val="20"/>
                <w:szCs w:val="20"/>
              </w:rPr>
              <w:t xml:space="preserve"> </w:t>
            </w:r>
          </w:p>
        </w:tc>
        <w:tc>
          <w:tcPr>
            <w:tcW w:w="4261" w:type="dxa"/>
          </w:tcPr>
          <w:p w14:paraId="42DE58D4" w14:textId="77777777" w:rsidR="0093188F" w:rsidRPr="00CB58FC" w:rsidRDefault="0093188F" w:rsidP="0015390C">
            <w:pPr>
              <w:autoSpaceDE w:val="0"/>
              <w:autoSpaceDN w:val="0"/>
              <w:adjustRightInd w:val="0"/>
              <w:jc w:val="both"/>
              <w:rPr>
                <w:rFonts w:eastAsiaTheme="minorEastAsia"/>
                <w:sz w:val="20"/>
                <w:szCs w:val="20"/>
                <w14:ligatures w14:val="standardContextual"/>
              </w:rPr>
            </w:pPr>
            <w:r w:rsidRPr="00CB58FC">
              <w:rPr>
                <w:rFonts w:eastAsiaTheme="minorEastAsia"/>
                <w:sz w:val="21"/>
                <w:szCs w:val="21"/>
                <w14:ligatures w14:val="standardContextual"/>
              </w:rPr>
              <w:t>(</w:t>
            </w:r>
            <w:r w:rsidRPr="00CB58FC">
              <w:rPr>
                <w:rFonts w:eastAsiaTheme="minorEastAsia"/>
                <w:sz w:val="20"/>
                <w:szCs w:val="20"/>
                <w14:ligatures w14:val="standardContextual"/>
              </w:rPr>
              <w:t>4) The person to whom the request is made shall do everything within his power to supply the information requested within 90 days of the receipt of the request.</w:t>
            </w:r>
          </w:p>
          <w:p w14:paraId="670285D8" w14:textId="77777777" w:rsidR="0093188F" w:rsidRPr="00CB58FC" w:rsidRDefault="0093188F" w:rsidP="0015390C">
            <w:pPr>
              <w:autoSpaceDE w:val="0"/>
              <w:autoSpaceDN w:val="0"/>
              <w:adjustRightInd w:val="0"/>
              <w:jc w:val="both"/>
              <w:rPr>
                <w:rStyle w:val="y2iqfc"/>
                <w:rFonts w:eastAsiaTheme="minorEastAsia"/>
                <w:sz w:val="21"/>
                <w:szCs w:val="21"/>
                <w14:ligatures w14:val="standardContextual"/>
              </w:rPr>
            </w:pPr>
            <w:r w:rsidRPr="00CB58FC">
              <w:rPr>
                <w:rFonts w:eastAsiaTheme="minorEastAsia"/>
                <w:sz w:val="20"/>
                <w:szCs w:val="20"/>
                <w14:ligatures w14:val="standardContextual"/>
              </w:rPr>
              <w:t>(5) If that information is not supplied within the period mentioned in paragraph (4), the person making the request may, in accordance with rules of court, apply to the county court for an order requiring the person to whom the request is made to supply the information</w:t>
            </w:r>
            <w:r w:rsidRPr="00CB58FC">
              <w:rPr>
                <w:rFonts w:eastAsiaTheme="minorEastAsia"/>
                <w:sz w:val="21"/>
                <w:szCs w:val="21"/>
                <w14:ligatures w14:val="standardContextual"/>
              </w:rPr>
              <w:t>.</w:t>
            </w:r>
          </w:p>
        </w:tc>
        <w:tc>
          <w:tcPr>
            <w:tcW w:w="3113" w:type="dxa"/>
          </w:tcPr>
          <w:p w14:paraId="72173DEB" w14:textId="77777777" w:rsidR="0014338B" w:rsidRPr="00CB58FC" w:rsidRDefault="0014338B" w:rsidP="0015390C">
            <w:pPr>
              <w:pStyle w:val="ListParagraph"/>
              <w:numPr>
                <w:ilvl w:val="0"/>
                <w:numId w:val="34"/>
              </w:numPr>
              <w:autoSpaceDE w:val="0"/>
              <w:autoSpaceDN w:val="0"/>
              <w:adjustRightInd w:val="0"/>
              <w:rPr>
                <w:rFonts w:eastAsiaTheme="minorEastAsia"/>
                <w:sz w:val="21"/>
                <w:szCs w:val="21"/>
                <w14:ligatures w14:val="standardContextual"/>
              </w:rPr>
            </w:pPr>
            <w:r w:rsidRPr="00CB58FC">
              <w:rPr>
                <w:rFonts w:eastAsiaTheme="minorEastAsia"/>
                <w:sz w:val="21"/>
                <w:szCs w:val="21"/>
                <w14:ligatures w14:val="standardContextual"/>
              </w:rPr>
              <w:t>Information requested to be supplied within 90 days of receipt of request.</w:t>
            </w:r>
          </w:p>
          <w:p w14:paraId="2FE0C44A" w14:textId="3BE6EA5D" w:rsidR="0093188F" w:rsidRPr="00CB58FC" w:rsidRDefault="0014338B" w:rsidP="0015390C">
            <w:pPr>
              <w:pStyle w:val="ListParagraph"/>
              <w:numPr>
                <w:ilvl w:val="0"/>
                <w:numId w:val="34"/>
              </w:numPr>
              <w:autoSpaceDE w:val="0"/>
              <w:autoSpaceDN w:val="0"/>
              <w:adjustRightInd w:val="0"/>
              <w:rPr>
                <w:rFonts w:eastAsiaTheme="minorEastAsia"/>
                <w:sz w:val="21"/>
                <w:szCs w:val="21"/>
                <w14:ligatures w14:val="standardContextual"/>
              </w:rPr>
            </w:pPr>
            <w:r w:rsidRPr="00CB58FC">
              <w:rPr>
                <w:rFonts w:eastAsiaTheme="minorEastAsia"/>
                <w:sz w:val="21"/>
                <w:szCs w:val="21"/>
                <w14:ligatures w14:val="standardContextual"/>
              </w:rPr>
              <w:t xml:space="preserve">Provision for court enforcement. </w:t>
            </w:r>
          </w:p>
        </w:tc>
      </w:tr>
      <w:tr w:rsidR="0093188F" w:rsidRPr="00CB58FC" w14:paraId="386D56FC" w14:textId="5CD707B9" w:rsidTr="0015390C">
        <w:tc>
          <w:tcPr>
            <w:tcW w:w="1971" w:type="dxa"/>
          </w:tcPr>
          <w:p w14:paraId="2C31C8A5" w14:textId="22B42043" w:rsidR="0093188F" w:rsidRPr="00CB58FC" w:rsidRDefault="0093188F" w:rsidP="009505EE">
            <w:pPr>
              <w:rPr>
                <w:sz w:val="20"/>
                <w:szCs w:val="20"/>
              </w:rPr>
            </w:pPr>
            <w:r w:rsidRPr="00CB58FC">
              <w:rPr>
                <w:sz w:val="20"/>
                <w:szCs w:val="20"/>
              </w:rPr>
              <w:t>Australia</w:t>
            </w:r>
            <w:r w:rsidR="003D0050" w:rsidRPr="00CB58FC">
              <w:rPr>
                <w:rStyle w:val="FootnoteReference"/>
                <w:sz w:val="20"/>
                <w:szCs w:val="20"/>
              </w:rPr>
              <w:footnoteReference w:id="96"/>
            </w:r>
          </w:p>
        </w:tc>
        <w:tc>
          <w:tcPr>
            <w:tcW w:w="4261" w:type="dxa"/>
          </w:tcPr>
          <w:p w14:paraId="0CEB27DA" w14:textId="6BC66432" w:rsidR="0093188F" w:rsidRPr="00CB58FC" w:rsidRDefault="0093188F">
            <w:pPr>
              <w:autoSpaceDE w:val="0"/>
              <w:autoSpaceDN w:val="0"/>
              <w:adjustRightInd w:val="0"/>
              <w:jc w:val="both"/>
              <w:rPr>
                <w:rFonts w:eastAsiaTheme="minorHAnsi"/>
                <w:b/>
                <w:bCs/>
                <w:sz w:val="20"/>
                <w:szCs w:val="20"/>
                <w14:ligatures w14:val="standardContextual"/>
              </w:rPr>
            </w:pPr>
            <w:r w:rsidRPr="00CB58FC">
              <w:rPr>
                <w:rFonts w:eastAsiaTheme="minorHAnsi"/>
                <w:b/>
                <w:bCs/>
                <w:sz w:val="20"/>
                <w14:ligatures w14:val="standardContextual"/>
              </w:rPr>
              <w:t>23</w:t>
            </w:r>
            <w:r w:rsidRPr="00CB58FC">
              <w:rPr>
                <w:rFonts w:eastAsiaTheme="minorHAnsi"/>
                <w:sz w:val="20"/>
                <w:szCs w:val="20"/>
                <w14:ligatures w14:val="standardContextual"/>
              </w:rPr>
              <w:t xml:space="preserve"> </w:t>
            </w:r>
            <w:r w:rsidRPr="00CB58FC">
              <w:rPr>
                <w:rFonts w:eastAsiaTheme="minorHAnsi"/>
                <w:b/>
                <w:bCs/>
                <w:sz w:val="20"/>
                <w14:ligatures w14:val="standardContextual"/>
              </w:rPr>
              <w:t>…</w:t>
            </w:r>
            <w:r w:rsidR="007C7624" w:rsidRPr="00CB58FC">
              <w:rPr>
                <w:rFonts w:eastAsiaTheme="minorHAnsi"/>
                <w:b/>
                <w:bCs/>
                <w:sz w:val="20"/>
                <w14:ligatures w14:val="standardContextual"/>
              </w:rPr>
              <w:t>[text of full provision is extracted in Table 19 above]</w:t>
            </w:r>
          </w:p>
          <w:p w14:paraId="0734130C" w14:textId="2C4ADE20" w:rsidR="007C7624" w:rsidRPr="00CB58FC" w:rsidRDefault="007C7624"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34649BBB" w14:textId="579C8538"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collecting society must use its best endeavors to collect the resale royalty payable under this Act, and, if necessary, enforce any resale royalty right held under this Act, on the commercial resale of the artwork on behalf of the holder or holders of the resale royalty right.</w:t>
            </w:r>
          </w:p>
          <w:p w14:paraId="12B71DFE" w14:textId="43469C73" w:rsidR="0093188F" w:rsidRPr="00CB58FC" w:rsidRDefault="007C7624"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w:t>
            </w:r>
          </w:p>
          <w:p w14:paraId="16065093" w14:textId="77777777" w:rsidR="0093188F" w:rsidRPr="00CB58FC" w:rsidRDefault="0093188F" w:rsidP="009505EE">
            <w:pPr>
              <w:autoSpaceDE w:val="0"/>
              <w:autoSpaceDN w:val="0"/>
              <w:adjustRightInd w:val="0"/>
              <w:rPr>
                <w:rFonts w:eastAsiaTheme="minorHAnsi"/>
                <w:sz w:val="20"/>
                <w:szCs w:val="20"/>
                <w14:ligatures w14:val="standardContextual"/>
              </w:rPr>
            </w:pPr>
          </w:p>
          <w:p w14:paraId="0B4DCCD4" w14:textId="77777777" w:rsidR="0093188F" w:rsidRPr="00CB58FC" w:rsidRDefault="0093188F" w:rsidP="0015390C">
            <w:pPr>
              <w:jc w:val="both"/>
              <w:rPr>
                <w:b/>
                <w:bCs/>
                <w:sz w:val="20"/>
                <w:szCs w:val="20"/>
              </w:rPr>
            </w:pPr>
            <w:r w:rsidRPr="00CB58FC">
              <w:rPr>
                <w:b/>
                <w:bCs/>
                <w:sz w:val="20"/>
                <w:szCs w:val="20"/>
              </w:rPr>
              <w:t>Special presumptions apply in these proceedings:</w:t>
            </w:r>
          </w:p>
          <w:p w14:paraId="42B7A80C"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sz w:val="20"/>
                <w:szCs w:val="20"/>
              </w:rPr>
              <w:t xml:space="preserve">24. </w:t>
            </w:r>
            <w:r w:rsidRPr="00CB58FC">
              <w:rPr>
                <w:rFonts w:eastAsiaTheme="minorHAnsi"/>
                <w:sz w:val="20"/>
                <w:szCs w:val="20"/>
                <w14:ligatures w14:val="standardContextual"/>
              </w:rPr>
              <w:t>In proceedings for the enforcement of the resale royalty right on the commercial resale of an artwork by the collecting society:</w:t>
            </w:r>
          </w:p>
          <w:p w14:paraId="1AB6B5B2"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it is to be presumed conclusively that there is at least one holder of the resale royalty right under this Act; and</w:t>
            </w:r>
          </w:p>
          <w:p w14:paraId="6E651F44"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it is to be presumed that the collecting society is acting on behalf of the holder or holders of the resale royalty right, unless it is proved that a notice was given to the collecting society in accordance with subsection 23(1) in relation to the commercial resale [where right holder has indicated in advance that the CMO is not to enforce the right.].</w:t>
            </w:r>
            <w:r w:rsidRPr="00CB58FC">
              <w:rPr>
                <w:sz w:val="20"/>
                <w:szCs w:val="20"/>
              </w:rPr>
              <w:t xml:space="preserve"> </w:t>
            </w:r>
          </w:p>
        </w:tc>
        <w:tc>
          <w:tcPr>
            <w:tcW w:w="3113" w:type="dxa"/>
          </w:tcPr>
          <w:p w14:paraId="2F67A8C2" w14:textId="77777777" w:rsidR="0093188F" w:rsidRPr="00CB58FC" w:rsidRDefault="0014338B" w:rsidP="0014338B">
            <w:pPr>
              <w:pStyle w:val="ListParagraph"/>
              <w:numPr>
                <w:ilvl w:val="0"/>
                <w:numId w:val="35"/>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t>CMO empowered to enforce collection of ARR.</w:t>
            </w:r>
          </w:p>
          <w:p w14:paraId="405030EE" w14:textId="5C8028E3" w:rsidR="0014338B" w:rsidRPr="00CB58FC" w:rsidRDefault="0014338B" w:rsidP="0015390C">
            <w:pPr>
              <w:pStyle w:val="ListParagraph"/>
              <w:numPr>
                <w:ilvl w:val="0"/>
                <w:numId w:val="35"/>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Evidentiary presumptions that apply in enforcement proceedings.</w:t>
            </w:r>
          </w:p>
        </w:tc>
      </w:tr>
      <w:tr w:rsidR="0093188F" w:rsidRPr="00CB58FC" w14:paraId="7E48EEF3" w14:textId="5F71E371" w:rsidTr="0015390C">
        <w:tc>
          <w:tcPr>
            <w:tcW w:w="1971" w:type="dxa"/>
          </w:tcPr>
          <w:p w14:paraId="55AECEF2" w14:textId="5F8363DD" w:rsidR="0093188F" w:rsidRPr="00CB58FC" w:rsidRDefault="0093188F" w:rsidP="009505EE">
            <w:r w:rsidRPr="00CB58FC">
              <w:rPr>
                <w:sz w:val="20"/>
                <w:szCs w:val="20"/>
              </w:rPr>
              <w:t>NZ</w:t>
            </w:r>
            <w:r w:rsidR="003D0050" w:rsidRPr="00CB58FC">
              <w:rPr>
                <w:rStyle w:val="FootnoteReference"/>
                <w:sz w:val="20"/>
                <w:szCs w:val="20"/>
              </w:rPr>
              <w:footnoteReference w:id="97"/>
            </w:r>
            <w:r w:rsidRPr="00CB58FC">
              <w:t xml:space="preserve"> </w:t>
            </w:r>
          </w:p>
        </w:tc>
        <w:tc>
          <w:tcPr>
            <w:tcW w:w="4261" w:type="dxa"/>
          </w:tcPr>
          <w:p w14:paraId="2E460C1B"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26 Enforcement</w:t>
            </w:r>
          </w:p>
          <w:p w14:paraId="504B3AC1"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The collection agency may apply to a court of competent jurisdiction for orders under section 27 if—</w:t>
            </w:r>
          </w:p>
          <w:p w14:paraId="7119DADF"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information is not provided in accordance with section 21:</w:t>
            </w:r>
          </w:p>
          <w:p w14:paraId="07EE984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a person liable under section 17 to make resale royalty payments fails to do so:</w:t>
            </w:r>
          </w:p>
          <w:p w14:paraId="67546143" w14:textId="5EF43519" w:rsidR="0093188F" w:rsidRPr="00CB58FC" w:rsidRDefault="00731CF8"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(c) a</w:t>
            </w:r>
            <w:r w:rsidR="0093188F" w:rsidRPr="00CB58FC">
              <w:rPr>
                <w:rFonts w:eastAsiaTheme="minorHAnsi"/>
                <w:sz w:val="20"/>
                <w:szCs w:val="20"/>
                <w14:ligatures w14:val="standardContextual"/>
              </w:rPr>
              <w:t>ny other requirement under this Act is not complied with in accordance with this Act.</w:t>
            </w:r>
          </w:p>
          <w:p w14:paraId="2B242B2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This section does not limit any proceedings that may otherwise be taken by the collection agency, a right holder, or any other person.</w:t>
            </w:r>
          </w:p>
          <w:p w14:paraId="2598022F"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p>
          <w:p w14:paraId="53989373" w14:textId="77777777" w:rsidR="0093188F" w:rsidRPr="00CB58FC" w:rsidRDefault="0093188F" w:rsidP="0015390C">
            <w:pPr>
              <w:autoSpaceDE w:val="0"/>
              <w:autoSpaceDN w:val="0"/>
              <w:adjustRightInd w:val="0"/>
              <w:jc w:val="both"/>
              <w:rPr>
                <w:rFonts w:eastAsiaTheme="minorHAnsi"/>
                <w:b/>
                <w:bCs/>
                <w:sz w:val="20"/>
                <w:szCs w:val="20"/>
                <w14:ligatures w14:val="standardContextual"/>
              </w:rPr>
            </w:pPr>
            <w:r w:rsidRPr="00CB58FC">
              <w:rPr>
                <w:rFonts w:eastAsiaTheme="minorHAnsi"/>
                <w:b/>
                <w:bCs/>
                <w:sz w:val="20"/>
                <w:szCs w:val="20"/>
                <w14:ligatures w14:val="standardContextual"/>
              </w:rPr>
              <w:t>27 Remedies</w:t>
            </w:r>
          </w:p>
          <w:p w14:paraId="1F5D7C78"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In proceedings brought under section 26, the court may grant relief by making orders that—</w:t>
            </w:r>
          </w:p>
          <w:p w14:paraId="607CCB54"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the necessary information be provided, as required by section 21:</w:t>
            </w:r>
          </w:p>
          <w:p w14:paraId="2E91372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payment be made of any resale royalties owing under section 17:</w:t>
            </w:r>
          </w:p>
          <w:p w14:paraId="13FD7A49" w14:textId="77777777" w:rsidR="0093188F" w:rsidRPr="00CB58FC" w:rsidRDefault="0093188F" w:rsidP="0015390C">
            <w:pPr>
              <w:jc w:val="both"/>
              <w:rPr>
                <w:sz w:val="20"/>
                <w:szCs w:val="20"/>
              </w:rPr>
            </w:pPr>
            <w:r w:rsidRPr="00CB58FC">
              <w:rPr>
                <w:rFonts w:eastAsiaTheme="minorHAnsi"/>
                <w:sz w:val="20"/>
                <w:szCs w:val="20"/>
                <w14:ligatures w14:val="standardContextual"/>
              </w:rPr>
              <w:t>(c) are appropriate for an infringement of a property right.</w:t>
            </w:r>
          </w:p>
        </w:tc>
        <w:tc>
          <w:tcPr>
            <w:tcW w:w="3113" w:type="dxa"/>
          </w:tcPr>
          <w:p w14:paraId="7A5BAEF6" w14:textId="77777777" w:rsidR="0093188F" w:rsidRPr="00CB58FC" w:rsidRDefault="00CF1120" w:rsidP="00CF1120">
            <w:pPr>
              <w:pStyle w:val="ListParagraph"/>
              <w:numPr>
                <w:ilvl w:val="0"/>
                <w:numId w:val="36"/>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lastRenderedPageBreak/>
              <w:t>Provide for enforcement by CMO in court.</w:t>
            </w:r>
          </w:p>
          <w:p w14:paraId="2F2F3CBF" w14:textId="490742AA" w:rsidR="00CF1120" w:rsidRPr="00CB58FC" w:rsidRDefault="00CF1120" w:rsidP="0015390C">
            <w:pPr>
              <w:pStyle w:val="ListParagraph"/>
              <w:numPr>
                <w:ilvl w:val="0"/>
                <w:numId w:val="36"/>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Stipulates remedies that may be given by court.</w:t>
            </w:r>
          </w:p>
        </w:tc>
      </w:tr>
      <w:tr w:rsidR="0093188F" w:rsidRPr="00CB58FC" w14:paraId="00948D8E" w14:textId="423A24EF" w:rsidTr="0015390C">
        <w:tc>
          <w:tcPr>
            <w:tcW w:w="1971" w:type="dxa"/>
          </w:tcPr>
          <w:p w14:paraId="4F03D577" w14:textId="779EFE7B" w:rsidR="0093188F" w:rsidRPr="00CB58FC" w:rsidRDefault="0093188F" w:rsidP="009505EE">
            <w:pPr>
              <w:rPr>
                <w:sz w:val="20"/>
                <w:szCs w:val="20"/>
              </w:rPr>
            </w:pPr>
            <w:r w:rsidRPr="00CB58FC">
              <w:rPr>
                <w:sz w:val="20"/>
                <w:szCs w:val="20"/>
              </w:rPr>
              <w:t>Algeria</w:t>
            </w:r>
            <w:r w:rsidR="003D0050" w:rsidRPr="00CB58FC">
              <w:rPr>
                <w:rStyle w:val="FootnoteReference"/>
                <w:sz w:val="20"/>
                <w:szCs w:val="20"/>
              </w:rPr>
              <w:footnoteReference w:id="98"/>
            </w:r>
            <w:r w:rsidRPr="00CB58FC">
              <w:rPr>
                <w:sz w:val="20"/>
                <w:szCs w:val="20"/>
              </w:rPr>
              <w:t xml:space="preserve"> </w:t>
            </w:r>
          </w:p>
        </w:tc>
        <w:tc>
          <w:tcPr>
            <w:tcW w:w="4261" w:type="dxa"/>
          </w:tcPr>
          <w:p w14:paraId="4CF0CE85" w14:textId="77777777" w:rsidR="0093188F" w:rsidRPr="00CB58FC" w:rsidRDefault="0093188F" w:rsidP="0015390C">
            <w:pPr>
              <w:jc w:val="both"/>
              <w:rPr>
                <w:sz w:val="20"/>
                <w:szCs w:val="20"/>
              </w:rPr>
            </w:pPr>
            <w:r w:rsidRPr="00CB58FC">
              <w:rPr>
                <w:sz w:val="20"/>
                <w:szCs w:val="20"/>
              </w:rPr>
              <w:t>Article 6: the auctioneer is required to notify ONDA of all the information necessary to exercise the resale right at least 5 days before the sale takes place</w:t>
            </w:r>
          </w:p>
          <w:p w14:paraId="4D2FA832" w14:textId="12801B1B" w:rsidR="0093188F" w:rsidRPr="00CB58FC" w:rsidRDefault="0093188F" w:rsidP="0015390C">
            <w:pPr>
              <w:jc w:val="both"/>
              <w:rPr>
                <w:sz w:val="20"/>
                <w:szCs w:val="20"/>
              </w:rPr>
            </w:pPr>
            <w:r w:rsidRPr="00CB58FC">
              <w:rPr>
                <w:sz w:val="20"/>
                <w:szCs w:val="20"/>
              </w:rPr>
              <w:t>Article 7: ONDA as well as the author of the work or his/her heirs</w:t>
            </w:r>
            <w:r w:rsidR="00282D4F" w:rsidRPr="00CB58FC">
              <w:rPr>
                <w:sz w:val="20"/>
                <w:szCs w:val="20"/>
              </w:rPr>
              <w:t>,</w:t>
            </w:r>
            <w:r w:rsidRPr="00CB58FC">
              <w:rPr>
                <w:sz w:val="20"/>
                <w:szCs w:val="20"/>
              </w:rPr>
              <w:t xml:space="preserve"> can attend the sale. They can also consult any document and request any information necessary to control the declarations</w:t>
            </w:r>
          </w:p>
          <w:p w14:paraId="385464E0" w14:textId="77777777" w:rsidR="0093188F" w:rsidRPr="00CB58FC" w:rsidRDefault="0093188F" w:rsidP="0015390C">
            <w:pPr>
              <w:jc w:val="both"/>
              <w:rPr>
                <w:sz w:val="20"/>
                <w:szCs w:val="20"/>
              </w:rPr>
            </w:pPr>
            <w:r w:rsidRPr="00CB58FC">
              <w:rPr>
                <w:sz w:val="20"/>
                <w:szCs w:val="20"/>
              </w:rPr>
              <w:t>Article 11: the auctioneer as well as the art market professional, keep a register signed and initialled by the clerk of the territorially competent court in which they mention any sale of works of the plastic arts with description and identification of the author.</w:t>
            </w:r>
          </w:p>
          <w:p w14:paraId="18AEAFA2" w14:textId="77777777" w:rsidR="0093188F" w:rsidRPr="00CB58FC" w:rsidRDefault="0093188F" w:rsidP="0015390C">
            <w:pPr>
              <w:jc w:val="both"/>
            </w:pPr>
            <w:r w:rsidRPr="00CB58FC">
              <w:rPr>
                <w:sz w:val="20"/>
                <w:szCs w:val="20"/>
              </w:rPr>
              <w:t>The register can be checked at any time by the author or ONDA</w:t>
            </w:r>
          </w:p>
        </w:tc>
        <w:tc>
          <w:tcPr>
            <w:tcW w:w="3113" w:type="dxa"/>
          </w:tcPr>
          <w:p w14:paraId="06DB228B" w14:textId="77777777" w:rsidR="0093188F" w:rsidRPr="00CB58FC" w:rsidRDefault="00CF1120" w:rsidP="00CF1120">
            <w:pPr>
              <w:pStyle w:val="ListParagraph"/>
              <w:numPr>
                <w:ilvl w:val="0"/>
                <w:numId w:val="38"/>
              </w:numPr>
              <w:rPr>
                <w:sz w:val="20"/>
                <w:szCs w:val="20"/>
              </w:rPr>
            </w:pPr>
            <w:r w:rsidRPr="00CB58FC">
              <w:rPr>
                <w:szCs w:val="24"/>
              </w:rPr>
              <w:t xml:space="preserve">This </w:t>
            </w:r>
            <w:r w:rsidRPr="00CB58FC">
              <w:rPr>
                <w:sz w:val="20"/>
              </w:rPr>
              <w:t xml:space="preserve">sets out </w:t>
            </w:r>
            <w:r w:rsidRPr="00CB58FC">
              <w:rPr>
                <w:szCs w:val="24"/>
              </w:rPr>
              <w:t>the t</w:t>
            </w:r>
            <w:r w:rsidRPr="00CB58FC">
              <w:rPr>
                <w:sz w:val="20"/>
              </w:rPr>
              <w:t xml:space="preserve">erms and conditions for exercising the resale right of the author of a work of the visual art, </w:t>
            </w:r>
            <w:r w:rsidRPr="00CB58FC">
              <w:rPr>
                <w:szCs w:val="24"/>
              </w:rPr>
              <w:t>i</w:t>
            </w:r>
            <w:r w:rsidRPr="00CB58FC">
              <w:rPr>
                <w:sz w:val="20"/>
                <w:szCs w:val="20"/>
              </w:rPr>
              <w:t>n particular the obligations of auctioneers and AMPs</w:t>
            </w:r>
          </w:p>
          <w:p w14:paraId="4BA7AB7B" w14:textId="6616E4D1" w:rsidR="00CF1120" w:rsidRPr="00CB58FC" w:rsidRDefault="00CF1120" w:rsidP="0015390C">
            <w:pPr>
              <w:pStyle w:val="ListParagraph"/>
              <w:numPr>
                <w:ilvl w:val="0"/>
                <w:numId w:val="38"/>
              </w:numPr>
              <w:rPr>
                <w:sz w:val="20"/>
              </w:rPr>
            </w:pPr>
            <w:r w:rsidRPr="00CB58FC">
              <w:rPr>
                <w:sz w:val="20"/>
                <w:szCs w:val="20"/>
              </w:rPr>
              <w:t xml:space="preserve">Includes powers of inspection for </w:t>
            </w:r>
            <w:r w:rsidR="003B05BB" w:rsidRPr="00CB58FC">
              <w:rPr>
                <w:sz w:val="20"/>
                <w:szCs w:val="20"/>
              </w:rPr>
              <w:t>CMO and</w:t>
            </w:r>
            <w:r w:rsidRPr="00CB58FC">
              <w:rPr>
                <w:sz w:val="20"/>
                <w:szCs w:val="20"/>
              </w:rPr>
              <w:t>/or author of work resold.</w:t>
            </w:r>
            <w:r w:rsidRPr="00CB58FC">
              <w:rPr>
                <w:szCs w:val="24"/>
              </w:rPr>
              <w:t xml:space="preserve"> </w:t>
            </w:r>
          </w:p>
        </w:tc>
      </w:tr>
      <w:tr w:rsidR="0093188F" w:rsidRPr="00CB58FC" w14:paraId="737F61FD" w14:textId="7A6A7289" w:rsidTr="0015390C">
        <w:tc>
          <w:tcPr>
            <w:tcW w:w="1971" w:type="dxa"/>
          </w:tcPr>
          <w:p w14:paraId="5E0740CC" w14:textId="74C75357" w:rsidR="0093188F" w:rsidRPr="00CB58FC" w:rsidRDefault="0093188F" w:rsidP="009505EE">
            <w:pPr>
              <w:rPr>
                <w:sz w:val="20"/>
                <w:szCs w:val="20"/>
              </w:rPr>
            </w:pPr>
            <w:r w:rsidRPr="00CB58FC">
              <w:rPr>
                <w:sz w:val="20"/>
                <w:szCs w:val="20"/>
              </w:rPr>
              <w:t>France</w:t>
            </w:r>
            <w:r w:rsidR="003D0050" w:rsidRPr="00CB58FC">
              <w:rPr>
                <w:rStyle w:val="FootnoteReference"/>
                <w:sz w:val="20"/>
                <w:szCs w:val="20"/>
              </w:rPr>
              <w:footnoteReference w:id="99"/>
            </w:r>
            <w:r w:rsidRPr="00CB58FC">
              <w:rPr>
                <w:sz w:val="20"/>
                <w:szCs w:val="20"/>
              </w:rPr>
              <w:t xml:space="preserve"> </w:t>
            </w:r>
          </w:p>
          <w:p w14:paraId="574DC580" w14:textId="77777777" w:rsidR="0093188F" w:rsidRPr="00CB58FC" w:rsidRDefault="0093188F" w:rsidP="009505EE">
            <w:pPr>
              <w:rPr>
                <w:sz w:val="20"/>
                <w:szCs w:val="20"/>
              </w:rPr>
            </w:pPr>
          </w:p>
          <w:p w14:paraId="5D9E9A50" w14:textId="77777777" w:rsidR="0093188F" w:rsidRPr="00CB58FC" w:rsidRDefault="0093188F" w:rsidP="009505EE">
            <w:pPr>
              <w:rPr>
                <w:sz w:val="20"/>
                <w:szCs w:val="20"/>
              </w:rPr>
            </w:pPr>
          </w:p>
          <w:p w14:paraId="2892CE99" w14:textId="1DD5359B" w:rsidR="0093188F" w:rsidRPr="00CB58FC" w:rsidRDefault="0093188F" w:rsidP="009505EE">
            <w:pPr>
              <w:rPr>
                <w:sz w:val="20"/>
                <w:szCs w:val="20"/>
              </w:rPr>
            </w:pPr>
          </w:p>
        </w:tc>
        <w:tc>
          <w:tcPr>
            <w:tcW w:w="4261" w:type="dxa"/>
          </w:tcPr>
          <w:p w14:paraId="230C8DC3" w14:textId="3B28CD3B" w:rsidR="0093188F" w:rsidRPr="00CB58FC" w:rsidRDefault="007D6020" w:rsidP="0015390C">
            <w:pPr>
              <w:jc w:val="both"/>
              <w:rPr>
                <w:rFonts w:eastAsia="Times New Roman"/>
                <w:sz w:val="20"/>
                <w:szCs w:val="20"/>
                <w:lang w:eastAsia="en-GB"/>
              </w:rPr>
            </w:pPr>
            <w:r w:rsidRPr="00CB58FC">
              <w:rPr>
                <w:rFonts w:eastAsia="Times New Roman"/>
                <w:sz w:val="20"/>
                <w:szCs w:val="20"/>
                <w:lang w:eastAsia="en-GB"/>
              </w:rPr>
              <w:t xml:space="preserve">Art L321-2: </w:t>
            </w:r>
            <w:r w:rsidR="0093188F" w:rsidRPr="00CB58FC">
              <w:rPr>
                <w:rFonts w:eastAsia="Times New Roman"/>
                <w:sz w:val="20"/>
                <w:szCs w:val="20"/>
                <w:lang w:eastAsia="en-GB"/>
              </w:rPr>
              <w:t>Regularly constituted collective management organizations are entitled to take legal action to defend the rights for which they are statutorily responsible, and to defend the material and moral interests of their members, notably within the framework of professional agreements concerning them.</w:t>
            </w:r>
          </w:p>
          <w:p w14:paraId="33A744F0" w14:textId="77777777" w:rsidR="0093188F" w:rsidRPr="00CB58FC" w:rsidRDefault="0093188F" w:rsidP="009505EE">
            <w:pPr>
              <w:rPr>
                <w:rFonts w:eastAsia="Times New Roman"/>
                <w:i/>
                <w:iCs/>
                <w:lang w:eastAsia="en-GB"/>
              </w:rPr>
            </w:pPr>
          </w:p>
          <w:p w14:paraId="45DC418E" w14:textId="6C58572E" w:rsidR="003D0050" w:rsidRPr="00CB58FC" w:rsidRDefault="003D0050" w:rsidP="009505EE">
            <w:pPr>
              <w:rPr>
                <w:sz w:val="20"/>
                <w:szCs w:val="20"/>
              </w:rPr>
            </w:pPr>
            <w:r w:rsidRPr="00CB58FC">
              <w:rPr>
                <w:sz w:val="20"/>
                <w:szCs w:val="20"/>
              </w:rPr>
              <w:t>ADAGP statute, art 9, is also relevant here:</w:t>
            </w:r>
          </w:p>
          <w:p w14:paraId="174F0AC9" w14:textId="77777777" w:rsidR="003D0050" w:rsidRPr="00CB58FC" w:rsidRDefault="003D0050" w:rsidP="009505EE">
            <w:pPr>
              <w:rPr>
                <w:rFonts w:eastAsia="Times New Roman"/>
                <w:sz w:val="20"/>
                <w:szCs w:val="20"/>
                <w:lang w:eastAsia="en-GB"/>
              </w:rPr>
            </w:pPr>
          </w:p>
          <w:p w14:paraId="330C6F86" w14:textId="0CE4F01D"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The Company's purpose is: </w:t>
            </w:r>
          </w:p>
          <w:p w14:paraId="7F1F3454"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(1) the exercise and administration in all countries of all rights relating to the use of works, which include inter alia the economic rights granted to authors by the French Intellectual Property Code, as well as the collection and distribution of royalties or any other compensation arising from the exercise of said rights and more generally of all sums of any kind owed by third parties as a result of the lawful or unlawful exploitation of said works ; […] </w:t>
            </w:r>
          </w:p>
          <w:p w14:paraId="6B2773BF"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4) to defend the rights of its associates against all third parties ;</w:t>
            </w:r>
          </w:p>
          <w:p w14:paraId="639062B1"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w:t>
            </w:r>
          </w:p>
          <w:p w14:paraId="35270754"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t>It has the right to :</w:t>
            </w:r>
          </w:p>
          <w:p w14:paraId="3550F1FD" w14:textId="77777777" w:rsidR="0093188F" w:rsidRPr="00CB58FC" w:rsidRDefault="0093188F" w:rsidP="0015390C">
            <w:pPr>
              <w:ind w:left="567"/>
              <w:jc w:val="both"/>
              <w:rPr>
                <w:rFonts w:eastAsia="Times New Roman"/>
                <w:sz w:val="20"/>
                <w:szCs w:val="20"/>
                <w:lang w:eastAsia="en-GB"/>
              </w:rPr>
            </w:pPr>
            <w:r w:rsidRPr="00CB58FC">
              <w:rPr>
                <w:rFonts w:eastAsia="Times New Roman"/>
                <w:sz w:val="20"/>
                <w:szCs w:val="20"/>
                <w:lang w:eastAsia="en-GB"/>
              </w:rPr>
              <w:lastRenderedPageBreak/>
              <w:t>- take legal action to defend the individual rights of its members and the interests and rights of all its associates;</w:t>
            </w:r>
          </w:p>
          <w:p w14:paraId="7D6053E5" w14:textId="77777777" w:rsidR="0093188F" w:rsidRPr="00CB58FC" w:rsidRDefault="0093188F" w:rsidP="0015390C">
            <w:pPr>
              <w:ind w:left="567"/>
              <w:jc w:val="both"/>
              <w:rPr>
                <w:sz w:val="20"/>
                <w:szCs w:val="20"/>
              </w:rPr>
            </w:pPr>
            <w:r w:rsidRPr="00CB58FC">
              <w:rPr>
                <w:rFonts w:eastAsia="Times New Roman"/>
                <w:sz w:val="20"/>
                <w:szCs w:val="20"/>
                <w:lang w:eastAsia="en-GB"/>
              </w:rPr>
              <w:t>- initiate all proceedings in the public interest, in particular to protect and defend authors and their beneficiaries; […] ] </w:t>
            </w:r>
          </w:p>
        </w:tc>
        <w:tc>
          <w:tcPr>
            <w:tcW w:w="3113" w:type="dxa"/>
          </w:tcPr>
          <w:p w14:paraId="60B8DE57" w14:textId="162D18A7" w:rsidR="0093188F" w:rsidRPr="00CB58FC" w:rsidRDefault="007D6020" w:rsidP="0015390C">
            <w:pPr>
              <w:pStyle w:val="ListParagraph"/>
              <w:numPr>
                <w:ilvl w:val="0"/>
                <w:numId w:val="39"/>
              </w:numPr>
              <w:rPr>
                <w:rFonts w:eastAsia="Times New Roman"/>
                <w:sz w:val="20"/>
                <w:lang w:eastAsia="en-GB"/>
              </w:rPr>
            </w:pPr>
            <w:r w:rsidRPr="00CB58FC">
              <w:rPr>
                <w:rFonts w:eastAsia="Times New Roman"/>
                <w:sz w:val="20"/>
                <w:szCs w:val="24"/>
                <w:lang w:eastAsia="en-GB"/>
              </w:rPr>
              <w:lastRenderedPageBreak/>
              <w:t xml:space="preserve">This lists both the legislative power to enforce ARR that is provided to French CMOs, as well as the relevant power to do so that are given under the constituting statue of ADAGP. </w:t>
            </w:r>
          </w:p>
        </w:tc>
      </w:tr>
      <w:tr w:rsidR="0093188F" w:rsidRPr="00CB58FC" w14:paraId="5641937F" w14:textId="2F369117" w:rsidTr="0015390C">
        <w:tc>
          <w:tcPr>
            <w:tcW w:w="1971" w:type="dxa"/>
          </w:tcPr>
          <w:p w14:paraId="78DF1307" w14:textId="29705E83" w:rsidR="0093188F" w:rsidRPr="00CB58FC" w:rsidRDefault="0093188F" w:rsidP="009505EE">
            <w:pPr>
              <w:rPr>
                <w:sz w:val="20"/>
                <w:szCs w:val="20"/>
              </w:rPr>
            </w:pPr>
            <w:r w:rsidRPr="00CB58FC">
              <w:rPr>
                <w:sz w:val="20"/>
                <w:szCs w:val="20"/>
              </w:rPr>
              <w:t>Italy</w:t>
            </w:r>
            <w:r w:rsidR="00E045CA" w:rsidRPr="00CB58FC">
              <w:rPr>
                <w:rStyle w:val="FootnoteReference"/>
                <w:sz w:val="20"/>
                <w:szCs w:val="20"/>
              </w:rPr>
              <w:footnoteReference w:id="100"/>
            </w:r>
          </w:p>
        </w:tc>
        <w:tc>
          <w:tcPr>
            <w:tcW w:w="4261" w:type="dxa"/>
          </w:tcPr>
          <w:p w14:paraId="4AD9B0E4" w14:textId="34DC3A0A" w:rsidR="0093188F" w:rsidRPr="00CB58FC" w:rsidRDefault="0093188F" w:rsidP="0015390C">
            <w:pPr>
              <w:jc w:val="both"/>
              <w:rPr>
                <w:rStyle w:val="y2iqfc"/>
                <w:sz w:val="20"/>
                <w:szCs w:val="20"/>
                <w:lang w:val="en"/>
              </w:rPr>
            </w:pPr>
            <w:r w:rsidRPr="00CB58FC">
              <w:rPr>
                <w:sz w:val="20"/>
                <w:szCs w:val="20"/>
              </w:rPr>
              <w:t>Art 182bis</w:t>
            </w:r>
            <w:r w:rsidR="007D6020" w:rsidRPr="00CB58FC">
              <w:rPr>
                <w:sz w:val="20"/>
                <w:szCs w:val="20"/>
              </w:rPr>
              <w:t>:</w:t>
            </w:r>
            <w:r w:rsidRPr="00CB58FC">
              <w:rPr>
                <w:rStyle w:val="y2iqfc"/>
                <w:sz w:val="20"/>
                <w:lang w:val="en"/>
              </w:rPr>
              <w:t xml:space="preserve">The Authority for Communications Guarantees and the Italian Society of Authors and Publishers (SIAE) are assigned, within the scope of their respective </w:t>
            </w:r>
            <w:r w:rsidR="00282D4F" w:rsidRPr="00CB58FC">
              <w:rPr>
                <w:rStyle w:val="y2iqfc"/>
                <w:sz w:val="20"/>
                <w:lang w:val="en"/>
              </w:rPr>
              <w:t>competencies</w:t>
            </w:r>
            <w:r w:rsidRPr="00CB58FC">
              <w:rPr>
                <w:rStyle w:val="y2iqfc"/>
                <w:sz w:val="20"/>
                <w:lang w:val="en"/>
              </w:rPr>
              <w:t xml:space="preserve"> established by law, for the purpose of preventing and ascertaining violations of this law, supervision:</w:t>
            </w:r>
          </w:p>
          <w:p w14:paraId="1C63FA97" w14:textId="77777777" w:rsidR="0093188F" w:rsidRPr="00CB58FC" w:rsidRDefault="0093188F" w:rsidP="0015390C">
            <w:pPr>
              <w:pStyle w:val="HTMLPreformatted"/>
              <w:shd w:val="clear" w:color="auto" w:fill="F8F9FA"/>
              <w:ind w:left="360"/>
              <w:rPr>
                <w:rStyle w:val="y2iqfc"/>
                <w:rFonts w:ascii="Arial" w:eastAsia="SimSun" w:hAnsi="Arial" w:cs="Arial"/>
                <w:sz w:val="22"/>
                <w:szCs w:val="20"/>
                <w:lang w:val="en" w:eastAsia="zh-CN"/>
              </w:rPr>
            </w:pPr>
            <w:r w:rsidRPr="00CB58FC">
              <w:rPr>
                <w:rStyle w:val="y2iqfc"/>
                <w:rFonts w:ascii="Arial" w:hAnsi="Arial" w:cs="Arial"/>
                <w:szCs w:val="20"/>
                <w:lang w:val="en"/>
              </w:rPr>
              <w:t>…</w:t>
            </w:r>
          </w:p>
          <w:p w14:paraId="42912B94" w14:textId="77777777" w:rsidR="0093188F" w:rsidRPr="00CB58FC" w:rsidRDefault="0093188F" w:rsidP="0015390C">
            <w:pPr>
              <w:ind w:left="207"/>
              <w:jc w:val="both"/>
              <w:rPr>
                <w:rFonts w:eastAsia="Times New Roman"/>
                <w:sz w:val="20"/>
                <w:szCs w:val="20"/>
                <w:lang w:eastAsia="en-GB"/>
              </w:rPr>
            </w:pPr>
            <w:r w:rsidRPr="00CB58FC">
              <w:rPr>
                <w:rStyle w:val="y2iqfc"/>
                <w:sz w:val="20"/>
                <w:szCs w:val="20"/>
                <w:lang w:val="en"/>
              </w:rPr>
              <w:t>d-ter) on auction houses, galleries and in general any entity that professionally trades in works of art or manuscripts.</w:t>
            </w:r>
          </w:p>
        </w:tc>
        <w:tc>
          <w:tcPr>
            <w:tcW w:w="3113" w:type="dxa"/>
          </w:tcPr>
          <w:p w14:paraId="5B68DEE5" w14:textId="6775BA05" w:rsidR="0093188F" w:rsidRPr="00CB58FC" w:rsidRDefault="007D6020" w:rsidP="0015390C">
            <w:pPr>
              <w:pStyle w:val="ListParagraph"/>
              <w:numPr>
                <w:ilvl w:val="0"/>
                <w:numId w:val="39"/>
              </w:numPr>
              <w:rPr>
                <w:sz w:val="20"/>
              </w:rPr>
            </w:pPr>
            <w:r w:rsidRPr="00CB58FC">
              <w:rPr>
                <w:sz w:val="20"/>
                <w:szCs w:val="24"/>
              </w:rPr>
              <w:t xml:space="preserve">General statutory powers given to SIAE to prevent violations of law by AMPs </w:t>
            </w:r>
          </w:p>
        </w:tc>
      </w:tr>
    </w:tbl>
    <w:p w14:paraId="2CC45AF6" w14:textId="77777777" w:rsidR="003D6031" w:rsidRPr="00CB58FC" w:rsidRDefault="003D6031" w:rsidP="003D6031">
      <w:r w:rsidRPr="00CB58FC">
        <w:t xml:space="preserve">  </w:t>
      </w:r>
    </w:p>
    <w:p w14:paraId="03E25175" w14:textId="77777777" w:rsidR="003D6031" w:rsidRPr="00CB58FC" w:rsidRDefault="003D6031" w:rsidP="003D6031">
      <w:pPr>
        <w:pStyle w:val="Heading1"/>
        <w:rPr>
          <w:szCs w:val="22"/>
        </w:rPr>
      </w:pPr>
      <w:r w:rsidRPr="00CB58FC">
        <w:rPr>
          <w:szCs w:val="22"/>
        </w:rPr>
        <w:t>ADMINISTRATIVE COSTS AND OTHER DEDUCTIONS</w:t>
      </w:r>
    </w:p>
    <w:p w14:paraId="1C5BB0ED" w14:textId="77777777" w:rsidR="003D6031" w:rsidRPr="00CB58FC" w:rsidRDefault="003D6031" w:rsidP="003D6031"/>
    <w:p w14:paraId="049F2927" w14:textId="63FD0A9E" w:rsidR="003D6031" w:rsidRPr="00CB58FC" w:rsidRDefault="003D6031" w:rsidP="003D6031">
      <w:pPr>
        <w:pStyle w:val="ListParagraph"/>
        <w:numPr>
          <w:ilvl w:val="0"/>
          <w:numId w:val="16"/>
        </w:numPr>
        <w:rPr>
          <w:rFonts w:cs="Arial"/>
        </w:rPr>
      </w:pPr>
      <w:r w:rsidRPr="00CB58FC">
        <w:rPr>
          <w:rFonts w:cs="Arial"/>
        </w:rPr>
        <w:t>Ceilings on administrative costs typically apply to CMOs, either as a matter of internal or external regulation.</w:t>
      </w:r>
      <w:r w:rsidR="00EE0AB1" w:rsidRPr="00CB58FC">
        <w:rPr>
          <w:rStyle w:val="FootnoteReference"/>
          <w:rFonts w:cs="Arial"/>
        </w:rPr>
        <w:footnoteReference w:id="101"/>
      </w:r>
      <w:r w:rsidRPr="00CB58FC">
        <w:rPr>
          <w:rFonts w:cs="Arial"/>
        </w:rPr>
        <w:t xml:space="preserve"> An important controlling factor here is that CMOs are acting on behalf of their members and are generally established as non-profit entities. Consistently with this, deductions for cultural and social purposes may also be </w:t>
      </w:r>
      <w:r w:rsidR="00731CF8" w:rsidRPr="00CB58FC">
        <w:rPr>
          <w:rFonts w:cs="Arial"/>
        </w:rPr>
        <w:t>made but</w:t>
      </w:r>
      <w:r w:rsidRPr="00CB58FC">
        <w:rPr>
          <w:rFonts w:cs="Arial"/>
        </w:rPr>
        <w:t xml:space="preserve"> generally will be for smaller amounts – this will depend upon internal rules of the CMO. Some general principles to be applied here are usefully set out in article 12 of the EU Directive on Collective Management, which also contemplates that deductions may be made for social, cultural or educational services provided by the CMO, provided this is done on ‘fair criteria’. In practice, this is done by very few CMOs, Germany providing an instance where this does occur and Uruguay, one of the oldest CMOs in this field, another. </w:t>
      </w:r>
    </w:p>
    <w:p w14:paraId="7B5D8630" w14:textId="77777777" w:rsidR="003B05BB" w:rsidRPr="00CB58FC" w:rsidRDefault="003B05BB" w:rsidP="0015390C">
      <w:pPr>
        <w:pStyle w:val="ListParagraph"/>
        <w:ind w:left="360"/>
        <w:rPr>
          <w:rFonts w:cs="Arial"/>
        </w:rPr>
      </w:pPr>
    </w:p>
    <w:p w14:paraId="68FA615B" w14:textId="77777777" w:rsidR="003D6031" w:rsidRPr="00CB58FC" w:rsidRDefault="003D6031" w:rsidP="003D6031">
      <w:pPr>
        <w:pStyle w:val="ListParagraph"/>
        <w:numPr>
          <w:ilvl w:val="0"/>
          <w:numId w:val="16"/>
        </w:numPr>
        <w:rPr>
          <w:rFonts w:cs="Arial"/>
        </w:rPr>
      </w:pPr>
      <w:r w:rsidRPr="00CB58FC">
        <w:rPr>
          <w:rFonts w:cs="Arial"/>
        </w:rPr>
        <w:t xml:space="preserve">See further Table 27 below, which also provides examples of internal limits on administrative costs that have been set by individual CMOs in countries within and outside the EU.   </w:t>
      </w:r>
    </w:p>
    <w:p w14:paraId="6875D5FE" w14:textId="77777777" w:rsidR="003D6031" w:rsidRPr="00CB58FC" w:rsidRDefault="003D6031" w:rsidP="003D6031">
      <w:pPr>
        <w:pStyle w:val="Heading1"/>
        <w:rPr>
          <w:b w:val="0"/>
          <w:bCs w:val="0"/>
          <w:szCs w:val="22"/>
        </w:rPr>
      </w:pPr>
      <w:r w:rsidRPr="00CB58FC">
        <w:rPr>
          <w:b w:val="0"/>
          <w:bCs w:val="0"/>
          <w:szCs w:val="22"/>
        </w:rPr>
        <w:t xml:space="preserve">TABLE 27 – ADMINISTRATIVE COSTS OF CMOS AND OTHER DEDUCTIONS </w:t>
      </w:r>
    </w:p>
    <w:p w14:paraId="0B9F6DBC" w14:textId="77777777" w:rsidR="003D6031" w:rsidRPr="00CB58FC"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CB58FC" w14:paraId="3B9818EC" w14:textId="43E781FB" w:rsidTr="0015390C">
        <w:tc>
          <w:tcPr>
            <w:tcW w:w="2010" w:type="dxa"/>
          </w:tcPr>
          <w:p w14:paraId="7E416D74" w14:textId="77777777" w:rsidR="0093188F" w:rsidRPr="00CB58FC" w:rsidRDefault="0093188F" w:rsidP="009505EE">
            <w:pPr>
              <w:rPr>
                <w:b/>
                <w:bCs/>
              </w:rPr>
            </w:pPr>
            <w:r w:rsidRPr="00CB58FC">
              <w:rPr>
                <w:b/>
                <w:bCs/>
              </w:rPr>
              <w:t>Country or region</w:t>
            </w:r>
          </w:p>
        </w:tc>
        <w:tc>
          <w:tcPr>
            <w:tcW w:w="4694" w:type="dxa"/>
          </w:tcPr>
          <w:p w14:paraId="2F110922" w14:textId="77777777" w:rsidR="0093188F" w:rsidRPr="00CB58FC" w:rsidRDefault="0093188F" w:rsidP="009505EE">
            <w:pPr>
              <w:rPr>
                <w:b/>
                <w:bCs/>
              </w:rPr>
            </w:pPr>
            <w:r w:rsidRPr="00CB58FC">
              <w:rPr>
                <w:b/>
                <w:bCs/>
              </w:rPr>
              <w:t>Legislative and other provisions</w:t>
            </w:r>
          </w:p>
        </w:tc>
        <w:tc>
          <w:tcPr>
            <w:tcW w:w="2641" w:type="dxa"/>
          </w:tcPr>
          <w:p w14:paraId="23724E9E" w14:textId="1E7D3995" w:rsidR="0093188F" w:rsidRPr="00CB58FC" w:rsidRDefault="0093188F" w:rsidP="009505EE">
            <w:pPr>
              <w:rPr>
                <w:b/>
                <w:bCs/>
              </w:rPr>
            </w:pPr>
            <w:r w:rsidRPr="00CB58FC">
              <w:rPr>
                <w:b/>
                <w:bCs/>
              </w:rPr>
              <w:t>Comments</w:t>
            </w:r>
          </w:p>
        </w:tc>
      </w:tr>
      <w:tr w:rsidR="0093188F" w:rsidRPr="00CB58FC" w14:paraId="1D38287D" w14:textId="733EBB38" w:rsidTr="0015390C">
        <w:tc>
          <w:tcPr>
            <w:tcW w:w="2010" w:type="dxa"/>
          </w:tcPr>
          <w:p w14:paraId="5500D8B8" w14:textId="39A0B28E" w:rsidR="0093188F" w:rsidRPr="00CB58FC" w:rsidRDefault="0093188F" w:rsidP="009505EE">
            <w:pPr>
              <w:rPr>
                <w:sz w:val="20"/>
                <w:szCs w:val="20"/>
              </w:rPr>
            </w:pPr>
            <w:r w:rsidRPr="00CB58FC">
              <w:rPr>
                <w:sz w:val="20"/>
                <w:szCs w:val="20"/>
              </w:rPr>
              <w:t>EU</w:t>
            </w:r>
            <w:r w:rsidR="007D6020" w:rsidRPr="00CB58FC">
              <w:rPr>
                <w:rStyle w:val="FootnoteReference"/>
                <w:sz w:val="20"/>
                <w:szCs w:val="20"/>
              </w:rPr>
              <w:footnoteReference w:id="102"/>
            </w:r>
            <w:r w:rsidRPr="00CB58FC">
              <w:rPr>
                <w:i/>
                <w:iCs/>
                <w:sz w:val="20"/>
                <w:szCs w:val="20"/>
              </w:rPr>
              <w:t xml:space="preserve"> </w:t>
            </w:r>
          </w:p>
        </w:tc>
        <w:tc>
          <w:tcPr>
            <w:tcW w:w="4694" w:type="dxa"/>
          </w:tcPr>
          <w:p w14:paraId="1C86F385" w14:textId="77777777" w:rsidR="0093188F" w:rsidRPr="00CB58FC" w:rsidRDefault="0093188F" w:rsidP="009505EE">
            <w:pPr>
              <w:pStyle w:val="CM4"/>
              <w:spacing w:before="60" w:after="60"/>
              <w:rPr>
                <w:rFonts w:ascii="Arial" w:hAnsi="Arial" w:cs="Arial"/>
                <w:sz w:val="20"/>
                <w:szCs w:val="20"/>
              </w:rPr>
            </w:pPr>
            <w:r w:rsidRPr="00CB58FC">
              <w:rPr>
                <w:rFonts w:ascii="Arial" w:hAnsi="Arial" w:cs="Arial"/>
                <w:i/>
                <w:iCs/>
                <w:sz w:val="20"/>
                <w:szCs w:val="20"/>
              </w:rPr>
              <w:t xml:space="preserve">Article 12 </w:t>
            </w:r>
          </w:p>
          <w:p w14:paraId="003905A5" w14:textId="77777777" w:rsidR="0093188F" w:rsidRPr="00CB58FC" w:rsidRDefault="0093188F" w:rsidP="009505EE">
            <w:pPr>
              <w:pStyle w:val="CM4"/>
              <w:spacing w:before="60" w:after="60"/>
              <w:rPr>
                <w:rFonts w:ascii="Arial" w:hAnsi="Arial" w:cs="Arial"/>
                <w:sz w:val="19"/>
                <w:szCs w:val="19"/>
              </w:rPr>
            </w:pPr>
            <w:r w:rsidRPr="00CB58FC">
              <w:rPr>
                <w:rFonts w:ascii="Arial" w:hAnsi="Arial" w:cs="Arial"/>
                <w:b/>
                <w:bCs/>
                <w:sz w:val="20"/>
                <w:szCs w:val="20"/>
              </w:rPr>
              <w:t>Deductions</w:t>
            </w:r>
            <w:r w:rsidRPr="00CB58FC">
              <w:rPr>
                <w:rFonts w:ascii="Arial" w:hAnsi="Arial" w:cs="Arial"/>
                <w:b/>
                <w:bCs/>
                <w:sz w:val="19"/>
                <w:szCs w:val="19"/>
              </w:rPr>
              <w:t xml:space="preserve"> </w:t>
            </w:r>
          </w:p>
          <w:p w14:paraId="269A33A1" w14:textId="204F5DB4"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19"/>
                <w:szCs w:val="19"/>
              </w:rPr>
              <w:t xml:space="preserve">1. </w:t>
            </w:r>
            <w:r w:rsidRPr="00CB58FC">
              <w:rPr>
                <w:rFonts w:ascii="Arial" w:hAnsi="Arial" w:cs="Arial"/>
                <w:sz w:val="20"/>
                <w:szCs w:val="20"/>
              </w:rPr>
              <w:t>Member States shall ensure that where a right</w:t>
            </w:r>
            <w:r w:rsidR="00282D4F" w:rsidRPr="00CB58FC">
              <w:rPr>
                <w:rFonts w:ascii="Arial" w:hAnsi="Arial" w:cs="Arial"/>
                <w:sz w:val="20"/>
                <w:szCs w:val="20"/>
              </w:rPr>
              <w:t xml:space="preserve"> </w:t>
            </w:r>
            <w:r w:rsidRPr="00CB58FC">
              <w:rPr>
                <w:rFonts w:ascii="Arial" w:hAnsi="Arial" w:cs="Arial"/>
                <w:sz w:val="20"/>
                <w:szCs w:val="20"/>
              </w:rPr>
              <w:t xml:space="preserve">holder authorises a collective management </w:t>
            </w:r>
            <w:r w:rsidR="00282D4F" w:rsidRPr="00CB58FC">
              <w:rPr>
                <w:rFonts w:ascii="Arial" w:hAnsi="Arial" w:cs="Arial"/>
                <w:sz w:val="20"/>
                <w:szCs w:val="20"/>
              </w:rPr>
              <w:t>organization</w:t>
            </w:r>
            <w:r w:rsidRPr="00CB58FC">
              <w:rPr>
                <w:rFonts w:ascii="Arial" w:hAnsi="Arial" w:cs="Arial"/>
                <w:sz w:val="20"/>
                <w:szCs w:val="20"/>
              </w:rPr>
              <w:t xml:space="preserve"> to manage his rights, the collective management organisation is required to provide the right</w:t>
            </w:r>
            <w:r w:rsidR="00282D4F" w:rsidRPr="00CB58FC">
              <w:rPr>
                <w:rFonts w:ascii="Arial" w:hAnsi="Arial" w:cs="Arial"/>
                <w:sz w:val="20"/>
                <w:szCs w:val="20"/>
              </w:rPr>
              <w:t xml:space="preserve"> </w:t>
            </w:r>
            <w:r w:rsidRPr="00CB58FC">
              <w:rPr>
                <w:rFonts w:ascii="Arial" w:hAnsi="Arial" w:cs="Arial"/>
                <w:sz w:val="20"/>
                <w:szCs w:val="20"/>
              </w:rPr>
              <w:t xml:space="preserve">holder with information on management fees and other deductions from the rights revenue and from any income arising from the investment of </w:t>
            </w:r>
            <w:r w:rsidRPr="00CB58FC">
              <w:rPr>
                <w:rFonts w:ascii="Arial" w:hAnsi="Arial" w:cs="Arial"/>
                <w:sz w:val="20"/>
                <w:szCs w:val="20"/>
              </w:rPr>
              <w:lastRenderedPageBreak/>
              <w:t xml:space="preserve">rights revenue, before obtaining his consent to its managing his rights. </w:t>
            </w:r>
          </w:p>
          <w:p w14:paraId="04BB732C" w14:textId="2C7B92E6"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2. Deductions shall be reasonable in relation to the services provided by the collective management </w:t>
            </w:r>
            <w:r w:rsidR="00282D4F" w:rsidRPr="00CB58FC">
              <w:rPr>
                <w:rFonts w:ascii="Arial" w:hAnsi="Arial" w:cs="Arial"/>
                <w:sz w:val="20"/>
                <w:szCs w:val="20"/>
              </w:rPr>
              <w:t>organization</w:t>
            </w:r>
            <w:r w:rsidRPr="00CB58FC">
              <w:rPr>
                <w:rFonts w:ascii="Arial" w:hAnsi="Arial" w:cs="Arial"/>
                <w:sz w:val="20"/>
                <w:szCs w:val="20"/>
              </w:rPr>
              <w:t xml:space="preserve"> to right</w:t>
            </w:r>
            <w:r w:rsidR="00282D4F" w:rsidRPr="00CB58FC">
              <w:rPr>
                <w:rFonts w:ascii="Arial" w:hAnsi="Arial" w:cs="Arial"/>
                <w:sz w:val="20"/>
                <w:szCs w:val="20"/>
              </w:rPr>
              <w:t xml:space="preserve"> </w:t>
            </w:r>
            <w:r w:rsidRPr="00CB58FC">
              <w:rPr>
                <w:rFonts w:ascii="Arial" w:hAnsi="Arial" w:cs="Arial"/>
                <w:sz w:val="20"/>
                <w:szCs w:val="20"/>
              </w:rPr>
              <w:t xml:space="preserve">holders, including, where appropriate, the services referred to in paragraph 4, and shall be established on the basis of objective criteria. </w:t>
            </w:r>
          </w:p>
          <w:p w14:paraId="263E0C05" w14:textId="454041FC"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3. Management fees shall not exceed the justified and documented costs incurred by the collective management </w:t>
            </w:r>
            <w:r w:rsidR="00282D4F" w:rsidRPr="00CB58FC">
              <w:rPr>
                <w:rFonts w:ascii="Arial" w:hAnsi="Arial" w:cs="Arial"/>
                <w:sz w:val="20"/>
                <w:szCs w:val="20"/>
              </w:rPr>
              <w:t>organization</w:t>
            </w:r>
            <w:r w:rsidRPr="00CB58FC">
              <w:rPr>
                <w:rFonts w:ascii="Arial" w:hAnsi="Arial" w:cs="Arial"/>
                <w:sz w:val="20"/>
                <w:szCs w:val="20"/>
              </w:rPr>
              <w:t xml:space="preserve"> in managing copyright and related rights. </w:t>
            </w:r>
          </w:p>
          <w:p w14:paraId="355FD5A9" w14:textId="77777777" w:rsidR="0093188F" w:rsidRPr="00CB58FC" w:rsidRDefault="0093188F" w:rsidP="007D6020">
            <w:pPr>
              <w:pStyle w:val="CM4"/>
              <w:spacing w:before="60" w:after="60"/>
              <w:jc w:val="both"/>
              <w:rPr>
                <w:rFonts w:ascii="Arial" w:hAnsi="Arial" w:cs="Arial"/>
                <w:sz w:val="20"/>
                <w:szCs w:val="20"/>
              </w:rPr>
            </w:pPr>
            <w:r w:rsidRPr="00CB58FC">
              <w:rPr>
                <w:rFonts w:ascii="Arial" w:hAnsi="Arial" w:cs="Arial"/>
                <w:sz w:val="20"/>
                <w:szCs w:val="20"/>
              </w:rPr>
              <w:t xml:space="preserve">Member States shall ensure that the requirements applicable to the use and the transparency of the use of amounts deducted or offset in respect of management fees apply to any other deductions made in order to cover the costs of managing copyright and related rights. </w:t>
            </w:r>
          </w:p>
          <w:p w14:paraId="389496ED" w14:textId="08BA5470" w:rsidR="0093188F" w:rsidRPr="00CB58FC" w:rsidRDefault="0093188F" w:rsidP="0015390C">
            <w:pPr>
              <w:jc w:val="both"/>
              <w:rPr>
                <w:sz w:val="20"/>
                <w:szCs w:val="20"/>
              </w:rPr>
            </w:pPr>
            <w:r w:rsidRPr="00CB58FC">
              <w:rPr>
                <w:sz w:val="20"/>
                <w:szCs w:val="20"/>
              </w:rPr>
              <w:t xml:space="preserve">4. Where a collective management </w:t>
            </w:r>
            <w:r w:rsidR="00FF646E" w:rsidRPr="00CB58FC">
              <w:rPr>
                <w:sz w:val="20"/>
                <w:szCs w:val="20"/>
              </w:rPr>
              <w:t>organization</w:t>
            </w:r>
            <w:r w:rsidRPr="00CB58FC">
              <w:rPr>
                <w:sz w:val="20"/>
                <w:szCs w:val="20"/>
              </w:rPr>
              <w:t xml:space="preserve"> provides social, cultural or educational services funded through deductions from rights revenue or from any income arising from the investment of rights revenue, such services shall be provided on the basis of fair criteria, in particular as regards access to,  and the extent of, those services. </w:t>
            </w:r>
          </w:p>
          <w:p w14:paraId="0026AA51" w14:textId="77777777" w:rsidR="007D6020" w:rsidRPr="00CB58FC" w:rsidRDefault="007D6020" w:rsidP="007D6020">
            <w:pPr>
              <w:jc w:val="both"/>
              <w:rPr>
                <w:sz w:val="20"/>
                <w:szCs w:val="20"/>
              </w:rPr>
            </w:pPr>
          </w:p>
          <w:p w14:paraId="376ED678" w14:textId="7A53E936" w:rsidR="0093188F" w:rsidRPr="00CB58FC" w:rsidRDefault="0093188F" w:rsidP="0015390C">
            <w:pPr>
              <w:jc w:val="both"/>
              <w:rPr>
                <w:i/>
                <w:iCs/>
                <w:sz w:val="20"/>
                <w:szCs w:val="20"/>
              </w:rPr>
            </w:pPr>
            <w:r w:rsidRPr="00CB58FC">
              <w:rPr>
                <w:i/>
                <w:iCs/>
                <w:sz w:val="20"/>
                <w:szCs w:val="20"/>
              </w:rPr>
              <w:t>Article 3(i):</w:t>
            </w:r>
          </w:p>
          <w:p w14:paraId="3226814D" w14:textId="77777777" w:rsidR="0093188F" w:rsidRPr="00CB58FC" w:rsidRDefault="0093188F" w:rsidP="0015390C">
            <w:pPr>
              <w:jc w:val="both"/>
              <w:rPr>
                <w:sz w:val="20"/>
                <w:szCs w:val="20"/>
              </w:rPr>
            </w:pPr>
            <w:r w:rsidRPr="00CB58FC">
              <w:rPr>
                <w:sz w:val="20"/>
                <w:szCs w:val="20"/>
              </w:rPr>
              <w:t>…</w:t>
            </w:r>
          </w:p>
          <w:p w14:paraId="0A3B3A4C" w14:textId="217069AE" w:rsidR="0093188F" w:rsidRPr="00CB58FC" w:rsidRDefault="0093188F" w:rsidP="0015390C">
            <w:pPr>
              <w:jc w:val="both"/>
              <w:rPr>
                <w:sz w:val="19"/>
                <w:szCs w:val="19"/>
              </w:rPr>
            </w:pPr>
            <w:r w:rsidRPr="00CB58FC">
              <w:rPr>
                <w:sz w:val="20"/>
                <w:szCs w:val="20"/>
              </w:rPr>
              <w:t xml:space="preserve"> ‘management fees ‘means the amounts charged, deducted or offset by a collective management organization from rights revenue or from </w:t>
            </w:r>
            <w:r w:rsidR="0040475A" w:rsidRPr="00CB58FC">
              <w:rPr>
                <w:sz w:val="20"/>
                <w:szCs w:val="20"/>
              </w:rPr>
              <w:t>any</w:t>
            </w:r>
            <w:r w:rsidRPr="00CB58FC">
              <w:rPr>
                <w:sz w:val="20"/>
                <w:szCs w:val="20"/>
              </w:rPr>
              <w:t xml:space="preserve"> income arising from the investment of rights revenue in order to cover the costs of its management of copyright or related rights.</w:t>
            </w:r>
            <w:r w:rsidRPr="00CB58FC">
              <w:rPr>
                <w:sz w:val="19"/>
                <w:szCs w:val="19"/>
              </w:rPr>
              <w:t xml:space="preserve">  </w:t>
            </w:r>
          </w:p>
        </w:tc>
        <w:tc>
          <w:tcPr>
            <w:tcW w:w="2641" w:type="dxa"/>
          </w:tcPr>
          <w:p w14:paraId="625AF4F3" w14:textId="3B85748B" w:rsidR="00105258" w:rsidRPr="00CB58FC" w:rsidRDefault="00105258" w:rsidP="00105258">
            <w:pPr>
              <w:pStyle w:val="CM4"/>
              <w:numPr>
                <w:ilvl w:val="0"/>
                <w:numId w:val="39"/>
              </w:numPr>
              <w:spacing w:before="60" w:after="60"/>
              <w:jc w:val="both"/>
              <w:rPr>
                <w:rFonts w:ascii="Arial" w:hAnsi="Arial" w:cs="Arial"/>
                <w:sz w:val="20"/>
                <w:szCs w:val="20"/>
              </w:rPr>
            </w:pPr>
            <w:r w:rsidRPr="00CB58FC">
              <w:rPr>
                <w:rFonts w:ascii="Arial" w:hAnsi="Arial" w:cs="Arial"/>
                <w:sz w:val="20"/>
                <w:szCs w:val="20"/>
              </w:rPr>
              <w:lastRenderedPageBreak/>
              <w:t xml:space="preserve">General </w:t>
            </w:r>
            <w:r w:rsidR="003B05BB" w:rsidRPr="00CB58FC">
              <w:rPr>
                <w:rFonts w:ascii="Arial" w:hAnsi="Arial" w:cs="Arial"/>
                <w:sz w:val="20"/>
                <w:szCs w:val="20"/>
              </w:rPr>
              <w:t>principles</w:t>
            </w:r>
            <w:r w:rsidRPr="00CB58FC">
              <w:rPr>
                <w:rFonts w:ascii="Arial" w:hAnsi="Arial" w:cs="Arial"/>
                <w:sz w:val="20"/>
                <w:szCs w:val="20"/>
              </w:rPr>
              <w:t xml:space="preserve"> to be applied in determining deductions for administrative costs.</w:t>
            </w:r>
          </w:p>
          <w:p w14:paraId="694603D7" w14:textId="273626C8" w:rsidR="0093188F" w:rsidRPr="00CB58FC" w:rsidRDefault="00105258" w:rsidP="00105258">
            <w:pPr>
              <w:pStyle w:val="CM4"/>
              <w:numPr>
                <w:ilvl w:val="0"/>
                <w:numId w:val="39"/>
              </w:numPr>
              <w:spacing w:before="60" w:after="60"/>
              <w:jc w:val="both"/>
              <w:rPr>
                <w:rFonts w:ascii="Arial" w:hAnsi="Arial" w:cs="Arial"/>
                <w:sz w:val="20"/>
                <w:szCs w:val="20"/>
              </w:rPr>
            </w:pPr>
            <w:r w:rsidRPr="00CB58FC">
              <w:rPr>
                <w:rFonts w:ascii="Arial" w:hAnsi="Arial" w:cs="Arial"/>
                <w:sz w:val="20"/>
                <w:szCs w:val="20"/>
              </w:rPr>
              <w:t>Helpful definition of ‘management fees</w:t>
            </w:r>
            <w:r w:rsidR="003B05BB" w:rsidRPr="00CB58FC">
              <w:rPr>
                <w:rFonts w:ascii="Arial" w:hAnsi="Arial" w:cs="Arial"/>
                <w:sz w:val="20"/>
                <w:szCs w:val="20"/>
              </w:rPr>
              <w:t>’.</w:t>
            </w:r>
          </w:p>
          <w:p w14:paraId="48A1398C" w14:textId="6E217962" w:rsidR="00105258" w:rsidRPr="00CB58FC" w:rsidRDefault="00105258" w:rsidP="0015390C">
            <w:pPr>
              <w:pStyle w:val="Default"/>
            </w:pPr>
          </w:p>
        </w:tc>
      </w:tr>
      <w:tr w:rsidR="0093188F" w:rsidRPr="00CB58FC" w14:paraId="3D3A6ADA" w14:textId="6C298068" w:rsidTr="0015390C">
        <w:tc>
          <w:tcPr>
            <w:tcW w:w="2010" w:type="dxa"/>
          </w:tcPr>
          <w:p w14:paraId="0E7603B4" w14:textId="335838F7" w:rsidR="0093188F" w:rsidRPr="00CB58FC" w:rsidRDefault="0093188F" w:rsidP="0015390C">
            <w:pPr>
              <w:jc w:val="both"/>
              <w:rPr>
                <w:sz w:val="20"/>
                <w:szCs w:val="20"/>
              </w:rPr>
            </w:pPr>
            <w:r w:rsidRPr="00CB58FC">
              <w:rPr>
                <w:sz w:val="20"/>
                <w:szCs w:val="20"/>
              </w:rPr>
              <w:t>Examples of Internal limits on administrative costs set by individual CMOs, both within and outside the EU</w:t>
            </w:r>
            <w:r w:rsidR="00105258" w:rsidRPr="00CB58FC">
              <w:rPr>
                <w:rStyle w:val="FootnoteReference"/>
                <w:sz w:val="20"/>
                <w:szCs w:val="20"/>
              </w:rPr>
              <w:footnoteReference w:id="103"/>
            </w:r>
          </w:p>
        </w:tc>
        <w:tc>
          <w:tcPr>
            <w:tcW w:w="4694" w:type="dxa"/>
          </w:tcPr>
          <w:p w14:paraId="6078BE05"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20% in Denmark, determined annually by General Assembly of VISDA, no deduction for general social, cultural or educational purposes</w:t>
            </w:r>
          </w:p>
          <w:p w14:paraId="131EB769" w14:textId="2D6FF84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 xml:space="preserve">ADAGP: There is no statutory limit in France. The percentage of management fees is determined annually by the board. This rule is specified in the statutes of the ADAGP, Article 32. In 2024 the voted percentage </w:t>
            </w:r>
            <w:r w:rsidR="0040475A" w:rsidRPr="00CB58FC">
              <w:rPr>
                <w:rFonts w:cs="Arial"/>
                <w:sz w:val="20"/>
                <w:szCs w:val="20"/>
              </w:rPr>
              <w:t>was</w:t>
            </w:r>
            <w:r w:rsidRPr="00CB58FC">
              <w:rPr>
                <w:rFonts w:cs="Arial"/>
                <w:sz w:val="20"/>
                <w:szCs w:val="20"/>
              </w:rPr>
              <w:t xml:space="preserve"> 1</w:t>
            </w:r>
            <w:r w:rsidR="008D2B3A" w:rsidRPr="00CB58FC">
              <w:rPr>
                <w:rFonts w:cs="Arial"/>
                <w:sz w:val="20"/>
                <w:szCs w:val="20"/>
              </w:rPr>
              <w:t>3</w:t>
            </w:r>
            <w:r w:rsidRPr="00CB58FC">
              <w:rPr>
                <w:rFonts w:cs="Arial"/>
                <w:sz w:val="20"/>
                <w:szCs w:val="20"/>
              </w:rPr>
              <w:t>%</w:t>
            </w:r>
            <w:r w:rsidR="008D2B3A" w:rsidRPr="00CB58FC">
              <w:rPr>
                <w:rFonts w:cs="Arial"/>
                <w:sz w:val="20"/>
                <w:szCs w:val="20"/>
              </w:rPr>
              <w:t>, but in general cannot exceed 15</w:t>
            </w:r>
            <w:r w:rsidR="0031141F" w:rsidRPr="00CB58FC">
              <w:rPr>
                <w:rFonts w:cs="Arial"/>
                <w:sz w:val="20"/>
                <w:szCs w:val="20"/>
              </w:rPr>
              <w:t>%.</w:t>
            </w:r>
            <w:r w:rsidR="008D2B3A" w:rsidRPr="00CB58FC" w:rsidDel="008D2B3A">
              <w:rPr>
                <w:rFonts w:cs="Arial"/>
                <w:sz w:val="20"/>
                <w:szCs w:val="20"/>
              </w:rPr>
              <w:t xml:space="preserve"> </w:t>
            </w:r>
          </w:p>
          <w:p w14:paraId="1C6EF8B6"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Hungary: 25% HUNGART</w:t>
            </w:r>
          </w:p>
          <w:p w14:paraId="68480F1E" w14:textId="3B947DF5"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 xml:space="preserve">UK: Limits on deductions to be ‘reasonable’ (CMO Regs): 15% for UK auction houses, art dealers or galleries; 5% for overseas societies. No deductions for general, social, </w:t>
            </w:r>
            <w:r w:rsidR="00AB2BB9" w:rsidRPr="00CB58FC">
              <w:rPr>
                <w:rFonts w:cs="Arial"/>
                <w:sz w:val="20"/>
                <w:szCs w:val="20"/>
              </w:rPr>
              <w:t>cultural</w:t>
            </w:r>
            <w:r w:rsidRPr="00CB58FC">
              <w:rPr>
                <w:rFonts w:cs="Arial"/>
                <w:sz w:val="20"/>
                <w:szCs w:val="20"/>
              </w:rPr>
              <w:t xml:space="preserve"> or educational purposes   </w:t>
            </w:r>
          </w:p>
          <w:p w14:paraId="2F78EA29" w14:textId="4AB0E264"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Latvia: 24% set by internal rules of the CMO- AKK/ - art 2.3.1 may not exceed 25% o collected rights revenue</w:t>
            </w:r>
            <w:r w:rsidR="0031141F" w:rsidRPr="00CB58FC">
              <w:rPr>
                <w:rFonts w:cs="Arial"/>
                <w:sz w:val="20"/>
                <w:szCs w:val="20"/>
              </w:rPr>
              <w:t>.</w:t>
            </w:r>
            <w:r w:rsidR="0031141F" w:rsidRPr="00CB58FC">
              <w:rPr>
                <w:rStyle w:val="FootnoteReference"/>
                <w:rFonts w:cs="Arial"/>
                <w:sz w:val="20"/>
                <w:szCs w:val="20"/>
              </w:rPr>
              <w:footnoteReference w:id="104"/>
            </w:r>
            <w:r w:rsidRPr="00CB58FC">
              <w:rPr>
                <w:rFonts w:cs="Arial"/>
                <w:sz w:val="20"/>
                <w:szCs w:val="20"/>
              </w:rPr>
              <w:t xml:space="preserve"> </w:t>
            </w:r>
          </w:p>
          <w:p w14:paraId="4CBBEED3"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Estonia: 10% determined by general meeting of EAU</w:t>
            </w:r>
          </w:p>
          <w:p w14:paraId="60C5FCE0"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lastRenderedPageBreak/>
              <w:t>Norway: around 33%</w:t>
            </w:r>
          </w:p>
          <w:p w14:paraId="2683109E" w14:textId="77777777" w:rsidR="0093188F" w:rsidRPr="00CB58FC" w:rsidRDefault="0093188F" w:rsidP="003D6031">
            <w:pPr>
              <w:pStyle w:val="ListParagraph"/>
              <w:numPr>
                <w:ilvl w:val="0"/>
                <w:numId w:val="12"/>
              </w:numPr>
              <w:ind w:left="360"/>
              <w:rPr>
                <w:rFonts w:cs="Arial"/>
                <w:sz w:val="20"/>
                <w:szCs w:val="20"/>
              </w:rPr>
            </w:pPr>
            <w:r w:rsidRPr="00CB58FC">
              <w:rPr>
                <w:rFonts w:cs="Arial"/>
                <w:sz w:val="20"/>
                <w:szCs w:val="20"/>
              </w:rPr>
              <w:t>Australia: up to 15% plus GST (Consumption Tax) on fee charged (by arrangement with Government), no deduction for cultural purposes</w:t>
            </w:r>
          </w:p>
          <w:p w14:paraId="0D213ED0" w14:textId="77777777" w:rsidR="0093188F" w:rsidRPr="00CB58FC" w:rsidRDefault="0093188F" w:rsidP="003D6031">
            <w:pPr>
              <w:pStyle w:val="ListParagraph"/>
              <w:numPr>
                <w:ilvl w:val="0"/>
                <w:numId w:val="18"/>
              </w:numPr>
              <w:spacing w:after="0"/>
              <w:contextualSpacing w:val="0"/>
              <w:rPr>
                <w:rFonts w:eastAsia="Times New Roman" w:cs="Arial"/>
                <w:sz w:val="20"/>
                <w:szCs w:val="20"/>
                <w:lang w:val="en-AU"/>
              </w:rPr>
            </w:pPr>
            <w:r w:rsidRPr="00CB58FC">
              <w:rPr>
                <w:rFonts w:cs="Arial"/>
                <w:sz w:val="20"/>
                <w:szCs w:val="20"/>
              </w:rPr>
              <w:t>Sweden: The administrative deduction is decided on an annual basis. During 2023 the administrative deduction was 20 %. The deduction is determined by the Board of Directors within a frame set by the General Assembly.</w:t>
            </w:r>
          </w:p>
          <w:p w14:paraId="4F737AFE"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 xml:space="preserve">Germany: admin fee of 15% and 4% for cultural purposes, 3% for social purposes. </w:t>
            </w:r>
          </w:p>
          <w:p w14:paraId="1C423C6A"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Italy: set by decrees of Ministry of Culture which are updated every three years, currently 19.50%.</w:t>
            </w:r>
          </w:p>
          <w:p w14:paraId="341475B1" w14:textId="77777777" w:rsidR="0093188F" w:rsidRPr="00CB58FC" w:rsidRDefault="0093188F" w:rsidP="003D6031">
            <w:pPr>
              <w:pStyle w:val="ListParagraph"/>
              <w:numPr>
                <w:ilvl w:val="0"/>
                <w:numId w:val="13"/>
              </w:numPr>
              <w:ind w:left="360"/>
              <w:rPr>
                <w:rFonts w:cs="Arial"/>
                <w:sz w:val="20"/>
                <w:szCs w:val="20"/>
              </w:rPr>
            </w:pPr>
            <w:r w:rsidRPr="00CB58FC">
              <w:rPr>
                <w:rFonts w:cs="Arial"/>
                <w:sz w:val="20"/>
                <w:szCs w:val="20"/>
              </w:rPr>
              <w:t>Belgium: 15% for administrative costs</w:t>
            </w:r>
          </w:p>
          <w:p w14:paraId="0FF3D036" w14:textId="6F4DB7B0" w:rsidR="0093188F" w:rsidRPr="00CB58FC" w:rsidRDefault="0093188F" w:rsidP="003D6031">
            <w:pPr>
              <w:pStyle w:val="ListParagraph"/>
              <w:numPr>
                <w:ilvl w:val="0"/>
                <w:numId w:val="13"/>
              </w:numPr>
              <w:ind w:left="360"/>
              <w:rPr>
                <w:rFonts w:cs="Arial"/>
              </w:rPr>
            </w:pPr>
            <w:r w:rsidRPr="00CB58FC">
              <w:rPr>
                <w:rFonts w:cs="Arial"/>
                <w:sz w:val="20"/>
                <w:szCs w:val="20"/>
              </w:rPr>
              <w:t xml:space="preserve">Austria: about 10% of collected ARR goes to administrative costs; there is no deduction for general social, cultural or educational purposes </w:t>
            </w:r>
          </w:p>
          <w:p w14:paraId="178750FB" w14:textId="69126257" w:rsidR="0093188F" w:rsidRPr="00CB58FC" w:rsidRDefault="0093188F" w:rsidP="003D6031">
            <w:pPr>
              <w:pStyle w:val="ListParagraph"/>
              <w:numPr>
                <w:ilvl w:val="0"/>
                <w:numId w:val="13"/>
              </w:numPr>
              <w:ind w:left="360"/>
              <w:rPr>
                <w:rFonts w:cs="Arial"/>
              </w:rPr>
            </w:pPr>
            <w:r w:rsidRPr="00CB58FC">
              <w:rPr>
                <w:rFonts w:cs="Arial"/>
                <w:sz w:val="20"/>
                <w:szCs w:val="20"/>
              </w:rPr>
              <w:t>Uruguay: 15% for administrative expenses and 10% for social and cultural purposes relating to AGADU members</w:t>
            </w:r>
            <w:r w:rsidR="003B05BB" w:rsidRPr="00CB58FC">
              <w:rPr>
                <w:rStyle w:val="FootnoteReference"/>
                <w:rFonts w:cs="Arial"/>
                <w:sz w:val="20"/>
                <w:szCs w:val="20"/>
              </w:rPr>
              <w:footnoteReference w:id="105"/>
            </w:r>
          </w:p>
        </w:tc>
        <w:tc>
          <w:tcPr>
            <w:tcW w:w="2641" w:type="dxa"/>
          </w:tcPr>
          <w:p w14:paraId="0F2FF9BD" w14:textId="77777777" w:rsidR="0093188F" w:rsidRPr="00AE5EBA" w:rsidRDefault="0093188F" w:rsidP="00AE5EBA">
            <w:pPr>
              <w:rPr>
                <w:sz w:val="20"/>
                <w:szCs w:val="20"/>
              </w:rPr>
            </w:pPr>
          </w:p>
        </w:tc>
      </w:tr>
    </w:tbl>
    <w:p w14:paraId="0521F37B" w14:textId="77777777" w:rsidR="003D6031" w:rsidRPr="00CB58FC" w:rsidRDefault="003D6031" w:rsidP="003D6031">
      <w:r w:rsidRPr="00CB58FC">
        <w:t xml:space="preserve">   </w:t>
      </w:r>
    </w:p>
    <w:p w14:paraId="028677B3" w14:textId="77777777" w:rsidR="003D6031" w:rsidRPr="00CB58FC" w:rsidRDefault="003D6031" w:rsidP="003D6031">
      <w:pPr>
        <w:pStyle w:val="Heading1"/>
        <w:rPr>
          <w:szCs w:val="22"/>
        </w:rPr>
      </w:pPr>
      <w:r w:rsidRPr="00CB58FC">
        <w:rPr>
          <w:szCs w:val="22"/>
        </w:rPr>
        <w:t>UNALLOCATED OR UNDISTRIBUTED ARR PAYMENTS</w:t>
      </w:r>
    </w:p>
    <w:p w14:paraId="7BAAC279" w14:textId="77777777" w:rsidR="003D6031" w:rsidRPr="00CB58FC" w:rsidRDefault="003D6031" w:rsidP="003D6031"/>
    <w:p w14:paraId="60F3A1DB" w14:textId="2A49714B" w:rsidR="003D6031" w:rsidRPr="00CB58FC" w:rsidRDefault="003D6031" w:rsidP="003D6031">
      <w:pPr>
        <w:pStyle w:val="ListParagraph"/>
        <w:numPr>
          <w:ilvl w:val="0"/>
          <w:numId w:val="16"/>
        </w:numPr>
        <w:rPr>
          <w:rFonts w:cs="Arial"/>
        </w:rPr>
      </w:pPr>
      <w:r w:rsidRPr="00CB58FC">
        <w:rPr>
          <w:rFonts w:cs="Arial"/>
        </w:rPr>
        <w:t>This is a perennial issue for CMOs in countries where mandatory or extended collective management schemes are in place</w:t>
      </w:r>
      <w:r w:rsidR="00731CF8" w:rsidRPr="00CB58FC">
        <w:rPr>
          <w:rFonts w:cs="Arial"/>
        </w:rPr>
        <w:t>. I</w:t>
      </w:r>
      <w:r w:rsidRPr="00CB58FC">
        <w:rPr>
          <w:rFonts w:cs="Arial"/>
        </w:rPr>
        <w:t>n principle, this should not be a significant problem where there is voluntary collective management as all ARR payments will be distributed to existing CMO members only who should</w:t>
      </w:r>
      <w:r w:rsidR="00D615BC" w:rsidRPr="00CB58FC">
        <w:rPr>
          <w:rFonts w:cs="Arial"/>
        </w:rPr>
        <w:t>,</w:t>
      </w:r>
      <w:r w:rsidRPr="00CB58FC">
        <w:rPr>
          <w:rFonts w:cs="Arial"/>
        </w:rPr>
        <w:t xml:space="preserve"> therefore</w:t>
      </w:r>
      <w:r w:rsidR="00D615BC" w:rsidRPr="00CB58FC">
        <w:rPr>
          <w:rFonts w:cs="Arial"/>
        </w:rPr>
        <w:t>,</w:t>
      </w:r>
      <w:r w:rsidRPr="00CB58FC">
        <w:rPr>
          <w:rFonts w:cs="Arial"/>
        </w:rPr>
        <w:t xml:space="preserve"> be readily identifiable</w:t>
      </w:r>
      <w:r w:rsidR="00731CF8" w:rsidRPr="00CB58FC">
        <w:rPr>
          <w:rFonts w:cs="Arial"/>
        </w:rPr>
        <w:t>, although it is still possible that in some cases it may not be possible to locate right holders and make the appropriate payments</w:t>
      </w:r>
      <w:r w:rsidRPr="00CB58FC">
        <w:rPr>
          <w:rFonts w:cs="Arial"/>
        </w:rPr>
        <w:t xml:space="preserve">. While CMOs </w:t>
      </w:r>
      <w:r w:rsidR="003B05BB" w:rsidRPr="00CB58FC">
        <w:rPr>
          <w:rFonts w:cs="Arial"/>
        </w:rPr>
        <w:t>may be</w:t>
      </w:r>
      <w:r w:rsidRPr="00CB58FC">
        <w:rPr>
          <w:rFonts w:cs="Arial"/>
        </w:rPr>
        <w:t xml:space="preserve"> obliged to identify and pay eligible right holders where possible (see, for example, EU CMO Directive, article 13(1)), unallocated or non-distributed funds will</w:t>
      </w:r>
      <w:r w:rsidR="003B05BB" w:rsidRPr="00CB58FC">
        <w:rPr>
          <w:rFonts w:cs="Arial"/>
        </w:rPr>
        <w:t xml:space="preserve"> inevitably</w:t>
      </w:r>
      <w:r w:rsidRPr="00CB58FC">
        <w:rPr>
          <w:rFonts w:cs="Arial"/>
        </w:rPr>
        <w:t xml:space="preserve"> remain in the CMO’s accounts where right holders cannot be located after diligent searches and inquiries have been made. What is the CMO to do with these funds, apart from retaining them indefinitely in the possibly hopeless expectation that an eligible right holder may finally appear?</w:t>
      </w:r>
    </w:p>
    <w:p w14:paraId="0E23D4F4" w14:textId="77777777" w:rsidR="003B05BB" w:rsidRPr="00CB58FC" w:rsidRDefault="003B05BB" w:rsidP="0015390C">
      <w:pPr>
        <w:pStyle w:val="ListParagraph"/>
        <w:ind w:left="360"/>
        <w:rPr>
          <w:rFonts w:cs="Arial"/>
        </w:rPr>
      </w:pPr>
    </w:p>
    <w:p w14:paraId="7D952FBD" w14:textId="73467484" w:rsidR="003D6031" w:rsidRPr="00CB58FC" w:rsidRDefault="003D6031" w:rsidP="003D6031">
      <w:pPr>
        <w:pStyle w:val="ListParagraph"/>
        <w:numPr>
          <w:ilvl w:val="0"/>
          <w:numId w:val="16"/>
        </w:numPr>
        <w:rPr>
          <w:rFonts w:cs="Arial"/>
        </w:rPr>
      </w:pPr>
      <w:r w:rsidRPr="00CB58FC">
        <w:rPr>
          <w:rFonts w:cs="Arial"/>
        </w:rPr>
        <w:t>Part of the answer to this problem might be found in general principles of law that restrict the making of claims after the passage of a certain period: limitations periods are a common feature of many national laws, underlining the basic notion that claims should be time-limited and not allowed to linger indefinitely. While such a device, in the case of ARR, may remove the possibility of continuing claims against the CMO holding non-distributed funds, it does not solve the further question of what the CMO should do with these funds. One possibility would be to distribute them among members of CMO, but this would clearly result in unexpected (and possibly undeserved</w:t>
      </w:r>
      <w:r w:rsidR="00A5081E">
        <w:rPr>
          <w:rFonts w:cs="Arial"/>
        </w:rPr>
        <w:t>)</w:t>
      </w:r>
      <w:r w:rsidRPr="00CB58FC">
        <w:rPr>
          <w:rFonts w:cs="Arial"/>
        </w:rPr>
        <w:t xml:space="preserve"> windfalls as these members have no link otherwise to the resale of the work that attracted ARR in the first place; it would also be to the prejudice of non-members who have equal claims to protection under </w:t>
      </w:r>
      <w:r w:rsidR="007349BC" w:rsidRPr="00CB58FC">
        <w:rPr>
          <w:rFonts w:cs="Arial"/>
        </w:rPr>
        <w:t>extended or</w:t>
      </w:r>
      <w:r w:rsidRPr="00CB58FC">
        <w:rPr>
          <w:rFonts w:cs="Arial"/>
        </w:rPr>
        <w:t xml:space="preserve"> mandatory collective management regimes. An alternative solution would be to return the payments to the AMPs who were involved in the resale and who would likewise be no longer liable to any delayed claims for payment made by a long-lost claimant because of limitations periods (these AMPs had, by definition, acted in accordance with the ARR scheme by reporting the resale and </w:t>
      </w:r>
      <w:r w:rsidRPr="00CB58FC">
        <w:rPr>
          <w:rFonts w:cs="Arial"/>
        </w:rPr>
        <w:lastRenderedPageBreak/>
        <w:t xml:space="preserve">making the required payment in the first place). A further alternative would be to provide that the funds should now be directed to some appropriate social, cultural, or educational purpose and, presumably, one connected to the visual arts and visual artists.   </w:t>
      </w:r>
    </w:p>
    <w:p w14:paraId="7159A398" w14:textId="77777777" w:rsidR="004B25CE" w:rsidRPr="00CB58FC" w:rsidRDefault="004B25CE" w:rsidP="0015390C">
      <w:pPr>
        <w:pStyle w:val="ListParagraph"/>
        <w:ind w:left="360"/>
        <w:rPr>
          <w:rFonts w:cs="Arial"/>
        </w:rPr>
      </w:pPr>
    </w:p>
    <w:p w14:paraId="4AFCE3E7" w14:textId="603FB0A7" w:rsidR="004C5062" w:rsidRPr="00CB58FC" w:rsidRDefault="003D6031" w:rsidP="004C5062">
      <w:pPr>
        <w:pStyle w:val="ListParagraph"/>
        <w:numPr>
          <w:ilvl w:val="0"/>
          <w:numId w:val="16"/>
        </w:numPr>
        <w:spacing w:before="120" w:after="120"/>
        <w:ind w:left="357" w:hanging="357"/>
        <w:rPr>
          <w:rFonts w:cs="Arial"/>
        </w:rPr>
      </w:pPr>
      <w:r w:rsidRPr="00CB58FC">
        <w:rPr>
          <w:rFonts w:cs="Arial"/>
        </w:rPr>
        <w:t>Different provisions apply under national laws in relation to this general question, although a general framework for EU member countries is to be found in the EU Directive on CMOs: see art 13 in Table 28 below. This has a general requirement</w:t>
      </w:r>
      <w:r w:rsidR="007349BC" w:rsidRPr="00CB58FC">
        <w:rPr>
          <w:rFonts w:cs="Arial"/>
        </w:rPr>
        <w:t>, for EU countries,</w:t>
      </w:r>
      <w:r w:rsidRPr="00CB58FC">
        <w:rPr>
          <w:rFonts w:cs="Arial"/>
        </w:rPr>
        <w:t xml:space="preserve"> that, after diligent efforts to identify eligible right holders have been made by the CMO, non-distributed funds are to be retained in separate accounts for a period of three years, after which the membership, in General Assembly, are to decide on the use of those funds, subject to any direction under national law which may ensure that such amounts are used in a ‘separate and independent way in order to fund social, cultural and educational activities for the benefit of right holders’.</w:t>
      </w:r>
    </w:p>
    <w:p w14:paraId="5F55560D" w14:textId="0A482187" w:rsidR="003D6031" w:rsidRPr="00CB58FC" w:rsidRDefault="003D6031" w:rsidP="0015390C">
      <w:pPr>
        <w:spacing w:before="120" w:after="120"/>
      </w:pPr>
      <w:r w:rsidRPr="00CB58FC">
        <w:t xml:space="preserve"> </w:t>
      </w:r>
    </w:p>
    <w:p w14:paraId="67D31C3E" w14:textId="77551EC4" w:rsidR="003D6031" w:rsidRPr="00CB58FC" w:rsidRDefault="003D6031" w:rsidP="0015390C">
      <w:pPr>
        <w:pStyle w:val="ListParagraph"/>
        <w:numPr>
          <w:ilvl w:val="0"/>
          <w:numId w:val="16"/>
        </w:numPr>
        <w:spacing w:before="120" w:after="120"/>
        <w:ind w:left="357" w:hanging="357"/>
        <w:rPr>
          <w:rFonts w:cs="Arial"/>
        </w:rPr>
      </w:pPr>
      <w:r w:rsidRPr="00CB58FC">
        <w:rPr>
          <w:rFonts w:cs="Arial"/>
        </w:rPr>
        <w:t>Working within this general framework, CMOs in EU countries appear to have taken differing approaches to the ultimate distribution of non-distributable funds:</w:t>
      </w:r>
      <w:r w:rsidR="007349BC" w:rsidRPr="00CB58FC">
        <w:rPr>
          <w:rStyle w:val="FootnoteReference"/>
          <w:rFonts w:cs="Arial"/>
        </w:rPr>
        <w:footnoteReference w:id="106"/>
      </w:r>
      <w:r w:rsidRPr="00CB58FC">
        <w:rPr>
          <w:rFonts w:cs="Arial"/>
        </w:rPr>
        <w:t xml:space="preserve">  </w:t>
      </w:r>
    </w:p>
    <w:p w14:paraId="28EF6977" w14:textId="77777777" w:rsidR="003D6031" w:rsidRPr="00CB58FC" w:rsidRDefault="003D6031" w:rsidP="003D6031">
      <w:pPr>
        <w:pStyle w:val="ListParagraph"/>
        <w:numPr>
          <w:ilvl w:val="0"/>
          <w:numId w:val="11"/>
        </w:numPr>
        <w:rPr>
          <w:rFonts w:cs="Arial"/>
        </w:rPr>
      </w:pPr>
      <w:r w:rsidRPr="00CB58FC">
        <w:rPr>
          <w:rFonts w:cs="Arial"/>
        </w:rPr>
        <w:t xml:space="preserve">Hungary, after 3 years if not claimed, </w:t>
      </w:r>
      <w:r w:rsidRPr="00CB58FC">
        <w:rPr>
          <w:rFonts w:cs="Arial"/>
          <w:shd w:val="clear" w:color="auto" w:fill="FFFFFF"/>
        </w:rPr>
        <w:t>90% of the royalty retained is paid to the National Cultural Fund for cultural purposes in support of Graphic, Applied and Photographic Artists</w:t>
      </w:r>
    </w:p>
    <w:p w14:paraId="03ADC623" w14:textId="665B37ED" w:rsidR="003D6031" w:rsidRPr="00CB58FC" w:rsidRDefault="003D6031" w:rsidP="003D6031">
      <w:pPr>
        <w:pStyle w:val="ListParagraph"/>
        <w:numPr>
          <w:ilvl w:val="0"/>
          <w:numId w:val="11"/>
        </w:numPr>
        <w:rPr>
          <w:rFonts w:cs="Arial"/>
        </w:rPr>
      </w:pPr>
      <w:r w:rsidRPr="00CB58FC">
        <w:rPr>
          <w:rFonts w:cs="Arial"/>
        </w:rPr>
        <w:t xml:space="preserve">In Denmark, a similar </w:t>
      </w:r>
      <w:r w:rsidR="00EF22BE" w:rsidRPr="00CB58FC">
        <w:rPr>
          <w:rFonts w:cs="Arial"/>
        </w:rPr>
        <w:t>3-year</w:t>
      </w:r>
      <w:r w:rsidRPr="00CB58FC">
        <w:rPr>
          <w:rFonts w:cs="Arial"/>
        </w:rPr>
        <w:t xml:space="preserve"> period applies after which, if not claimed, the Board of Directors, as mandated by the General Assembly, decides on the use of the funds. According to the legislation, legal uses of the funds may be (1) general social, educational, or cultural purposes that support artists or (2) to support the administration of the ARR by the authorized CMO. For the current accounting period, the board has decided to use the available funds for several cultural projects that support artists.</w:t>
      </w:r>
    </w:p>
    <w:p w14:paraId="3C96E044" w14:textId="1A1202EC" w:rsidR="003D6031" w:rsidRPr="00CB58FC" w:rsidRDefault="003D6031" w:rsidP="003D6031">
      <w:pPr>
        <w:pStyle w:val="ListParagraph"/>
        <w:numPr>
          <w:ilvl w:val="0"/>
          <w:numId w:val="11"/>
        </w:numPr>
        <w:rPr>
          <w:rFonts w:cs="Arial"/>
        </w:rPr>
      </w:pPr>
      <w:r w:rsidRPr="00CB58FC">
        <w:rPr>
          <w:rFonts w:cs="Arial"/>
        </w:rPr>
        <w:t>Germany – after 3 years, all funds are distributed to members (there being no mandatory collective management in Germany)</w:t>
      </w:r>
      <w:r w:rsidR="004B25CE" w:rsidRPr="00CB58FC">
        <w:rPr>
          <w:rFonts w:cs="Arial"/>
        </w:rPr>
        <w:t>.</w:t>
      </w:r>
    </w:p>
    <w:p w14:paraId="03266959" w14:textId="547D775B" w:rsidR="003D6031" w:rsidRPr="00CB58FC" w:rsidRDefault="003D6031" w:rsidP="003D6031">
      <w:pPr>
        <w:pStyle w:val="ListParagraph"/>
        <w:numPr>
          <w:ilvl w:val="0"/>
          <w:numId w:val="11"/>
        </w:numPr>
        <w:rPr>
          <w:rFonts w:cs="Arial"/>
        </w:rPr>
      </w:pPr>
      <w:r w:rsidRPr="00CB58FC">
        <w:rPr>
          <w:rFonts w:cs="Arial"/>
        </w:rPr>
        <w:t>Spain –</w:t>
      </w:r>
      <w:r w:rsidR="001D01BE" w:rsidRPr="00CB58FC">
        <w:rPr>
          <w:rFonts w:cs="Arial"/>
        </w:rPr>
        <w:t xml:space="preserve"> </w:t>
      </w:r>
      <w:r w:rsidRPr="00CB58FC">
        <w:rPr>
          <w:rFonts w:cs="Arial"/>
        </w:rPr>
        <w:t xml:space="preserve">3 years limitation period, then the funds go to </w:t>
      </w:r>
      <w:r w:rsidR="001D01BE" w:rsidRPr="00CB58FC">
        <w:rPr>
          <w:rFonts w:cs="Arial"/>
        </w:rPr>
        <w:t xml:space="preserve">the </w:t>
      </w:r>
      <w:r w:rsidRPr="00CB58FC">
        <w:rPr>
          <w:rFonts w:cs="Arial"/>
        </w:rPr>
        <w:t xml:space="preserve">Fine Arts Assistance Fund administered by a commission attached to the Ministry of Culture and Sports.  </w:t>
      </w:r>
      <w:r w:rsidRPr="00CB58FC">
        <w:rPr>
          <w:rFonts w:eastAsia="Times New Roman" w:cs="Arial"/>
          <w:lang w:val="en-US" w:eastAsia="en-GB"/>
        </w:rPr>
        <w:t xml:space="preserve">For the time being, this Fund is earmarked for artistic production </w:t>
      </w:r>
      <w:r w:rsidR="001D01BE" w:rsidRPr="00CB58FC">
        <w:rPr>
          <w:rFonts w:eastAsia="Times New Roman" w:cs="Arial"/>
          <w:lang w:val="en-US" w:eastAsia="en-GB"/>
        </w:rPr>
        <w:t>grants and</w:t>
      </w:r>
      <w:r w:rsidRPr="00CB58FC">
        <w:rPr>
          <w:rFonts w:eastAsia="Times New Roman" w:cs="Arial"/>
          <w:lang w:val="en-US" w:eastAsia="en-GB"/>
        </w:rPr>
        <w:t xml:space="preserve"> is managed through the regional governments and coordinated by the Ministry of Culture and Sport of the Central Government</w:t>
      </w:r>
      <w:r w:rsidR="004B25CE" w:rsidRPr="00CB58FC">
        <w:rPr>
          <w:rFonts w:eastAsia="Times New Roman" w:cs="Arial"/>
          <w:lang w:val="en-US" w:eastAsia="en-GB"/>
        </w:rPr>
        <w:t>.</w:t>
      </w:r>
    </w:p>
    <w:p w14:paraId="73A42A3C" w14:textId="6C58CC5A" w:rsidR="003D6031" w:rsidRPr="00CB58FC" w:rsidRDefault="003D6031" w:rsidP="003D6031">
      <w:pPr>
        <w:pStyle w:val="ListParagraph"/>
        <w:numPr>
          <w:ilvl w:val="0"/>
          <w:numId w:val="11"/>
        </w:numPr>
        <w:rPr>
          <w:rFonts w:cs="Arial"/>
        </w:rPr>
      </w:pPr>
      <w:r w:rsidRPr="00CB58FC">
        <w:rPr>
          <w:rFonts w:eastAsia="Times New Roman" w:cs="Arial"/>
          <w:lang w:val="en-US" w:eastAsia="en-GB"/>
        </w:rPr>
        <w:t xml:space="preserve">Italy – funds are retained for 5 years; if unclaimed in this period, the amounts are remitted to the National Institute for Welfare and Assistance for Painters and Sculptors, Musicians, Writers and Playwrights (ENAP), but SIAE advises that this body was recently </w:t>
      </w:r>
      <w:r w:rsidR="001D01BE" w:rsidRPr="00CB58FC">
        <w:rPr>
          <w:rFonts w:eastAsia="Times New Roman" w:cs="Arial"/>
          <w:lang w:val="en-US" w:eastAsia="en-GB"/>
        </w:rPr>
        <w:t>abolished,</w:t>
      </w:r>
      <w:r w:rsidRPr="00CB58FC">
        <w:rPr>
          <w:rFonts w:eastAsia="Times New Roman" w:cs="Arial"/>
          <w:lang w:val="en-US" w:eastAsia="en-GB"/>
        </w:rPr>
        <w:t xml:space="preserve"> and these funds are currently paid into a fund established at the National Social Insurance agency.</w:t>
      </w:r>
    </w:p>
    <w:p w14:paraId="7BF534C2" w14:textId="77777777" w:rsidR="003D6031" w:rsidRPr="00CB58FC" w:rsidRDefault="003D6031" w:rsidP="003D6031">
      <w:pPr>
        <w:pStyle w:val="ListParagraph"/>
        <w:numPr>
          <w:ilvl w:val="0"/>
          <w:numId w:val="11"/>
        </w:numPr>
        <w:rPr>
          <w:rFonts w:cs="Arial"/>
        </w:rPr>
      </w:pPr>
      <w:r w:rsidRPr="00CB58FC">
        <w:rPr>
          <w:rFonts w:eastAsia="Times New Roman" w:cs="Arial"/>
          <w:lang w:val="en-US" w:eastAsia="en-GB"/>
        </w:rPr>
        <w:t>Netherlands: this is an issue that does not generally arise, as ARR here is subject to voluntary collective management and Pictoright collects ARR only for right holders with whom Pictoright has an agreement (or with one of its sister societies). In the ‘rare case’ where ARR cannot be distributed, it is directed to general social and cultural purposes.</w:t>
      </w:r>
    </w:p>
    <w:p w14:paraId="08F5FC14" w14:textId="1A647184" w:rsidR="003D6031" w:rsidRPr="00CB58FC" w:rsidRDefault="003D6031" w:rsidP="003D6031">
      <w:pPr>
        <w:pStyle w:val="ListParagraph"/>
        <w:numPr>
          <w:ilvl w:val="0"/>
          <w:numId w:val="11"/>
        </w:numPr>
        <w:rPr>
          <w:rFonts w:cs="Arial"/>
        </w:rPr>
      </w:pPr>
      <w:r w:rsidRPr="00CB58FC">
        <w:rPr>
          <w:rFonts w:eastAsia="Times New Roman" w:cs="Arial"/>
          <w:lang w:val="en-US" w:eastAsia="en-GB"/>
        </w:rPr>
        <w:t xml:space="preserve"> </w:t>
      </w:r>
      <w:r w:rsidRPr="00CB58FC">
        <w:rPr>
          <w:rFonts w:cs="Arial"/>
        </w:rPr>
        <w:t xml:space="preserve">In France, undistributed </w:t>
      </w:r>
      <w:r w:rsidR="004B25CE" w:rsidRPr="00CB58FC">
        <w:rPr>
          <w:rFonts w:cs="Arial"/>
        </w:rPr>
        <w:t>ARR from</w:t>
      </w:r>
      <w:r w:rsidR="00DA5053" w:rsidRPr="00CB58FC">
        <w:rPr>
          <w:rFonts w:cs="Arial"/>
        </w:rPr>
        <w:t xml:space="preserve"> estates of authors without known heirs (‘vacant estates’) </w:t>
      </w:r>
      <w:r w:rsidRPr="00CB58FC">
        <w:rPr>
          <w:rFonts w:cs="Arial"/>
        </w:rPr>
        <w:t xml:space="preserve">is allocated to a public </w:t>
      </w:r>
      <w:r w:rsidR="00D615BC" w:rsidRPr="00CB58FC">
        <w:rPr>
          <w:rFonts w:cs="Arial"/>
        </w:rPr>
        <w:t>organization</w:t>
      </w:r>
      <w:r w:rsidRPr="00CB58FC">
        <w:rPr>
          <w:rFonts w:cs="Arial"/>
        </w:rPr>
        <w:t xml:space="preserve"> that manages the artist’s retirement fund (IRCEC)</w:t>
      </w:r>
      <w:r w:rsidR="00DA5053" w:rsidRPr="00CB58FC">
        <w:rPr>
          <w:rFonts w:cs="Arial"/>
        </w:rPr>
        <w:t>, but ADAGP is required to keep the funds for five years before doing this.</w:t>
      </w:r>
      <w:r w:rsidR="00DA5053" w:rsidRPr="00CB58FC">
        <w:rPr>
          <w:rStyle w:val="FootnoteReference"/>
          <w:rFonts w:cs="Arial"/>
        </w:rPr>
        <w:footnoteReference w:id="107"/>
      </w:r>
    </w:p>
    <w:p w14:paraId="090EFC15" w14:textId="77777777" w:rsidR="004B25CE" w:rsidRPr="00CB58FC" w:rsidRDefault="004B25CE" w:rsidP="0015390C">
      <w:pPr>
        <w:pStyle w:val="ListParagraph"/>
        <w:ind w:left="360"/>
        <w:rPr>
          <w:rFonts w:cs="Arial"/>
        </w:rPr>
      </w:pPr>
    </w:p>
    <w:p w14:paraId="5FD439A5" w14:textId="6A52E458" w:rsidR="003D6031" w:rsidRPr="00CB58FC" w:rsidRDefault="003D6031" w:rsidP="003D6031">
      <w:pPr>
        <w:pStyle w:val="ListParagraph"/>
        <w:numPr>
          <w:ilvl w:val="0"/>
          <w:numId w:val="16"/>
        </w:numPr>
        <w:rPr>
          <w:rFonts w:cs="Arial"/>
        </w:rPr>
      </w:pPr>
      <w:r w:rsidRPr="00CB58FC">
        <w:rPr>
          <w:rFonts w:cs="Arial"/>
        </w:rPr>
        <w:t xml:space="preserve">Outside </w:t>
      </w:r>
      <w:r w:rsidR="00B33380" w:rsidRPr="00CB58FC">
        <w:rPr>
          <w:rFonts w:cs="Arial"/>
        </w:rPr>
        <w:t xml:space="preserve">the </w:t>
      </w:r>
      <w:r w:rsidRPr="00CB58FC">
        <w:rPr>
          <w:rFonts w:cs="Arial"/>
        </w:rPr>
        <w:t>EU</w:t>
      </w:r>
      <w:r w:rsidR="00B33380" w:rsidRPr="00CB58FC">
        <w:rPr>
          <w:rFonts w:cs="Arial"/>
        </w:rPr>
        <w:t>, the following approaches are to be seen</w:t>
      </w:r>
      <w:r w:rsidRPr="00CB58FC">
        <w:rPr>
          <w:rFonts w:cs="Arial"/>
        </w:rPr>
        <w:t>:</w:t>
      </w:r>
      <w:r w:rsidR="00B33380" w:rsidRPr="00CB58FC">
        <w:rPr>
          <w:rStyle w:val="FootnoteReference"/>
          <w:rFonts w:cs="Arial"/>
        </w:rPr>
        <w:footnoteReference w:id="108"/>
      </w:r>
    </w:p>
    <w:p w14:paraId="6BB4597D" w14:textId="0233D26C" w:rsidR="003D6031" w:rsidRPr="00CB58FC" w:rsidRDefault="003D6031" w:rsidP="003D6031">
      <w:pPr>
        <w:pStyle w:val="ListParagraph"/>
        <w:numPr>
          <w:ilvl w:val="0"/>
          <w:numId w:val="14"/>
        </w:numPr>
        <w:rPr>
          <w:rFonts w:cs="Arial"/>
        </w:rPr>
      </w:pPr>
      <w:r w:rsidRPr="00CB58FC">
        <w:rPr>
          <w:rFonts w:cs="Arial"/>
        </w:rPr>
        <w:t xml:space="preserve">UK – </w:t>
      </w:r>
      <w:r w:rsidR="00765357" w:rsidRPr="00CB58FC">
        <w:rPr>
          <w:rFonts w:cs="Arial"/>
        </w:rPr>
        <w:t xml:space="preserve">in the case of DACS, </w:t>
      </w:r>
      <w:r w:rsidRPr="00CB58FC">
        <w:rPr>
          <w:rFonts w:cs="Arial"/>
        </w:rPr>
        <w:t>funds are held for 6 years; after this, they are dealt with by DACS’ voting members in the annual general meeting: in 2023, members voted for funds to be returned to AMP</w:t>
      </w:r>
      <w:r w:rsidR="001D01BE" w:rsidRPr="00CB58FC">
        <w:rPr>
          <w:rFonts w:cs="Arial"/>
        </w:rPr>
        <w:t>s</w:t>
      </w:r>
      <w:r w:rsidRPr="00CB58FC">
        <w:rPr>
          <w:rFonts w:cs="Arial"/>
        </w:rPr>
        <w:t xml:space="preserve"> that originally paid the funds to DACS.</w:t>
      </w:r>
    </w:p>
    <w:p w14:paraId="00D9F57E" w14:textId="77777777" w:rsidR="003D6031" w:rsidRPr="00CB58FC" w:rsidRDefault="003D6031" w:rsidP="003D6031">
      <w:pPr>
        <w:pStyle w:val="ListParagraph"/>
        <w:numPr>
          <w:ilvl w:val="0"/>
          <w:numId w:val="14"/>
        </w:numPr>
        <w:rPr>
          <w:rFonts w:cs="Arial"/>
        </w:rPr>
      </w:pPr>
      <w:r w:rsidRPr="00CB58FC">
        <w:rPr>
          <w:rFonts w:cs="Arial"/>
        </w:rPr>
        <w:lastRenderedPageBreak/>
        <w:t>Norway – funds are held for 3 years, after which they can be used for other purposes, such as social, cultural or educational purposes</w:t>
      </w:r>
    </w:p>
    <w:p w14:paraId="44AB9799" w14:textId="77777777" w:rsidR="003D6031" w:rsidRPr="00CB58FC" w:rsidRDefault="003D6031" w:rsidP="003D6031">
      <w:pPr>
        <w:pStyle w:val="ListParagraph"/>
        <w:numPr>
          <w:ilvl w:val="0"/>
          <w:numId w:val="14"/>
        </w:numPr>
        <w:rPr>
          <w:rFonts w:cs="Arial"/>
        </w:rPr>
      </w:pPr>
      <w:r w:rsidRPr="00CB58FC">
        <w:rPr>
          <w:rFonts w:cs="Arial"/>
        </w:rPr>
        <w:t xml:space="preserve">Australia – a series of steps to be followed are set out in the legislation (see Table below) but ultimately the amount is retained for use in the collection and distribution of resale royalties and for enforcement purposes </w:t>
      </w:r>
    </w:p>
    <w:p w14:paraId="05E3A499" w14:textId="77777777" w:rsidR="003D6031" w:rsidRPr="00CB58FC" w:rsidRDefault="003D6031" w:rsidP="003D6031">
      <w:pPr>
        <w:pStyle w:val="ListParagraph"/>
        <w:numPr>
          <w:ilvl w:val="0"/>
          <w:numId w:val="14"/>
        </w:numPr>
        <w:rPr>
          <w:rFonts w:cs="Arial"/>
        </w:rPr>
      </w:pPr>
      <w:r w:rsidRPr="00CB58FC">
        <w:rPr>
          <w:rFonts w:cs="Arial"/>
        </w:rPr>
        <w:t xml:space="preserve">Uruguay – these funds are carried over into successive periods and retained for two years after which the funds are directed to cultural and social assistance of members. </w:t>
      </w:r>
    </w:p>
    <w:p w14:paraId="092E42A0" w14:textId="77777777" w:rsidR="003D6031" w:rsidRPr="00CB58FC" w:rsidRDefault="003D6031" w:rsidP="003D6031">
      <w:pPr>
        <w:ind w:left="360"/>
      </w:pPr>
      <w:r w:rsidRPr="00CB58FC">
        <w:t>For a sample of national provisions, see the following Table.</w:t>
      </w:r>
    </w:p>
    <w:p w14:paraId="4EBE9AB6" w14:textId="77777777" w:rsidR="003D6031" w:rsidRPr="00CB58FC" w:rsidRDefault="003D6031" w:rsidP="003D6031">
      <w:pPr>
        <w:pStyle w:val="Heading1"/>
        <w:rPr>
          <w:b w:val="0"/>
          <w:bCs w:val="0"/>
          <w:szCs w:val="22"/>
        </w:rPr>
      </w:pPr>
      <w:r w:rsidRPr="00CB58FC">
        <w:rPr>
          <w:b w:val="0"/>
          <w:bCs w:val="0"/>
          <w:szCs w:val="22"/>
        </w:rPr>
        <w:t xml:space="preserve">TABLE 28 – UNALLOCATED OR UNDISTRIBUTED ARR PAYMENTS </w:t>
      </w:r>
    </w:p>
    <w:p w14:paraId="014226DE" w14:textId="77777777" w:rsidR="003D6031" w:rsidRPr="00CB58FC"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CB58FC" w14:paraId="5B99716B" w14:textId="10917E05" w:rsidTr="0015390C">
        <w:tc>
          <w:tcPr>
            <w:tcW w:w="2674" w:type="dxa"/>
          </w:tcPr>
          <w:p w14:paraId="61D9B198" w14:textId="77777777" w:rsidR="0093188F" w:rsidRPr="00CB58FC" w:rsidRDefault="0093188F" w:rsidP="009505EE">
            <w:pPr>
              <w:rPr>
                <w:b/>
              </w:rPr>
            </w:pPr>
            <w:r w:rsidRPr="00CB58FC">
              <w:rPr>
                <w:b/>
              </w:rPr>
              <w:t>Region or country</w:t>
            </w:r>
          </w:p>
        </w:tc>
        <w:tc>
          <w:tcPr>
            <w:tcW w:w="3633" w:type="dxa"/>
          </w:tcPr>
          <w:p w14:paraId="777EEEBB" w14:textId="77777777" w:rsidR="0093188F" w:rsidRPr="00CB58FC" w:rsidRDefault="0093188F" w:rsidP="009505EE">
            <w:pPr>
              <w:rPr>
                <w:b/>
                <w:sz w:val="20"/>
                <w:szCs w:val="20"/>
              </w:rPr>
            </w:pPr>
            <w:r w:rsidRPr="00CB58FC">
              <w:rPr>
                <w:b/>
                <w:sz w:val="20"/>
                <w:szCs w:val="20"/>
              </w:rPr>
              <w:t>Legislative or other provisions</w:t>
            </w:r>
          </w:p>
        </w:tc>
        <w:tc>
          <w:tcPr>
            <w:tcW w:w="3185" w:type="dxa"/>
          </w:tcPr>
          <w:p w14:paraId="389C3B2B" w14:textId="0944BB13" w:rsidR="0093188F" w:rsidRPr="00CB58FC" w:rsidRDefault="0093188F" w:rsidP="009505EE">
            <w:pPr>
              <w:rPr>
                <w:b/>
                <w:sz w:val="20"/>
              </w:rPr>
            </w:pPr>
            <w:r w:rsidRPr="00CB58FC">
              <w:rPr>
                <w:b/>
                <w:sz w:val="20"/>
              </w:rPr>
              <w:t>Comments</w:t>
            </w:r>
          </w:p>
        </w:tc>
      </w:tr>
      <w:tr w:rsidR="0093188F" w:rsidRPr="00CB58FC" w14:paraId="74444193" w14:textId="5C96A0AF" w:rsidTr="0015390C">
        <w:tc>
          <w:tcPr>
            <w:tcW w:w="2674" w:type="dxa"/>
          </w:tcPr>
          <w:p w14:paraId="28A10EE2" w14:textId="3B14E843" w:rsidR="0093188F" w:rsidRPr="00CB58FC" w:rsidRDefault="0093188F" w:rsidP="009505EE">
            <w:pPr>
              <w:rPr>
                <w:sz w:val="20"/>
                <w:szCs w:val="20"/>
              </w:rPr>
            </w:pPr>
            <w:r w:rsidRPr="00CB58FC">
              <w:rPr>
                <w:sz w:val="20"/>
                <w:szCs w:val="20"/>
              </w:rPr>
              <w:t>EU</w:t>
            </w:r>
            <w:r w:rsidR="00B33380" w:rsidRPr="00CB58FC">
              <w:rPr>
                <w:rStyle w:val="FootnoteReference"/>
                <w:sz w:val="20"/>
                <w:szCs w:val="20"/>
              </w:rPr>
              <w:footnoteReference w:id="109"/>
            </w:r>
          </w:p>
        </w:tc>
        <w:tc>
          <w:tcPr>
            <w:tcW w:w="3633" w:type="dxa"/>
          </w:tcPr>
          <w:p w14:paraId="45C4B4FD" w14:textId="77777777" w:rsidR="0093188F" w:rsidRPr="00CB58FC" w:rsidRDefault="0093188F" w:rsidP="009505EE">
            <w:pPr>
              <w:pStyle w:val="CM3"/>
              <w:spacing w:before="60" w:after="60"/>
              <w:jc w:val="both"/>
              <w:rPr>
                <w:rFonts w:ascii="Arial" w:hAnsi="Arial" w:cs="Arial"/>
                <w:sz w:val="20"/>
                <w:szCs w:val="20"/>
              </w:rPr>
            </w:pPr>
            <w:r w:rsidRPr="00CB58FC">
              <w:rPr>
                <w:rFonts w:ascii="Arial" w:hAnsi="Arial" w:cs="Arial"/>
                <w:sz w:val="20"/>
                <w:szCs w:val="20"/>
              </w:rPr>
              <w:t>….</w:t>
            </w:r>
          </w:p>
          <w:p w14:paraId="2660334A" w14:textId="5A766BDD" w:rsidR="0093188F" w:rsidRPr="00CB58FC" w:rsidRDefault="0093188F" w:rsidP="00EC32DF">
            <w:pPr>
              <w:pStyle w:val="CM4"/>
              <w:spacing w:before="60" w:after="60"/>
              <w:jc w:val="both"/>
              <w:rPr>
                <w:rFonts w:ascii="Arial" w:hAnsi="Arial" w:cs="Arial"/>
                <w:sz w:val="20"/>
                <w:szCs w:val="20"/>
              </w:rPr>
            </w:pPr>
            <w:r w:rsidRPr="00CB58FC">
              <w:rPr>
                <w:rFonts w:ascii="Arial" w:hAnsi="Arial" w:cs="Arial"/>
                <w:sz w:val="20"/>
                <w:szCs w:val="20"/>
              </w:rPr>
              <w:t xml:space="preserve">4. Where the amounts due to </w:t>
            </w:r>
            <w:r w:rsidR="00D615BC" w:rsidRPr="00CB58FC">
              <w:rPr>
                <w:rFonts w:ascii="Arial" w:hAnsi="Arial" w:cs="Arial"/>
                <w:sz w:val="20"/>
                <w:szCs w:val="20"/>
              </w:rPr>
              <w:t>right holders</w:t>
            </w:r>
            <w:r w:rsidRPr="00CB58FC">
              <w:rPr>
                <w:rFonts w:ascii="Arial" w:hAnsi="Arial" w:cs="Arial"/>
                <w:sz w:val="20"/>
                <w:szCs w:val="20"/>
              </w:rPr>
              <w:t xml:space="preserve"> cannot be distributed after three years from the end of the financial year in which the collection of the rights revenue occurred, and provided that the collective management </w:t>
            </w:r>
            <w:r w:rsidR="00D615BC" w:rsidRPr="00CB58FC">
              <w:rPr>
                <w:rFonts w:ascii="Arial" w:hAnsi="Arial" w:cs="Arial"/>
                <w:sz w:val="20"/>
                <w:szCs w:val="20"/>
              </w:rPr>
              <w:t>organization</w:t>
            </w:r>
            <w:r w:rsidRPr="00CB58FC">
              <w:rPr>
                <w:rFonts w:ascii="Arial" w:hAnsi="Arial" w:cs="Arial"/>
                <w:sz w:val="20"/>
                <w:szCs w:val="20"/>
              </w:rPr>
              <w:t xml:space="preserve"> has taken all necessary measures to identify and locate the right</w:t>
            </w:r>
            <w:r w:rsidR="00D615BC" w:rsidRPr="00CB58FC">
              <w:rPr>
                <w:rFonts w:ascii="Arial" w:hAnsi="Arial" w:cs="Arial"/>
                <w:sz w:val="20"/>
                <w:szCs w:val="20"/>
              </w:rPr>
              <w:t xml:space="preserve"> </w:t>
            </w:r>
            <w:r w:rsidRPr="00CB58FC">
              <w:rPr>
                <w:rFonts w:ascii="Arial" w:hAnsi="Arial" w:cs="Arial"/>
                <w:sz w:val="20"/>
                <w:szCs w:val="20"/>
              </w:rPr>
              <w:t xml:space="preserve">holders referred to in paragraph 3, those amounts shall be deemed non-distributable. </w:t>
            </w:r>
          </w:p>
          <w:p w14:paraId="539C6E81" w14:textId="1690492A" w:rsidR="0093188F" w:rsidRPr="00CB58FC" w:rsidRDefault="0093188F" w:rsidP="00EC32DF">
            <w:pPr>
              <w:pStyle w:val="CM4"/>
              <w:spacing w:before="60" w:after="60"/>
              <w:jc w:val="both"/>
              <w:rPr>
                <w:rFonts w:ascii="Arial" w:hAnsi="Arial" w:cs="Arial"/>
                <w:sz w:val="20"/>
                <w:szCs w:val="20"/>
              </w:rPr>
            </w:pPr>
            <w:r w:rsidRPr="00CB58FC">
              <w:rPr>
                <w:rFonts w:ascii="Arial" w:hAnsi="Arial" w:cs="Arial"/>
                <w:sz w:val="20"/>
                <w:szCs w:val="20"/>
              </w:rPr>
              <w:t xml:space="preserve">5. The general assembly of members of a collective management </w:t>
            </w:r>
            <w:r w:rsidR="00D615BC" w:rsidRPr="00CB58FC">
              <w:rPr>
                <w:rFonts w:ascii="Arial" w:hAnsi="Arial" w:cs="Arial"/>
                <w:sz w:val="20"/>
                <w:szCs w:val="20"/>
              </w:rPr>
              <w:t>organization</w:t>
            </w:r>
            <w:r w:rsidRPr="00CB58FC">
              <w:rPr>
                <w:rFonts w:ascii="Arial" w:hAnsi="Arial" w:cs="Arial"/>
                <w:sz w:val="20"/>
                <w:szCs w:val="20"/>
              </w:rPr>
              <w:t xml:space="preserve"> shall decide on the use of the non-distributable amounts in accordance with point (b) of Article 8(5), without prejudice to the right of </w:t>
            </w:r>
            <w:r w:rsidR="00D615BC" w:rsidRPr="00CB58FC">
              <w:rPr>
                <w:rFonts w:ascii="Arial" w:hAnsi="Arial" w:cs="Arial"/>
                <w:sz w:val="20"/>
                <w:szCs w:val="20"/>
              </w:rPr>
              <w:t>rightsholders</w:t>
            </w:r>
            <w:r w:rsidRPr="00CB58FC">
              <w:rPr>
                <w:rFonts w:ascii="Arial" w:hAnsi="Arial" w:cs="Arial"/>
                <w:sz w:val="20"/>
                <w:szCs w:val="20"/>
              </w:rPr>
              <w:t xml:space="preserve"> to claim such amounts from the collective management </w:t>
            </w:r>
            <w:r w:rsidR="00D615BC" w:rsidRPr="00CB58FC">
              <w:rPr>
                <w:rFonts w:ascii="Arial" w:hAnsi="Arial" w:cs="Arial"/>
                <w:sz w:val="20"/>
                <w:szCs w:val="20"/>
              </w:rPr>
              <w:t>organization</w:t>
            </w:r>
            <w:r w:rsidRPr="00CB58FC">
              <w:rPr>
                <w:rFonts w:ascii="Arial" w:hAnsi="Arial" w:cs="Arial"/>
                <w:sz w:val="20"/>
                <w:szCs w:val="20"/>
              </w:rPr>
              <w:t xml:space="preserve"> in accordance with the laws of the Member States on the statute of limitations of claims. </w:t>
            </w:r>
          </w:p>
          <w:p w14:paraId="334835C9" w14:textId="5693A3D6" w:rsidR="0093188F" w:rsidRPr="00CB58FC" w:rsidRDefault="0093188F" w:rsidP="0015390C">
            <w:pPr>
              <w:jc w:val="both"/>
              <w:rPr>
                <w:sz w:val="20"/>
                <w:szCs w:val="20"/>
              </w:rPr>
            </w:pPr>
            <w:r w:rsidRPr="00CB58FC">
              <w:rPr>
                <w:sz w:val="20"/>
                <w:szCs w:val="20"/>
              </w:rPr>
              <w:t xml:space="preserve">6. Member States may limit or determine the permitted uses of non-distributable amounts, inter alia, by ensuring that such amounts are used in a separate and independent way in order to fund social, cultural and educational activities for the benefit of </w:t>
            </w:r>
            <w:r w:rsidR="00D615BC" w:rsidRPr="00CB58FC">
              <w:rPr>
                <w:sz w:val="20"/>
                <w:szCs w:val="20"/>
              </w:rPr>
              <w:t>right holders</w:t>
            </w:r>
            <w:r w:rsidRPr="00CB58FC">
              <w:rPr>
                <w:sz w:val="20"/>
                <w:szCs w:val="20"/>
              </w:rPr>
              <w:t>.</w:t>
            </w:r>
          </w:p>
        </w:tc>
        <w:tc>
          <w:tcPr>
            <w:tcW w:w="3185" w:type="dxa"/>
          </w:tcPr>
          <w:p w14:paraId="2834C409" w14:textId="381E109A" w:rsidR="0004058F" w:rsidRPr="00CB58FC" w:rsidRDefault="00EC32DF" w:rsidP="00EC32DF">
            <w:pPr>
              <w:pStyle w:val="CM3"/>
              <w:numPr>
                <w:ilvl w:val="0"/>
                <w:numId w:val="40"/>
              </w:numPr>
              <w:spacing w:before="60" w:after="60"/>
              <w:jc w:val="both"/>
              <w:rPr>
                <w:rFonts w:ascii="Arial" w:hAnsi="Arial" w:cs="Arial"/>
                <w:sz w:val="20"/>
                <w:szCs w:val="20"/>
              </w:rPr>
            </w:pPr>
            <w:r w:rsidRPr="00CB58FC">
              <w:rPr>
                <w:rFonts w:ascii="Arial" w:hAnsi="Arial" w:cs="Arial"/>
                <w:sz w:val="20"/>
                <w:szCs w:val="20"/>
              </w:rPr>
              <w:t xml:space="preserve">General guidelines that provide for members of CMO to determine fate of these funds after a given time, but subject to national law, which may also stipulate how and for what </w:t>
            </w:r>
            <w:r w:rsidR="00E617FA" w:rsidRPr="00CB58FC">
              <w:rPr>
                <w:rFonts w:ascii="Arial" w:hAnsi="Arial" w:cs="Arial"/>
                <w:sz w:val="20"/>
                <w:szCs w:val="20"/>
              </w:rPr>
              <w:t>purposes such</w:t>
            </w:r>
            <w:r w:rsidRPr="00CB58FC">
              <w:rPr>
                <w:rFonts w:ascii="Arial" w:hAnsi="Arial" w:cs="Arial"/>
                <w:sz w:val="20"/>
                <w:szCs w:val="20"/>
              </w:rPr>
              <w:t xml:space="preserve"> funds may be used</w:t>
            </w:r>
            <w:r w:rsidR="0004058F" w:rsidRPr="00CB58FC">
              <w:rPr>
                <w:rFonts w:ascii="Arial" w:hAnsi="Arial" w:cs="Arial"/>
                <w:sz w:val="20"/>
                <w:szCs w:val="20"/>
              </w:rPr>
              <w:t>.</w:t>
            </w:r>
          </w:p>
          <w:p w14:paraId="199F3F08" w14:textId="6B0CE2C6" w:rsidR="0093188F" w:rsidRPr="00CB58FC" w:rsidRDefault="0004058F" w:rsidP="0015390C">
            <w:pPr>
              <w:pStyle w:val="CM3"/>
              <w:numPr>
                <w:ilvl w:val="0"/>
                <w:numId w:val="40"/>
              </w:numPr>
              <w:spacing w:before="60" w:after="60"/>
              <w:jc w:val="both"/>
              <w:rPr>
                <w:rFonts w:ascii="Arial" w:hAnsi="Arial" w:cs="Arial"/>
                <w:sz w:val="20"/>
                <w:szCs w:val="20"/>
              </w:rPr>
            </w:pPr>
            <w:r w:rsidRPr="00CB58FC">
              <w:rPr>
                <w:rFonts w:ascii="Arial" w:hAnsi="Arial" w:cs="Arial"/>
                <w:sz w:val="20"/>
                <w:szCs w:val="20"/>
              </w:rPr>
              <w:t>Within these guidelines, various approaches are adopted in the several EU member states listed below: Hungary, France, Spain, and, formerly, the UK.</w:t>
            </w:r>
          </w:p>
        </w:tc>
      </w:tr>
      <w:tr w:rsidR="0093188F" w:rsidRPr="00CB58FC" w14:paraId="3CC161BA" w14:textId="0D41C723" w:rsidTr="0015390C">
        <w:tc>
          <w:tcPr>
            <w:tcW w:w="2674" w:type="dxa"/>
          </w:tcPr>
          <w:p w14:paraId="79949145" w14:textId="395DB644" w:rsidR="0093188F" w:rsidRPr="00CB58FC" w:rsidRDefault="0093188F" w:rsidP="009505EE">
            <w:pPr>
              <w:rPr>
                <w:sz w:val="20"/>
                <w:szCs w:val="20"/>
              </w:rPr>
            </w:pPr>
            <w:r w:rsidRPr="00CB58FC">
              <w:rPr>
                <w:sz w:val="20"/>
                <w:szCs w:val="20"/>
              </w:rPr>
              <w:t>Hungary</w:t>
            </w:r>
            <w:r w:rsidR="00EC32DF" w:rsidRPr="00CB58FC">
              <w:rPr>
                <w:rStyle w:val="FootnoteReference"/>
                <w:sz w:val="20"/>
                <w:szCs w:val="20"/>
              </w:rPr>
              <w:footnoteReference w:id="110"/>
            </w:r>
            <w:r w:rsidRPr="00CB58FC">
              <w:rPr>
                <w:sz w:val="20"/>
                <w:szCs w:val="20"/>
              </w:rPr>
              <w:t xml:space="preserve"> </w:t>
            </w:r>
          </w:p>
        </w:tc>
        <w:tc>
          <w:tcPr>
            <w:tcW w:w="3633" w:type="dxa"/>
          </w:tcPr>
          <w:p w14:paraId="5396016C" w14:textId="18951CF6" w:rsidR="0093188F" w:rsidRPr="00CB58FC" w:rsidRDefault="00EC32DF" w:rsidP="0015390C">
            <w:pPr>
              <w:jc w:val="both"/>
              <w:rPr>
                <w:sz w:val="20"/>
                <w:szCs w:val="20"/>
              </w:rPr>
            </w:pPr>
            <w:r w:rsidRPr="00CB58FC">
              <w:rPr>
                <w:sz w:val="20"/>
                <w:szCs w:val="20"/>
              </w:rPr>
              <w:t xml:space="preserve">Section 42(1): </w:t>
            </w:r>
            <w:r w:rsidR="0093188F" w:rsidRPr="00CB58FC">
              <w:rPr>
                <w:sz w:val="20"/>
                <w:szCs w:val="20"/>
              </w:rPr>
              <w:t xml:space="preserve">if not claimed, the Board of Directors, as mandated by the General Assembly, decides on the use of the funds. According to the legislation, legal uses of the funds may be 1) general social, educational or cultural purposes that support artists or </w:t>
            </w:r>
            <w:r w:rsidR="0093188F" w:rsidRPr="00CB58FC">
              <w:rPr>
                <w:sz w:val="20"/>
                <w:szCs w:val="20"/>
              </w:rPr>
              <w:lastRenderedPageBreak/>
              <w:t>2) to support the administration of the ARR by the authorized CMO. For the current accounting period, the board has decided to use the available funds for a number of cultural projects that support artists.</w:t>
            </w:r>
          </w:p>
        </w:tc>
        <w:tc>
          <w:tcPr>
            <w:tcW w:w="3185" w:type="dxa"/>
          </w:tcPr>
          <w:p w14:paraId="2F814A28" w14:textId="15F560FE" w:rsidR="0093188F" w:rsidRPr="00CB58FC" w:rsidRDefault="00EC32DF" w:rsidP="0015390C">
            <w:pPr>
              <w:pStyle w:val="ListParagraph"/>
              <w:numPr>
                <w:ilvl w:val="0"/>
                <w:numId w:val="40"/>
              </w:numPr>
              <w:rPr>
                <w:sz w:val="20"/>
              </w:rPr>
            </w:pPr>
            <w:r w:rsidRPr="00CB58FC">
              <w:rPr>
                <w:sz w:val="20"/>
                <w:szCs w:val="24"/>
              </w:rPr>
              <w:lastRenderedPageBreak/>
              <w:t>Allows for Board of CMO to decide how funds should be used (for artist-supportive purposes)</w:t>
            </w:r>
          </w:p>
        </w:tc>
      </w:tr>
      <w:tr w:rsidR="0093188F" w:rsidRPr="00CB58FC" w14:paraId="1344B811" w14:textId="0E069C1A" w:rsidTr="0015390C">
        <w:tc>
          <w:tcPr>
            <w:tcW w:w="2674" w:type="dxa"/>
          </w:tcPr>
          <w:p w14:paraId="61CF0013" w14:textId="444F6F88" w:rsidR="0093188F" w:rsidRPr="00CB58FC" w:rsidRDefault="0093188F" w:rsidP="009505EE">
            <w:pPr>
              <w:rPr>
                <w:sz w:val="20"/>
                <w:szCs w:val="20"/>
              </w:rPr>
            </w:pPr>
            <w:r w:rsidRPr="00CB58FC">
              <w:rPr>
                <w:sz w:val="20"/>
                <w:szCs w:val="20"/>
              </w:rPr>
              <w:t>Australia</w:t>
            </w:r>
            <w:r w:rsidR="00EC32DF" w:rsidRPr="00CB58FC">
              <w:rPr>
                <w:rStyle w:val="FootnoteReference"/>
                <w:sz w:val="20"/>
                <w:szCs w:val="20"/>
              </w:rPr>
              <w:footnoteReference w:id="111"/>
            </w:r>
            <w:r w:rsidRPr="00CB58FC">
              <w:rPr>
                <w:sz w:val="20"/>
                <w:szCs w:val="20"/>
              </w:rPr>
              <w:t xml:space="preserve"> </w:t>
            </w:r>
          </w:p>
        </w:tc>
        <w:tc>
          <w:tcPr>
            <w:tcW w:w="3633" w:type="dxa"/>
          </w:tcPr>
          <w:p w14:paraId="5D42BB22"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31 Return of unclaimed resale royalty</w:t>
            </w:r>
          </w:p>
          <w:p w14:paraId="6411E63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(1) If:</w:t>
            </w:r>
          </w:p>
          <w:p w14:paraId="1DB97DCF"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resale royalty is paid to the collecting society on the commercial resale of an artwork; and</w:t>
            </w:r>
          </w:p>
          <w:p w14:paraId="701C4005" w14:textId="0BFBBE78"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 xml:space="preserve">(b) despite using its best </w:t>
            </w:r>
            <w:r w:rsidR="00D615BC" w:rsidRPr="00CB58FC">
              <w:rPr>
                <w:rFonts w:eastAsiaTheme="minorHAnsi"/>
                <w:sz w:val="20"/>
                <w:szCs w:val="20"/>
                <w14:ligatures w14:val="standardContextual"/>
              </w:rPr>
              <w:t>endeavors</w:t>
            </w:r>
            <w:r w:rsidRPr="00CB58FC">
              <w:rPr>
                <w:rFonts w:eastAsiaTheme="minorHAnsi"/>
                <w:sz w:val="20"/>
                <w:szCs w:val="20"/>
                <w14:ligatures w14:val="standardContextual"/>
              </w:rPr>
              <w:t>, the collecting society is unable to locate a holder of the resale royalty right on the commercial resale or an interest in the right during a period of 6 years beginning at the time of the commercial resale;</w:t>
            </w:r>
          </w:p>
          <w:p w14:paraId="06D0E725"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the collecting society must deal with that holder’s share of the resale royalty together with interest earned on that share less the collecting society’s administration fee, in accordance with subsection (2).</w:t>
            </w:r>
          </w:p>
          <w:p w14:paraId="17403C81"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(2) The collecting society must:</w:t>
            </w:r>
          </w:p>
          <w:p w14:paraId="165DCDF9"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(a) distribute the amount in equal shares to those of the remaining holders of the resale royalty right who can be located; or</w:t>
            </w:r>
          </w:p>
          <w:p w14:paraId="27B38A46" w14:textId="77777777" w:rsidR="0093188F" w:rsidRPr="00CB58FC" w:rsidRDefault="0093188F" w:rsidP="0015390C">
            <w:pPr>
              <w:autoSpaceDE w:val="0"/>
              <w:autoSpaceDN w:val="0"/>
              <w:adjustRightInd w:val="0"/>
              <w:jc w:val="both"/>
              <w:rPr>
                <w:rFonts w:eastAsiaTheme="minorHAnsi"/>
                <w:sz w:val="20"/>
                <w:szCs w:val="20"/>
                <w14:ligatures w14:val="standardContextual"/>
              </w:rPr>
            </w:pPr>
            <w:r w:rsidRPr="00CB58FC">
              <w:rPr>
                <w:rFonts w:eastAsiaTheme="minorHAnsi"/>
                <w:sz w:val="20"/>
                <w:szCs w:val="20"/>
                <w14:ligatures w14:val="standardContextual"/>
              </w:rPr>
              <w:t>(b) if no such person can be located—distribute the amount in equal shares to the persons who paid the resale royalty and who can be located; or</w:t>
            </w:r>
          </w:p>
          <w:p w14:paraId="2DCC577A" w14:textId="77777777" w:rsidR="0093188F" w:rsidRPr="00CB58FC" w:rsidRDefault="0093188F" w:rsidP="0015390C">
            <w:pPr>
              <w:autoSpaceDE w:val="0"/>
              <w:autoSpaceDN w:val="0"/>
              <w:adjustRightInd w:val="0"/>
              <w:jc w:val="both"/>
              <w:rPr>
                <w:sz w:val="20"/>
                <w:szCs w:val="20"/>
              </w:rPr>
            </w:pPr>
            <w:r w:rsidRPr="00CB58FC">
              <w:rPr>
                <w:rFonts w:eastAsiaTheme="minorHAnsi"/>
                <w:sz w:val="20"/>
                <w:szCs w:val="20"/>
                <w14:ligatures w14:val="standardContextual"/>
              </w:rPr>
              <w:t>(c) if no such person can be located—retain the amount for use in the collection and distribution of resale royalties and the enforcement of resale royalty rights.</w:t>
            </w:r>
          </w:p>
        </w:tc>
        <w:tc>
          <w:tcPr>
            <w:tcW w:w="3185" w:type="dxa"/>
          </w:tcPr>
          <w:p w14:paraId="69E110BC" w14:textId="5DEA195B" w:rsidR="0093188F" w:rsidRPr="00CB58FC" w:rsidRDefault="00EC32DF" w:rsidP="00EC32DF">
            <w:pPr>
              <w:pStyle w:val="ListParagraph"/>
              <w:numPr>
                <w:ilvl w:val="0"/>
                <w:numId w:val="40"/>
              </w:numPr>
              <w:autoSpaceDE w:val="0"/>
              <w:autoSpaceDN w:val="0"/>
              <w:adjustRightInd w:val="0"/>
              <w:rPr>
                <w:rFonts w:eastAsiaTheme="minorHAnsi"/>
                <w:sz w:val="20"/>
                <w:szCs w:val="24"/>
                <w14:ligatures w14:val="standardContextual"/>
              </w:rPr>
            </w:pPr>
            <w:r w:rsidRPr="00CB58FC">
              <w:rPr>
                <w:rFonts w:eastAsiaTheme="minorHAnsi"/>
                <w:sz w:val="20"/>
                <w:szCs w:val="24"/>
                <w14:ligatures w14:val="standardContextual"/>
              </w:rPr>
              <w:t xml:space="preserve">Requires ‘best endeavors’ to locate </w:t>
            </w:r>
            <w:r w:rsidR="00D615BC" w:rsidRPr="00CB58FC">
              <w:rPr>
                <w:rFonts w:eastAsiaTheme="minorHAnsi"/>
                <w:sz w:val="20"/>
                <w:szCs w:val="24"/>
                <w14:ligatures w14:val="standardContextual"/>
              </w:rPr>
              <w:t xml:space="preserve">the </w:t>
            </w:r>
            <w:r w:rsidRPr="00CB58FC">
              <w:rPr>
                <w:rFonts w:eastAsiaTheme="minorHAnsi"/>
                <w:sz w:val="20"/>
                <w:szCs w:val="24"/>
                <w14:ligatures w14:val="standardContextual"/>
              </w:rPr>
              <w:t>right holder.</w:t>
            </w:r>
          </w:p>
          <w:p w14:paraId="2E9F546F" w14:textId="66467506" w:rsidR="00EC32DF" w:rsidRPr="00CB58FC" w:rsidRDefault="00EC32DF" w:rsidP="0015390C">
            <w:pPr>
              <w:pStyle w:val="ListParagraph"/>
              <w:numPr>
                <w:ilvl w:val="0"/>
                <w:numId w:val="40"/>
              </w:numPr>
              <w:autoSpaceDE w:val="0"/>
              <w:autoSpaceDN w:val="0"/>
              <w:adjustRightInd w:val="0"/>
              <w:rPr>
                <w:rFonts w:eastAsiaTheme="minorHAnsi"/>
                <w:sz w:val="20"/>
                <w14:ligatures w14:val="standardContextual"/>
              </w:rPr>
            </w:pPr>
            <w:r w:rsidRPr="00CB58FC">
              <w:rPr>
                <w:rFonts w:eastAsiaTheme="minorHAnsi"/>
                <w:sz w:val="20"/>
                <w:szCs w:val="24"/>
                <w14:ligatures w14:val="standardContextual"/>
              </w:rPr>
              <w:t xml:space="preserve">If no right holder located, </w:t>
            </w:r>
            <w:r w:rsidR="003F5487" w:rsidRPr="00CB58FC">
              <w:rPr>
                <w:rFonts w:eastAsiaTheme="minorHAnsi"/>
                <w:sz w:val="20"/>
                <w:szCs w:val="24"/>
                <w14:ligatures w14:val="standardContextual"/>
              </w:rPr>
              <w:t xml:space="preserve">after 6 years funds to be </w:t>
            </w:r>
            <w:r w:rsidR="0004058F" w:rsidRPr="00CB58FC">
              <w:rPr>
                <w:rFonts w:eastAsiaTheme="minorHAnsi"/>
                <w:sz w:val="20"/>
                <w:szCs w:val="24"/>
                <w14:ligatures w14:val="standardContextual"/>
              </w:rPr>
              <w:t>used strictly</w:t>
            </w:r>
            <w:r w:rsidR="003F5487" w:rsidRPr="00CB58FC">
              <w:rPr>
                <w:rFonts w:eastAsiaTheme="minorHAnsi"/>
                <w:sz w:val="20"/>
                <w:szCs w:val="24"/>
                <w14:ligatures w14:val="standardContextual"/>
              </w:rPr>
              <w:t xml:space="preserve"> for enforcement of ARR by CMO.</w:t>
            </w:r>
          </w:p>
        </w:tc>
      </w:tr>
      <w:tr w:rsidR="0093188F" w:rsidRPr="00CB58FC" w14:paraId="5A496A12" w14:textId="3176E8A3" w:rsidTr="0015390C">
        <w:tc>
          <w:tcPr>
            <w:tcW w:w="2674" w:type="dxa"/>
          </w:tcPr>
          <w:p w14:paraId="4E56285C" w14:textId="50E102DD" w:rsidR="0093188F" w:rsidRPr="00CB58FC" w:rsidRDefault="0093188F" w:rsidP="009505EE">
            <w:pPr>
              <w:rPr>
                <w:sz w:val="20"/>
                <w:szCs w:val="20"/>
              </w:rPr>
            </w:pPr>
            <w:r w:rsidRPr="00CB58FC">
              <w:rPr>
                <w:sz w:val="20"/>
                <w:szCs w:val="20"/>
              </w:rPr>
              <w:t>Spain</w:t>
            </w:r>
            <w:r w:rsidR="003F5487" w:rsidRPr="00CB58FC">
              <w:rPr>
                <w:rStyle w:val="FootnoteReference"/>
                <w:sz w:val="20"/>
                <w:szCs w:val="20"/>
              </w:rPr>
              <w:footnoteReference w:id="112"/>
            </w:r>
            <w:r w:rsidRPr="00CB58FC">
              <w:rPr>
                <w:sz w:val="20"/>
                <w:szCs w:val="20"/>
              </w:rPr>
              <w:t xml:space="preserve"> </w:t>
            </w:r>
          </w:p>
        </w:tc>
        <w:tc>
          <w:tcPr>
            <w:tcW w:w="3633" w:type="dxa"/>
          </w:tcPr>
          <w:p w14:paraId="5A573680"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20. The administration of the Fine Arts Aid Fund corresponds to a Commission attached to the Ministry of Culture and Sports, without prejudice to its functional autonomy. This Commission is chaired by the Minister of Culture and Sports or the person to whom he delegates and will be made up of representatives of the Autonomous Communities, the obligated subjects and the entities that manage the right of participation in the manner determined by regulatory route.</w:t>
            </w:r>
          </w:p>
          <w:p w14:paraId="5ED2A79C" w14:textId="6337BE1C"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 xml:space="preserve">21. The amounts received by the management entities as participation rights not distributed to their holders within the period established in section </w:t>
            </w:r>
            <w:r w:rsidRPr="00CB58FC">
              <w:rPr>
                <w:rStyle w:val="y2iqfc"/>
                <w:rFonts w:ascii="Arial" w:hAnsi="Arial" w:cs="Arial"/>
                <w:lang w:val="en"/>
              </w:rPr>
              <w:lastRenderedPageBreak/>
              <w:t>12 due to their lack of identification and for which there is no claim, must be entered into the Fund of Aid to the Fine Arts within a maximum period of one year.</w:t>
            </w:r>
          </w:p>
          <w:p w14:paraId="52750714"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22. The management entities will be obliged to notify the Administrative Commission of the Fine Arts Aid Fund, in the first quarter of each year, the list of amounts received for the participation right and the distributions made, as well as the reasons. that have made it impossible to distribute the amounts deposited into the Fund.</w:t>
            </w:r>
          </w:p>
          <w:p w14:paraId="6E9D6A52" w14:textId="77777777" w:rsidR="0093188F" w:rsidRPr="00CB58FC" w:rsidRDefault="0093188F" w:rsidP="009505EE">
            <w:pPr>
              <w:pStyle w:val="HTMLPreformatted"/>
              <w:shd w:val="clear" w:color="auto" w:fill="F8F9FA"/>
              <w:rPr>
                <w:rStyle w:val="y2iqfc"/>
                <w:rFonts w:ascii="Arial" w:hAnsi="Arial" w:cs="Arial"/>
                <w:lang w:val="en"/>
              </w:rPr>
            </w:pPr>
            <w:r w:rsidRPr="00CB58FC">
              <w:rPr>
                <w:rStyle w:val="y2iqfc"/>
                <w:rFonts w:ascii="Arial" w:hAnsi="Arial" w:cs="Arial"/>
                <w:lang w:val="en"/>
              </w:rPr>
              <w:t>23. The Fund's Administrative Commission will publish, on an annual basis, a report on the application of the participation right.</w:t>
            </w:r>
          </w:p>
          <w:p w14:paraId="2804C6C0" w14:textId="77777777" w:rsidR="0093188F" w:rsidRPr="00CB58FC" w:rsidRDefault="0093188F" w:rsidP="0015390C">
            <w:pPr>
              <w:jc w:val="both"/>
              <w:rPr>
                <w:sz w:val="20"/>
                <w:szCs w:val="20"/>
              </w:rPr>
            </w:pPr>
            <w:r w:rsidRPr="00CB58FC">
              <w:rPr>
                <w:rStyle w:val="y2iqfc"/>
                <w:sz w:val="20"/>
                <w:szCs w:val="20"/>
                <w:lang w:val="en"/>
              </w:rPr>
              <w:t>24. The Autonomous Communities, in accordance with their exclusive competence in the matter, will directly and fully manage the resources of the Fine Arts Aid Fund in their respective territories. The distribution criteria and mechanisms must, in turn, be agreed with the Autonomous Communities.</w:t>
            </w:r>
          </w:p>
        </w:tc>
        <w:tc>
          <w:tcPr>
            <w:tcW w:w="3185" w:type="dxa"/>
          </w:tcPr>
          <w:p w14:paraId="339F3A30" w14:textId="6C85329A" w:rsidR="0093188F" w:rsidRPr="00CB58FC" w:rsidRDefault="003F5487" w:rsidP="003F5487">
            <w:pPr>
              <w:pStyle w:val="HTMLPreformatted"/>
              <w:numPr>
                <w:ilvl w:val="0"/>
                <w:numId w:val="41"/>
              </w:numPr>
              <w:shd w:val="clear" w:color="auto" w:fill="F8F9FA"/>
              <w:rPr>
                <w:rStyle w:val="y2iqfc"/>
                <w:rFonts w:ascii="Arial" w:hAnsi="Arial" w:cs="Arial"/>
                <w:lang w:val="en"/>
              </w:rPr>
            </w:pPr>
            <w:r w:rsidRPr="00CB58FC">
              <w:rPr>
                <w:rStyle w:val="y2iqfc"/>
                <w:rFonts w:ascii="Arial" w:hAnsi="Arial" w:cs="Arial"/>
                <w:lang w:val="en"/>
              </w:rPr>
              <w:lastRenderedPageBreak/>
              <w:t xml:space="preserve">Provides for special fund to distribute unallocated royalties, </w:t>
            </w:r>
            <w:r w:rsidR="001D01BE" w:rsidRPr="00CB58FC">
              <w:rPr>
                <w:rStyle w:val="y2iqfc"/>
                <w:rFonts w:ascii="Arial" w:hAnsi="Arial" w:cs="Arial"/>
                <w:lang w:val="en"/>
              </w:rPr>
              <w:t>in</w:t>
            </w:r>
            <w:r w:rsidRPr="00CB58FC">
              <w:rPr>
                <w:rStyle w:val="y2iqfc"/>
                <w:rFonts w:ascii="Arial" w:hAnsi="Arial" w:cs="Arial"/>
                <w:lang w:val="en"/>
              </w:rPr>
              <w:t xml:space="preserve"> conjunction with Autonomous Communities.</w:t>
            </w:r>
          </w:p>
          <w:p w14:paraId="39C7858A" w14:textId="19D054DB" w:rsidR="003F5487" w:rsidRPr="00CB58FC" w:rsidRDefault="003F5487" w:rsidP="0015390C">
            <w:pPr>
              <w:pStyle w:val="HTMLPreformatted"/>
              <w:numPr>
                <w:ilvl w:val="0"/>
                <w:numId w:val="41"/>
              </w:numPr>
              <w:shd w:val="clear" w:color="auto" w:fill="F8F9FA"/>
              <w:rPr>
                <w:rStyle w:val="y2iqfc"/>
                <w:rFonts w:ascii="Arial" w:hAnsi="Arial" w:cs="Arial"/>
                <w:szCs w:val="20"/>
                <w:lang w:val="en"/>
              </w:rPr>
            </w:pPr>
            <w:r w:rsidRPr="00CB58FC">
              <w:rPr>
                <w:rStyle w:val="y2iqfc"/>
                <w:rFonts w:ascii="Arial" w:hAnsi="Arial" w:cs="Arial"/>
                <w:lang w:val="en"/>
              </w:rPr>
              <w:t xml:space="preserve">Note that this function is not performed by CMO. </w:t>
            </w:r>
          </w:p>
        </w:tc>
      </w:tr>
      <w:tr w:rsidR="0093188F" w:rsidRPr="00CB58FC" w14:paraId="3BBFE191" w14:textId="365ACE2F" w:rsidTr="0015390C">
        <w:tc>
          <w:tcPr>
            <w:tcW w:w="2674" w:type="dxa"/>
          </w:tcPr>
          <w:p w14:paraId="4D7728D4" w14:textId="297ED6BF" w:rsidR="0093188F" w:rsidRPr="00CB58FC" w:rsidRDefault="0093188F" w:rsidP="009505EE">
            <w:pPr>
              <w:rPr>
                <w:sz w:val="20"/>
                <w:szCs w:val="20"/>
              </w:rPr>
            </w:pPr>
            <w:r w:rsidRPr="00CB58FC">
              <w:rPr>
                <w:sz w:val="20"/>
                <w:szCs w:val="20"/>
              </w:rPr>
              <w:t>UK</w:t>
            </w:r>
            <w:r w:rsidR="003F5487" w:rsidRPr="00CB58FC">
              <w:rPr>
                <w:rStyle w:val="FootnoteReference"/>
                <w:sz w:val="20"/>
                <w:szCs w:val="20"/>
              </w:rPr>
              <w:footnoteReference w:id="113"/>
            </w:r>
            <w:r w:rsidRPr="00CB58FC">
              <w:rPr>
                <w:sz w:val="20"/>
                <w:szCs w:val="20"/>
              </w:rPr>
              <w:t xml:space="preserve"> </w:t>
            </w:r>
          </w:p>
        </w:tc>
        <w:tc>
          <w:tcPr>
            <w:tcW w:w="3633" w:type="dxa"/>
          </w:tcPr>
          <w:p w14:paraId="6F662341" w14:textId="383AEDBC" w:rsidR="0093188F" w:rsidRPr="00CB58FC" w:rsidRDefault="0093188F" w:rsidP="009505EE">
            <w:pPr>
              <w:pStyle w:val="Default"/>
              <w:jc w:val="both"/>
              <w:rPr>
                <w:color w:val="auto"/>
                <w:sz w:val="20"/>
                <w:szCs w:val="20"/>
              </w:rPr>
            </w:pPr>
            <w:r w:rsidRPr="00CB58FC">
              <w:rPr>
                <w:b/>
                <w:bCs/>
                <w:color w:val="auto"/>
                <w:sz w:val="20"/>
                <w:szCs w:val="20"/>
              </w:rPr>
              <w:t>7.</w:t>
            </w:r>
            <w:r w:rsidRPr="00CB58FC">
              <w:rPr>
                <w:color w:val="auto"/>
                <w:sz w:val="20"/>
                <w:szCs w:val="20"/>
              </w:rPr>
              <w:t xml:space="preserve">—(1) A collective management </w:t>
            </w:r>
            <w:r w:rsidR="00A226E0" w:rsidRPr="00CB58FC">
              <w:rPr>
                <w:color w:val="auto"/>
                <w:sz w:val="20"/>
                <w:szCs w:val="20"/>
              </w:rPr>
              <w:t>organization</w:t>
            </w:r>
            <w:r w:rsidRPr="00CB58FC">
              <w:rPr>
                <w:color w:val="auto"/>
                <w:sz w:val="20"/>
                <w:szCs w:val="20"/>
              </w:rPr>
              <w:t xml:space="preserve"> must ensure that—</w:t>
            </w:r>
          </w:p>
          <w:p w14:paraId="3C637770" w14:textId="77777777" w:rsidR="0093188F" w:rsidRPr="00CB58FC" w:rsidRDefault="0093188F" w:rsidP="009505EE">
            <w:pPr>
              <w:pStyle w:val="Default"/>
              <w:jc w:val="both"/>
              <w:rPr>
                <w:color w:val="auto"/>
                <w:sz w:val="20"/>
                <w:szCs w:val="20"/>
              </w:rPr>
            </w:pPr>
            <w:r w:rsidRPr="00CB58FC">
              <w:rPr>
                <w:color w:val="auto"/>
                <w:sz w:val="20"/>
                <w:szCs w:val="20"/>
              </w:rPr>
              <w:t>…</w:t>
            </w:r>
          </w:p>
          <w:p w14:paraId="4EE9E338" w14:textId="2BC63E44" w:rsidR="0093188F" w:rsidRPr="00CB58FC" w:rsidRDefault="0093188F" w:rsidP="009505EE">
            <w:pPr>
              <w:pStyle w:val="Default"/>
              <w:jc w:val="both"/>
              <w:rPr>
                <w:color w:val="auto"/>
                <w:sz w:val="20"/>
                <w:szCs w:val="20"/>
              </w:rPr>
            </w:pPr>
            <w:r w:rsidRPr="00CB58FC">
              <w:rPr>
                <w:color w:val="auto"/>
                <w:sz w:val="20"/>
                <w:szCs w:val="20"/>
              </w:rPr>
              <w:t>(d) in accordance with regulation 10 (rights revenue), 11 (deductions)</w:t>
            </w:r>
            <w:r w:rsidR="00A226E0" w:rsidRPr="00CB58FC">
              <w:rPr>
                <w:color w:val="auto"/>
                <w:sz w:val="20"/>
                <w:szCs w:val="20"/>
              </w:rPr>
              <w:t>,</w:t>
            </w:r>
            <w:r w:rsidRPr="00CB58FC">
              <w:rPr>
                <w:color w:val="auto"/>
                <w:sz w:val="20"/>
                <w:szCs w:val="20"/>
              </w:rPr>
              <w:t xml:space="preserve"> and 12 (distribution)and subject to paragraph (2) the general assembly of members decides on at least—</w:t>
            </w:r>
          </w:p>
          <w:p w14:paraId="7DBECBE2" w14:textId="77777777" w:rsidR="0093188F" w:rsidRPr="00CB58FC" w:rsidRDefault="0093188F" w:rsidP="009505EE">
            <w:pPr>
              <w:pStyle w:val="Default"/>
              <w:jc w:val="both"/>
              <w:rPr>
                <w:color w:val="auto"/>
                <w:sz w:val="20"/>
                <w:szCs w:val="20"/>
              </w:rPr>
            </w:pPr>
            <w:r w:rsidRPr="00CB58FC">
              <w:rPr>
                <w:color w:val="auto"/>
                <w:sz w:val="20"/>
                <w:szCs w:val="20"/>
              </w:rPr>
              <w:t>(i) the general policy on the distribution of amounts due to right holders;</w:t>
            </w:r>
          </w:p>
          <w:p w14:paraId="1BA09690"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(ii) the general policy on the use of non-distributable amounts;</w:t>
            </w:r>
          </w:p>
          <w:p w14:paraId="7ABCD6B8"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w:t>
            </w:r>
          </w:p>
          <w:p w14:paraId="39864AD4"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(iii) the use of non-distributable amounts;</w:t>
            </w:r>
          </w:p>
          <w:p w14:paraId="6FF175C3"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w:t>
            </w:r>
          </w:p>
          <w:p w14:paraId="1D3FB660" w14:textId="77777777" w:rsidR="0093188F" w:rsidRPr="00CB58FC" w:rsidRDefault="0093188F" w:rsidP="003D6031">
            <w:pPr>
              <w:pStyle w:val="Default"/>
              <w:numPr>
                <w:ilvl w:val="1"/>
                <w:numId w:val="9"/>
              </w:numPr>
              <w:jc w:val="both"/>
              <w:rPr>
                <w:color w:val="auto"/>
                <w:sz w:val="20"/>
                <w:szCs w:val="20"/>
              </w:rPr>
            </w:pPr>
            <w:r w:rsidRPr="00CB58FC">
              <w:rPr>
                <w:color w:val="auto"/>
                <w:sz w:val="20"/>
                <w:szCs w:val="20"/>
              </w:rPr>
              <w:t>12….</w:t>
            </w:r>
          </w:p>
          <w:p w14:paraId="30443028" w14:textId="77777777" w:rsidR="0093188F" w:rsidRPr="00CB58FC" w:rsidRDefault="0093188F" w:rsidP="009505EE">
            <w:pPr>
              <w:pStyle w:val="Default"/>
              <w:jc w:val="both"/>
              <w:rPr>
                <w:color w:val="auto"/>
                <w:sz w:val="20"/>
                <w:szCs w:val="20"/>
              </w:rPr>
            </w:pPr>
            <w:r w:rsidRPr="00CB58FC">
              <w:rPr>
                <w:color w:val="auto"/>
                <w:sz w:val="20"/>
                <w:szCs w:val="20"/>
              </w:rPr>
              <w:t>(9) Amounts due to right holders are non-distributable for the purposes of these Regulations where—</w:t>
            </w:r>
          </w:p>
          <w:p w14:paraId="42F8399C" w14:textId="77777777" w:rsidR="0093188F" w:rsidRPr="00CB58FC" w:rsidRDefault="0093188F" w:rsidP="003D6031">
            <w:pPr>
              <w:pStyle w:val="Default"/>
              <w:numPr>
                <w:ilvl w:val="0"/>
                <w:numId w:val="10"/>
              </w:numPr>
              <w:jc w:val="both"/>
              <w:rPr>
                <w:color w:val="auto"/>
                <w:sz w:val="20"/>
                <w:szCs w:val="20"/>
              </w:rPr>
            </w:pPr>
            <w:r w:rsidRPr="00CB58FC">
              <w:rPr>
                <w:color w:val="auto"/>
                <w:sz w:val="20"/>
                <w:szCs w:val="20"/>
              </w:rPr>
              <w:t>(a) they cannot be distributed before the end of the period of 3 years from the end of the financial year in which collection of the rights revenue occurred; and</w:t>
            </w:r>
          </w:p>
          <w:p w14:paraId="47C6EFA9" w14:textId="77777777" w:rsidR="0093188F" w:rsidRPr="00CB58FC" w:rsidRDefault="0093188F" w:rsidP="003D6031">
            <w:pPr>
              <w:pStyle w:val="Default"/>
              <w:numPr>
                <w:ilvl w:val="0"/>
                <w:numId w:val="10"/>
              </w:numPr>
              <w:jc w:val="both"/>
              <w:rPr>
                <w:color w:val="auto"/>
                <w:sz w:val="20"/>
                <w:szCs w:val="20"/>
              </w:rPr>
            </w:pPr>
            <w:r w:rsidRPr="00CB58FC">
              <w:rPr>
                <w:color w:val="auto"/>
                <w:sz w:val="20"/>
                <w:szCs w:val="20"/>
              </w:rPr>
              <w:t>(b) the collective management organisation has taken all necessary measures to identify and locate the right holders referred to in paragraph (6).</w:t>
            </w:r>
          </w:p>
          <w:p w14:paraId="35E50601" w14:textId="77777777" w:rsidR="0093188F" w:rsidRPr="00CB58FC" w:rsidRDefault="0093188F" w:rsidP="009505EE">
            <w:pPr>
              <w:pStyle w:val="Default"/>
              <w:jc w:val="both"/>
              <w:rPr>
                <w:color w:val="auto"/>
                <w:sz w:val="20"/>
                <w:szCs w:val="20"/>
              </w:rPr>
            </w:pPr>
          </w:p>
          <w:p w14:paraId="2E242583" w14:textId="7808E935" w:rsidR="0093188F" w:rsidRPr="00CB58FC" w:rsidRDefault="0093188F" w:rsidP="003D6031">
            <w:pPr>
              <w:pStyle w:val="Default"/>
              <w:numPr>
                <w:ilvl w:val="1"/>
                <w:numId w:val="9"/>
              </w:numPr>
              <w:jc w:val="both"/>
              <w:rPr>
                <w:color w:val="auto"/>
                <w:sz w:val="20"/>
                <w:szCs w:val="20"/>
              </w:rPr>
            </w:pPr>
            <w:r w:rsidRPr="00CB58FC">
              <w:rPr>
                <w:color w:val="auto"/>
                <w:sz w:val="20"/>
                <w:szCs w:val="20"/>
              </w:rPr>
              <w:lastRenderedPageBreak/>
              <w:t xml:space="preserve">(10) The decision on the use of non-distributable amounts referred to in regulation 7(1)(d) is without prejudice to the right of a right holder to claim such amounts from the copyright management </w:t>
            </w:r>
            <w:r w:rsidR="00A226E0" w:rsidRPr="00CB58FC">
              <w:rPr>
                <w:color w:val="auto"/>
                <w:sz w:val="20"/>
                <w:szCs w:val="20"/>
              </w:rPr>
              <w:t>organization</w:t>
            </w:r>
            <w:r w:rsidRPr="00CB58FC">
              <w:rPr>
                <w:color w:val="auto"/>
                <w:sz w:val="20"/>
                <w:szCs w:val="20"/>
              </w:rPr>
              <w:t xml:space="preserve"> in accordance with the law providing for a limitation period applicable to the bringing of proceedings.</w:t>
            </w:r>
          </w:p>
        </w:tc>
        <w:tc>
          <w:tcPr>
            <w:tcW w:w="3185" w:type="dxa"/>
          </w:tcPr>
          <w:p w14:paraId="7F89DFF4" w14:textId="77777777" w:rsidR="0093188F" w:rsidRPr="00CB58FC" w:rsidRDefault="00553F29" w:rsidP="00553F29">
            <w:pPr>
              <w:pStyle w:val="Default"/>
              <w:numPr>
                <w:ilvl w:val="0"/>
                <w:numId w:val="42"/>
              </w:numPr>
              <w:jc w:val="both"/>
              <w:rPr>
                <w:color w:val="auto"/>
                <w:sz w:val="20"/>
                <w:szCs w:val="20"/>
              </w:rPr>
            </w:pPr>
            <w:r w:rsidRPr="00CB58FC">
              <w:rPr>
                <w:color w:val="auto"/>
                <w:sz w:val="20"/>
                <w:szCs w:val="20"/>
              </w:rPr>
              <w:lastRenderedPageBreak/>
              <w:t>Sets out general obligations of UK CMOs</w:t>
            </w:r>
            <w:r w:rsidR="002D5866" w:rsidRPr="00CB58FC">
              <w:rPr>
                <w:color w:val="auto"/>
                <w:sz w:val="20"/>
                <w:szCs w:val="20"/>
              </w:rPr>
              <w:t xml:space="preserve"> re dealing with revenues, including non-distributable amounts.</w:t>
            </w:r>
          </w:p>
          <w:p w14:paraId="54A4ACC0" w14:textId="209B8BFE" w:rsidR="002D5866" w:rsidRPr="00CB58FC" w:rsidRDefault="002D5866" w:rsidP="0015390C">
            <w:pPr>
              <w:pStyle w:val="Default"/>
              <w:numPr>
                <w:ilvl w:val="0"/>
                <w:numId w:val="42"/>
              </w:numPr>
              <w:jc w:val="both"/>
              <w:rPr>
                <w:color w:val="auto"/>
                <w:sz w:val="20"/>
                <w:szCs w:val="20"/>
              </w:rPr>
            </w:pPr>
            <w:r w:rsidRPr="00CB58FC">
              <w:rPr>
                <w:color w:val="auto"/>
                <w:sz w:val="20"/>
                <w:szCs w:val="20"/>
              </w:rPr>
              <w:t xml:space="preserve">Ultimately leaves the decision on </w:t>
            </w:r>
            <w:r w:rsidR="004B25CE" w:rsidRPr="00CB58FC">
              <w:rPr>
                <w:color w:val="auto"/>
                <w:sz w:val="20"/>
                <w:szCs w:val="20"/>
              </w:rPr>
              <w:t>the</w:t>
            </w:r>
            <w:r w:rsidRPr="00CB58FC">
              <w:rPr>
                <w:color w:val="auto"/>
                <w:sz w:val="20"/>
                <w:szCs w:val="20"/>
              </w:rPr>
              <w:t xml:space="preserve"> use of non-distributable funds to members in general assembly – no reference here to purposes other than what members decide. </w:t>
            </w:r>
          </w:p>
        </w:tc>
      </w:tr>
      <w:tr w:rsidR="0093188F" w:rsidRPr="00CB58FC" w14:paraId="4BC67273" w14:textId="4C842D1F" w:rsidTr="0015390C">
        <w:tc>
          <w:tcPr>
            <w:tcW w:w="2674" w:type="dxa"/>
          </w:tcPr>
          <w:p w14:paraId="4B3D3C62" w14:textId="17E1D64B" w:rsidR="0093188F" w:rsidRPr="00CB58FC" w:rsidRDefault="0093188F" w:rsidP="009505EE">
            <w:pPr>
              <w:rPr>
                <w:sz w:val="20"/>
                <w:szCs w:val="20"/>
              </w:rPr>
            </w:pPr>
            <w:r w:rsidRPr="00CB58FC">
              <w:rPr>
                <w:sz w:val="20"/>
                <w:szCs w:val="20"/>
              </w:rPr>
              <w:t>France</w:t>
            </w:r>
            <w:r w:rsidR="002D5866" w:rsidRPr="00CB58FC">
              <w:rPr>
                <w:rStyle w:val="FootnoteReference"/>
                <w:sz w:val="20"/>
                <w:szCs w:val="20"/>
              </w:rPr>
              <w:footnoteReference w:id="114"/>
            </w:r>
            <w:r w:rsidRPr="00CB58FC">
              <w:rPr>
                <w:sz w:val="20"/>
                <w:szCs w:val="20"/>
              </w:rPr>
              <w:t xml:space="preserve"> </w:t>
            </w:r>
          </w:p>
        </w:tc>
        <w:tc>
          <w:tcPr>
            <w:tcW w:w="3633" w:type="dxa"/>
          </w:tcPr>
          <w:p w14:paraId="4724B129" w14:textId="77777777" w:rsidR="002D5866" w:rsidRPr="00CB58FC" w:rsidRDefault="002D5866" w:rsidP="0015390C">
            <w:pPr>
              <w:jc w:val="both"/>
              <w:rPr>
                <w:rFonts w:eastAsia="Calibri"/>
                <w:sz w:val="20"/>
                <w:szCs w:val="20"/>
              </w:rPr>
            </w:pPr>
            <w:r w:rsidRPr="00CB58FC">
              <w:rPr>
                <w:rFonts w:eastAsia="Calibri"/>
                <w:sz w:val="20"/>
                <w:szCs w:val="20"/>
              </w:rPr>
              <w:t xml:space="preserve">Article R 123-7 II: </w:t>
            </w:r>
          </w:p>
          <w:p w14:paraId="33300F39" w14:textId="77777777" w:rsidR="002D5866" w:rsidRPr="00CB58FC" w:rsidRDefault="002D5866" w:rsidP="0015390C">
            <w:pPr>
              <w:jc w:val="both"/>
              <w:rPr>
                <w:rFonts w:eastAsia="Calibri"/>
                <w:sz w:val="20"/>
                <w:szCs w:val="20"/>
              </w:rPr>
            </w:pPr>
          </w:p>
          <w:p w14:paraId="07426B19" w14:textId="3EC4E31C" w:rsidR="0093188F" w:rsidRPr="00CB58FC" w:rsidRDefault="0093188F" w:rsidP="0015390C">
            <w:pPr>
              <w:jc w:val="both"/>
              <w:rPr>
                <w:rFonts w:eastAsia="Calibri"/>
                <w:sz w:val="20"/>
                <w:szCs w:val="20"/>
              </w:rPr>
            </w:pPr>
            <w:r w:rsidRPr="00CB58FC">
              <w:rPr>
                <w:rFonts w:eastAsia="Calibri"/>
                <w:sz w:val="20"/>
                <w:szCs w:val="20"/>
              </w:rPr>
              <w:t xml:space="preserve">In the absence of a known </w:t>
            </w:r>
            <w:r w:rsidR="00A226E0" w:rsidRPr="00CB58FC">
              <w:rPr>
                <w:rFonts w:eastAsia="Calibri"/>
                <w:sz w:val="20"/>
                <w:szCs w:val="20"/>
              </w:rPr>
              <w:t>right holder</w:t>
            </w:r>
            <w:r w:rsidRPr="00CB58FC">
              <w:rPr>
                <w:rFonts w:eastAsia="Calibri"/>
                <w:sz w:val="20"/>
                <w:szCs w:val="20"/>
              </w:rPr>
              <w:t>, or in the event of vacancy or escheat, the judicial court may entrust the proceeds of the resale right to a collective management organization governed by Title II of Book III of this part, approved for this purpose by order of the minister responsible for culture. The court may be approached by the minister responsible for culture or by the approved organization.</w:t>
            </w:r>
          </w:p>
          <w:p w14:paraId="1A135C5A" w14:textId="77777777" w:rsidR="0093188F" w:rsidRPr="00CB58FC" w:rsidRDefault="0093188F" w:rsidP="0015390C">
            <w:pPr>
              <w:jc w:val="both"/>
              <w:rPr>
                <w:rFonts w:eastAsia="Calibri"/>
                <w:sz w:val="20"/>
                <w:szCs w:val="20"/>
              </w:rPr>
            </w:pPr>
          </w:p>
          <w:p w14:paraId="73CA99FF" w14:textId="77777777" w:rsidR="0093188F" w:rsidRPr="00CB58FC" w:rsidRDefault="0093188F" w:rsidP="0015390C">
            <w:pPr>
              <w:jc w:val="both"/>
              <w:rPr>
                <w:rFonts w:eastAsia="Calibri"/>
                <w:sz w:val="20"/>
                <w:szCs w:val="20"/>
              </w:rPr>
            </w:pPr>
            <w:r w:rsidRPr="00CB58FC">
              <w:rPr>
                <w:rFonts w:eastAsia="Calibri"/>
                <w:sz w:val="20"/>
                <w:szCs w:val="20"/>
              </w:rPr>
              <w:t>The amounts received by the approved organization are allocated to covering a portion of the contributions owed by authors of graphic and plastic arts under supplementary pension schemes.</w:t>
            </w:r>
          </w:p>
          <w:p w14:paraId="3E82B968" w14:textId="77777777" w:rsidR="0093188F" w:rsidRPr="00CB58FC" w:rsidRDefault="0093188F" w:rsidP="0015390C">
            <w:pPr>
              <w:jc w:val="both"/>
              <w:rPr>
                <w:rFonts w:eastAsia="Calibri"/>
                <w:sz w:val="20"/>
                <w:szCs w:val="20"/>
              </w:rPr>
            </w:pPr>
          </w:p>
          <w:p w14:paraId="380FA8AB" w14:textId="1ACD0C9C" w:rsidR="0093188F" w:rsidRPr="00CB58FC" w:rsidRDefault="0093188F" w:rsidP="0015390C">
            <w:pPr>
              <w:jc w:val="both"/>
              <w:rPr>
                <w:sz w:val="20"/>
                <w:szCs w:val="20"/>
              </w:rPr>
            </w:pPr>
            <w:r w:rsidRPr="00CB58FC">
              <w:rPr>
                <w:rFonts w:eastAsia="Calibri"/>
                <w:sz w:val="20"/>
                <w:szCs w:val="20"/>
              </w:rPr>
              <w:t xml:space="preserve">The management of the resale right provided for in the first paragraph ends when a </w:t>
            </w:r>
            <w:r w:rsidR="00A226E0" w:rsidRPr="00CB58FC">
              <w:rPr>
                <w:rFonts w:eastAsia="Calibri"/>
                <w:sz w:val="20"/>
                <w:szCs w:val="20"/>
              </w:rPr>
              <w:t>right holder</w:t>
            </w:r>
            <w:r w:rsidRPr="00CB58FC">
              <w:rPr>
                <w:rFonts w:eastAsia="Calibri"/>
                <w:sz w:val="20"/>
                <w:szCs w:val="20"/>
              </w:rPr>
              <w:t>, able to provide evidence of their status, makes themselves known to the approved organization.</w:t>
            </w:r>
          </w:p>
        </w:tc>
        <w:tc>
          <w:tcPr>
            <w:tcW w:w="3185" w:type="dxa"/>
          </w:tcPr>
          <w:p w14:paraId="07E81376" w14:textId="20644AC3" w:rsidR="0093188F" w:rsidRPr="00CB58FC" w:rsidRDefault="002D5866" w:rsidP="002D5866">
            <w:pPr>
              <w:pStyle w:val="ListParagraph"/>
              <w:numPr>
                <w:ilvl w:val="0"/>
                <w:numId w:val="43"/>
              </w:numPr>
              <w:rPr>
                <w:rFonts w:eastAsia="Calibri"/>
                <w:sz w:val="20"/>
                <w:szCs w:val="24"/>
              </w:rPr>
            </w:pPr>
            <w:r w:rsidRPr="00CB58FC">
              <w:rPr>
                <w:rFonts w:eastAsia="Calibri"/>
                <w:sz w:val="20"/>
                <w:szCs w:val="24"/>
              </w:rPr>
              <w:t xml:space="preserve">CMO may determine, subject to </w:t>
            </w:r>
            <w:r w:rsidR="0004058F" w:rsidRPr="00CB58FC">
              <w:rPr>
                <w:rFonts w:eastAsia="Calibri"/>
                <w:sz w:val="20"/>
                <w:szCs w:val="24"/>
              </w:rPr>
              <w:t xml:space="preserve">supervision by </w:t>
            </w:r>
            <w:r w:rsidR="00A226E0" w:rsidRPr="00CB58FC">
              <w:rPr>
                <w:rFonts w:eastAsia="Calibri"/>
                <w:sz w:val="20"/>
                <w:szCs w:val="24"/>
              </w:rPr>
              <w:t xml:space="preserve">the court and advice by the </w:t>
            </w:r>
            <w:r w:rsidR="0004058F" w:rsidRPr="00CB58FC">
              <w:rPr>
                <w:rFonts w:eastAsia="Calibri"/>
                <w:sz w:val="20"/>
                <w:szCs w:val="24"/>
              </w:rPr>
              <w:t xml:space="preserve">minister responsible for culture.  </w:t>
            </w:r>
          </w:p>
          <w:p w14:paraId="05C3E345" w14:textId="65310D6A" w:rsidR="0004058F" w:rsidRPr="00CB58FC" w:rsidRDefault="0004058F" w:rsidP="0015390C">
            <w:pPr>
              <w:pStyle w:val="ListParagraph"/>
              <w:numPr>
                <w:ilvl w:val="0"/>
                <w:numId w:val="43"/>
              </w:numPr>
              <w:rPr>
                <w:rFonts w:eastAsia="Calibri"/>
                <w:sz w:val="20"/>
              </w:rPr>
            </w:pPr>
            <w:r w:rsidRPr="00CB58FC">
              <w:rPr>
                <w:rFonts w:eastAsia="Calibri"/>
                <w:sz w:val="20"/>
                <w:szCs w:val="24"/>
              </w:rPr>
              <w:t xml:space="preserve">Appears to </w:t>
            </w:r>
            <w:r w:rsidR="00A226E0" w:rsidRPr="00CB58FC">
              <w:rPr>
                <w:rFonts w:eastAsia="Calibri"/>
                <w:sz w:val="20"/>
                <w:szCs w:val="24"/>
              </w:rPr>
              <w:t>favour</w:t>
            </w:r>
            <w:r w:rsidRPr="00CB58FC">
              <w:rPr>
                <w:rFonts w:eastAsia="Calibri"/>
                <w:sz w:val="20"/>
                <w:szCs w:val="24"/>
              </w:rPr>
              <w:t xml:space="preserve"> allocating funds to supporting artists’ pension funds.</w:t>
            </w:r>
          </w:p>
        </w:tc>
      </w:tr>
      <w:tr w:rsidR="004C5062" w:rsidRPr="00CB58FC" w14:paraId="555121D0" w14:textId="77777777" w:rsidTr="0093188F">
        <w:tc>
          <w:tcPr>
            <w:tcW w:w="2674" w:type="dxa"/>
          </w:tcPr>
          <w:p w14:paraId="70F5ACCA" w14:textId="51151D0F" w:rsidR="004C5062" w:rsidRPr="00CB58FC" w:rsidRDefault="004C5062" w:rsidP="009505EE">
            <w:pPr>
              <w:rPr>
                <w:sz w:val="20"/>
              </w:rPr>
            </w:pPr>
            <w:r w:rsidRPr="00CB58FC">
              <w:rPr>
                <w:sz w:val="20"/>
              </w:rPr>
              <w:t>New Zealand</w:t>
            </w:r>
            <w:r w:rsidR="00194C35" w:rsidRPr="00CB58FC">
              <w:rPr>
                <w:rStyle w:val="FootnoteReference"/>
                <w:sz w:val="20"/>
              </w:rPr>
              <w:footnoteReference w:id="115"/>
            </w:r>
          </w:p>
        </w:tc>
        <w:tc>
          <w:tcPr>
            <w:tcW w:w="3633" w:type="dxa"/>
          </w:tcPr>
          <w:p w14:paraId="0008A525" w14:textId="37262F41" w:rsidR="00194C35" w:rsidRPr="00CB58FC" w:rsidRDefault="00194C35" w:rsidP="0015390C">
            <w:pPr>
              <w:autoSpaceDE w:val="0"/>
              <w:autoSpaceDN w:val="0"/>
              <w:adjustRightInd w:val="0"/>
              <w:jc w:val="both"/>
              <w:rPr>
                <w:rFonts w:eastAsia="Times New Roman"/>
                <w:b/>
                <w:bCs/>
                <w:sz w:val="20"/>
                <w:szCs w:val="20"/>
                <w:lang w:val="en-GB" w:eastAsia="fr-CH"/>
              </w:rPr>
            </w:pPr>
            <w:r w:rsidRPr="00CB58FC">
              <w:rPr>
                <w:rFonts w:eastAsia="Times New Roman"/>
                <w:b/>
                <w:bCs/>
                <w:sz w:val="20"/>
                <w:szCs w:val="20"/>
                <w:lang w:val="en-GB" w:eastAsia="fr-CH"/>
              </w:rPr>
              <w:t>14 How declined and unclaimed resale royalties must be used:</w:t>
            </w:r>
          </w:p>
          <w:p w14:paraId="65E01018" w14:textId="45B9FD51"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(1) This regulation specifies what the collection agency must do with an amount of resale royalty that is declined under section 19(1) of the Act or not paid to the right holder despite the collection agency’s best endeavours (see section</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18(3)(b) of the Act).</w:t>
            </w:r>
          </w:p>
          <w:p w14:paraId="5FD64E9F"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(2) The collection agency must—</w:t>
            </w:r>
          </w:p>
          <w:p w14:paraId="3B9304CD" w14:textId="656EF91A"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transfer the amount to a cultural fund; or</w:t>
            </w:r>
          </w:p>
          <w:p w14:paraId="122BFA8D"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if there is no cultural fund, return the amount to the person who paid the</w:t>
            </w:r>
          </w:p>
          <w:p w14:paraId="3C37B10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resale royalty under section 17 of the Act; or</w:t>
            </w:r>
          </w:p>
          <w:p w14:paraId="0E2B9115" w14:textId="3DA803F5"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(c) if there is no cultural fund and the person who paid the resale royalty</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 xml:space="preserve">cannot be found, use the amount to </w:t>
            </w:r>
            <w:r w:rsidRPr="00CB58FC">
              <w:rPr>
                <w:rFonts w:eastAsia="Times New Roman"/>
                <w:sz w:val="20"/>
                <w:szCs w:val="20"/>
                <w:lang w:val="en-GB" w:eastAsia="fr-CH"/>
              </w:rPr>
              <w:lastRenderedPageBreak/>
              <w:t>fund the activities of the collection</w:t>
            </w:r>
            <w:r w:rsidR="001D01BE" w:rsidRPr="00CB58FC">
              <w:rPr>
                <w:rFonts w:eastAsia="Times New Roman"/>
                <w:sz w:val="20"/>
                <w:szCs w:val="20"/>
                <w:lang w:val="en-GB" w:eastAsia="fr-CH"/>
              </w:rPr>
              <w:t xml:space="preserve"> </w:t>
            </w:r>
            <w:r w:rsidRPr="00CB58FC">
              <w:rPr>
                <w:rFonts w:eastAsia="Times New Roman"/>
                <w:sz w:val="20"/>
                <w:szCs w:val="20"/>
                <w:lang w:val="en-GB" w:eastAsia="fr-CH"/>
              </w:rPr>
              <w:t>agency under the Act.</w:t>
            </w:r>
          </w:p>
          <w:p w14:paraId="1640C94F" w14:textId="77777777" w:rsidR="00194C35" w:rsidRPr="00CB58FC" w:rsidRDefault="00194C35" w:rsidP="0015390C">
            <w:pPr>
              <w:autoSpaceDE w:val="0"/>
              <w:autoSpaceDN w:val="0"/>
              <w:adjustRightInd w:val="0"/>
              <w:jc w:val="both"/>
              <w:rPr>
                <w:rFonts w:eastAsia="Times New Roman"/>
                <w:sz w:val="20"/>
                <w:szCs w:val="20"/>
                <w:lang w:val="en-GB" w:eastAsia="fr-CH"/>
              </w:rPr>
            </w:pPr>
          </w:p>
          <w:p w14:paraId="386984C2" w14:textId="35AF0432" w:rsidR="00194C35" w:rsidRPr="00CB58FC" w:rsidRDefault="00194C35" w:rsidP="0015390C">
            <w:pPr>
              <w:autoSpaceDE w:val="0"/>
              <w:autoSpaceDN w:val="0"/>
              <w:adjustRightInd w:val="0"/>
              <w:jc w:val="both"/>
              <w:rPr>
                <w:rFonts w:eastAsia="Times New Roman"/>
                <w:b/>
                <w:bCs/>
                <w:sz w:val="20"/>
                <w:szCs w:val="20"/>
                <w:lang w:val="en-GB" w:eastAsia="fr-CH"/>
              </w:rPr>
            </w:pPr>
            <w:r w:rsidRPr="00CB58FC">
              <w:rPr>
                <w:rFonts w:eastAsia="Times New Roman"/>
                <w:b/>
                <w:bCs/>
                <w:sz w:val="20"/>
                <w:szCs w:val="20"/>
                <w:lang w:val="en-GB" w:eastAsia="fr-CH"/>
              </w:rPr>
              <w:t>15 Collection agency may establish and operate cultural fund</w:t>
            </w:r>
          </w:p>
          <w:p w14:paraId="5CE2550A" w14:textId="34D5109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(1) The collection agency may establish and operate a cultural fund for the purpose of supporting the career sustainability of visual artists.</w:t>
            </w:r>
          </w:p>
          <w:p w14:paraId="71E54E7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(2) The collection agency must determine—</w:t>
            </w:r>
          </w:p>
          <w:p w14:paraId="7FB23BC2" w14:textId="41B1CB90"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how the fund must be used to support the career sustainability of visual artists; and</w:t>
            </w:r>
          </w:p>
          <w:p w14:paraId="73AB6DF8"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the structure of the fund.</w:t>
            </w:r>
          </w:p>
          <w:p w14:paraId="3CDD2E8B" w14:textId="7F935415"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(3) Before determining how the fund must be used and the structure of the fund, the collection agency must, as far as practicable, engage with the following persons:</w:t>
            </w:r>
          </w:p>
          <w:p w14:paraId="0C4F579A"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(a) right holders:</w:t>
            </w:r>
          </w:p>
          <w:p w14:paraId="5AE05EE6"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(b) art market professionals:</w:t>
            </w:r>
          </w:p>
          <w:p w14:paraId="6CA580FB"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(c) publicly funded art galleries:</w:t>
            </w:r>
          </w:p>
          <w:p w14:paraId="7D74CE53" w14:textId="21CC13CF"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(d) publicly funded museums, libraries, and archives that collect and display artworks:</w:t>
            </w:r>
          </w:p>
          <w:p w14:paraId="051C5246"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(e) any other person that the collection agency considers is reasonably likely</w:t>
            </w:r>
          </w:p>
          <w:p w14:paraId="2A8CEE52" w14:textId="77777777" w:rsidR="00194C35" w:rsidRPr="00CB58FC" w:rsidRDefault="00194C35" w:rsidP="0015390C">
            <w:pPr>
              <w:autoSpaceDE w:val="0"/>
              <w:autoSpaceDN w:val="0"/>
              <w:adjustRightInd w:val="0"/>
              <w:jc w:val="both"/>
              <w:rPr>
                <w:rFonts w:eastAsia="Times New Roman"/>
                <w:sz w:val="20"/>
                <w:szCs w:val="20"/>
                <w:lang w:val="en-GB" w:eastAsia="fr-CH"/>
              </w:rPr>
            </w:pPr>
            <w:r w:rsidRPr="00CB58FC">
              <w:rPr>
                <w:rFonts w:eastAsia="Times New Roman"/>
                <w:sz w:val="20"/>
                <w:szCs w:val="20"/>
                <w:lang w:val="en-GB" w:eastAsia="fr-CH"/>
              </w:rPr>
              <w:t>to have an interest in how the fund must be used or the structure of the</w:t>
            </w:r>
          </w:p>
          <w:p w14:paraId="1BF2C569" w14:textId="7B9F7DAD" w:rsidR="004C5062" w:rsidRPr="00CB58FC" w:rsidRDefault="00194C35" w:rsidP="00194C35">
            <w:pPr>
              <w:jc w:val="both"/>
              <w:rPr>
                <w:rFonts w:eastAsia="Calibri"/>
                <w:sz w:val="20"/>
              </w:rPr>
            </w:pPr>
            <w:r w:rsidRPr="00CB58FC">
              <w:rPr>
                <w:rFonts w:eastAsia="Times New Roman"/>
                <w:sz w:val="20"/>
                <w:szCs w:val="20"/>
                <w:lang w:val="en-GB" w:eastAsia="fr-CH"/>
              </w:rPr>
              <w:t>fund</w:t>
            </w:r>
            <w:r w:rsidRPr="00CB58FC">
              <w:rPr>
                <w:rFonts w:ascii="Times New Roman" w:eastAsia="Times New Roman" w:hAnsi="Times New Roman" w:cs="Times New Roman"/>
                <w:sz w:val="23"/>
                <w:szCs w:val="23"/>
                <w:lang w:val="en-GB" w:eastAsia="fr-CH"/>
              </w:rPr>
              <w:t>.</w:t>
            </w:r>
          </w:p>
        </w:tc>
        <w:tc>
          <w:tcPr>
            <w:tcW w:w="3185" w:type="dxa"/>
          </w:tcPr>
          <w:p w14:paraId="1E63E5D7" w14:textId="77777777" w:rsidR="00CA4DE4" w:rsidRPr="00CB58FC" w:rsidRDefault="001D01BE" w:rsidP="002D5866">
            <w:pPr>
              <w:pStyle w:val="ListParagraph"/>
              <w:numPr>
                <w:ilvl w:val="0"/>
                <w:numId w:val="43"/>
              </w:numPr>
              <w:rPr>
                <w:rFonts w:eastAsia="Calibri"/>
                <w:sz w:val="20"/>
                <w:szCs w:val="24"/>
              </w:rPr>
            </w:pPr>
            <w:r w:rsidRPr="00CB58FC">
              <w:rPr>
                <w:rFonts w:eastAsia="Calibri"/>
                <w:sz w:val="20"/>
                <w:szCs w:val="24"/>
              </w:rPr>
              <w:lastRenderedPageBreak/>
              <w:t>Provides for payment to a cultural fund (to be appointed)</w:t>
            </w:r>
            <w:r w:rsidR="00CA4DE4" w:rsidRPr="00CB58FC">
              <w:rPr>
                <w:rFonts w:eastAsia="Calibri"/>
                <w:sz w:val="20"/>
                <w:szCs w:val="24"/>
              </w:rPr>
              <w:t xml:space="preserve"> to support ‘career sustainability of visual artists’</w:t>
            </w:r>
          </w:p>
          <w:p w14:paraId="6F075F16" w14:textId="77777777" w:rsidR="00CA4DE4" w:rsidRPr="00CB58FC" w:rsidRDefault="00CA4DE4" w:rsidP="002D5866">
            <w:pPr>
              <w:pStyle w:val="ListParagraph"/>
              <w:numPr>
                <w:ilvl w:val="0"/>
                <w:numId w:val="43"/>
              </w:numPr>
              <w:rPr>
                <w:rFonts w:eastAsia="Calibri"/>
                <w:sz w:val="20"/>
                <w:szCs w:val="24"/>
              </w:rPr>
            </w:pPr>
            <w:r w:rsidRPr="00CB58FC">
              <w:rPr>
                <w:rFonts w:eastAsia="Calibri"/>
                <w:sz w:val="20"/>
                <w:szCs w:val="24"/>
              </w:rPr>
              <w:t>In absence of a cultural fund, payments support activities of CMO</w:t>
            </w:r>
          </w:p>
          <w:p w14:paraId="4B8C02B8" w14:textId="2DA582E0" w:rsidR="004C5062" w:rsidRPr="00CB58FC" w:rsidRDefault="00CA4DE4" w:rsidP="002D5866">
            <w:pPr>
              <w:pStyle w:val="ListParagraph"/>
              <w:numPr>
                <w:ilvl w:val="0"/>
                <w:numId w:val="43"/>
              </w:numPr>
              <w:rPr>
                <w:rFonts w:eastAsia="Calibri"/>
                <w:sz w:val="20"/>
                <w:szCs w:val="24"/>
              </w:rPr>
            </w:pPr>
            <w:r w:rsidRPr="00CB58FC">
              <w:rPr>
                <w:rFonts w:eastAsia="Calibri"/>
                <w:sz w:val="20"/>
                <w:szCs w:val="24"/>
              </w:rPr>
              <w:t xml:space="preserve">Includes declined ARR payments as well as unallocated funds  </w:t>
            </w:r>
            <w:r w:rsidR="001D01BE" w:rsidRPr="00CB58FC">
              <w:rPr>
                <w:rFonts w:eastAsia="Calibri"/>
                <w:sz w:val="20"/>
                <w:szCs w:val="24"/>
              </w:rPr>
              <w:t xml:space="preserve"> </w:t>
            </w:r>
          </w:p>
        </w:tc>
      </w:tr>
    </w:tbl>
    <w:p w14:paraId="172186D0" w14:textId="77777777" w:rsidR="003D6031" w:rsidRPr="00CB58FC" w:rsidRDefault="003D6031" w:rsidP="003D6031"/>
    <w:p w14:paraId="7C3D95A7" w14:textId="77777777" w:rsidR="003D6031" w:rsidRPr="00CB58FC" w:rsidRDefault="003D6031" w:rsidP="003D6031">
      <w:r w:rsidRPr="00CB58FC">
        <w:t xml:space="preserve">   </w:t>
      </w:r>
    </w:p>
    <w:p w14:paraId="61A31B6E" w14:textId="77777777" w:rsidR="003D6031" w:rsidRPr="00CB58FC" w:rsidRDefault="003D6031" w:rsidP="003D6031">
      <w:pPr>
        <w:pStyle w:val="Heading1"/>
        <w:rPr>
          <w:szCs w:val="22"/>
        </w:rPr>
      </w:pPr>
      <w:r w:rsidRPr="00CB58FC">
        <w:rPr>
          <w:szCs w:val="22"/>
        </w:rPr>
        <w:t>SOME FURTHER PRACTICAL AND LEGAL ISSUES FOR CMOS</w:t>
      </w:r>
    </w:p>
    <w:p w14:paraId="49603D3A" w14:textId="77777777" w:rsidR="003D6031" w:rsidRPr="00CB58FC" w:rsidRDefault="003D6031" w:rsidP="003D6031"/>
    <w:p w14:paraId="0C19B3FD" w14:textId="70F0E569" w:rsidR="003D6031" w:rsidRPr="00CB58FC" w:rsidRDefault="003D6031" w:rsidP="003D6031">
      <w:pPr>
        <w:pStyle w:val="ListParagraph"/>
        <w:numPr>
          <w:ilvl w:val="0"/>
          <w:numId w:val="16"/>
        </w:numPr>
        <w:rPr>
          <w:rFonts w:cs="Arial"/>
        </w:rPr>
      </w:pPr>
      <w:r w:rsidRPr="00CB58FC">
        <w:rPr>
          <w:rFonts w:cs="Arial"/>
        </w:rPr>
        <w:t>There are some further practical issues that may arise in the operation of an ARR scheme by a CMO. Inevitably, these also raise legal questions that are not always readily resolved.</w:t>
      </w:r>
    </w:p>
    <w:p w14:paraId="511AA330" w14:textId="77777777" w:rsidR="003D6031" w:rsidRPr="00CB58FC" w:rsidRDefault="003D6031" w:rsidP="003D6031">
      <w:pPr>
        <w:pStyle w:val="Heading2"/>
        <w:rPr>
          <w:i/>
          <w:iCs w:val="0"/>
          <w:szCs w:val="22"/>
        </w:rPr>
      </w:pPr>
      <w:r w:rsidRPr="00CB58FC">
        <w:rPr>
          <w:i/>
          <w:iCs w:val="0"/>
          <w:szCs w:val="22"/>
        </w:rPr>
        <w:t>WHERE AN AMP HAS PAID THE ARTIST AN ADVANCE AGAINST A FUTURE SALE</w:t>
      </w:r>
    </w:p>
    <w:p w14:paraId="05F33DB6" w14:textId="77777777" w:rsidR="003D6031" w:rsidRPr="00CB58FC" w:rsidRDefault="003D6031" w:rsidP="003D6031"/>
    <w:p w14:paraId="5F93175A" w14:textId="4FD6C868" w:rsidR="003D6031" w:rsidRPr="00CB58FC" w:rsidRDefault="003D6031" w:rsidP="003D6031">
      <w:pPr>
        <w:pStyle w:val="ListParagraph"/>
        <w:numPr>
          <w:ilvl w:val="0"/>
          <w:numId w:val="16"/>
        </w:numPr>
        <w:rPr>
          <w:rFonts w:cs="Arial"/>
        </w:rPr>
      </w:pPr>
      <w:r w:rsidRPr="00CB58FC">
        <w:rPr>
          <w:rFonts w:cs="Arial"/>
        </w:rPr>
        <w:t>This is a not uncommon situation where an AMP, such as a gallery</w:t>
      </w:r>
      <w:r w:rsidR="005A1507" w:rsidRPr="00CB58FC">
        <w:rPr>
          <w:rFonts w:cs="Arial"/>
        </w:rPr>
        <w:t>,</w:t>
      </w:r>
      <w:r w:rsidRPr="00CB58FC">
        <w:rPr>
          <w:rFonts w:cs="Arial"/>
        </w:rPr>
        <w:t xml:space="preserve"> holds a work for display over </w:t>
      </w:r>
      <w:r w:rsidR="00CA4DE4" w:rsidRPr="00CB58FC">
        <w:rPr>
          <w:rFonts w:cs="Arial"/>
        </w:rPr>
        <w:t>a period</w:t>
      </w:r>
      <w:r w:rsidRPr="00CB58FC">
        <w:rPr>
          <w:rFonts w:cs="Arial"/>
        </w:rPr>
        <w:t>. In principle, ARR should not apply as long as there has been no sale to the AMP by the artist. It should also be inapplicable if there has been a sale to the AMP by the artist, but ARR would then be payable once the AMP sells the work as this will then be an eligible resale. However, national and/or regional laws may set limits on liability to pay ARR where the resale occurs within a given time or below a minimum price</w:t>
      </w:r>
      <w:r w:rsidR="002D703F" w:rsidRPr="00CB58FC">
        <w:rPr>
          <w:rFonts w:cs="Arial"/>
        </w:rPr>
        <w:t>.</w:t>
      </w:r>
      <w:r w:rsidR="006D4E43" w:rsidRPr="00CB58FC">
        <w:rPr>
          <w:rStyle w:val="FootnoteReference"/>
          <w:rFonts w:cs="Arial"/>
        </w:rPr>
        <w:footnoteReference w:id="116"/>
      </w:r>
      <w:r w:rsidRPr="00CB58FC">
        <w:rPr>
          <w:rFonts w:cs="Arial"/>
        </w:rPr>
        <w:t xml:space="preserve"> In practical terms, it may not always be easy to identify the basis on which an AMP, such as a gallery, holds a work for sale, depending upon whether it has simply provided an advance on a future sale to the artist or has become the owner of the work which it is now reselling outside any limitations on timing and price set by national law. This is a problem of transparency, on which ADAGP has commented:</w:t>
      </w:r>
    </w:p>
    <w:p w14:paraId="28F3C64B" w14:textId="1CAC5994" w:rsidR="003D6031" w:rsidRPr="00CB58FC" w:rsidRDefault="003D6031" w:rsidP="003D6031">
      <w:pPr>
        <w:ind w:left="720"/>
        <w:rPr>
          <w:sz w:val="20"/>
        </w:rPr>
      </w:pPr>
      <w:r w:rsidRPr="00CB58FC">
        <w:rPr>
          <w:sz w:val="20"/>
        </w:rPr>
        <w:lastRenderedPageBreak/>
        <w:t>Information on gallery transactions is very opaque. It is difficult for us to know how galleries sales are conducted. The application of RR can be complicated when it comes to knowing whether the sale is a deposit sale or whether the gallery acquired the work and then resold it at a later date.</w:t>
      </w:r>
      <w:r w:rsidR="006D4E43" w:rsidRPr="00CB58FC">
        <w:rPr>
          <w:rStyle w:val="FootnoteReference"/>
          <w:sz w:val="20"/>
        </w:rPr>
        <w:footnoteReference w:id="117"/>
      </w:r>
    </w:p>
    <w:p w14:paraId="63200253" w14:textId="77777777" w:rsidR="005B6FDC" w:rsidRPr="00CB58FC" w:rsidRDefault="005B6FDC" w:rsidP="003D6031">
      <w:pPr>
        <w:ind w:left="720"/>
      </w:pPr>
    </w:p>
    <w:p w14:paraId="2B0AE29F" w14:textId="7332A232" w:rsidR="003D6031" w:rsidRPr="00CB58FC" w:rsidRDefault="006D4E43" w:rsidP="003D6031">
      <w:pPr>
        <w:pStyle w:val="ListParagraph"/>
        <w:ind w:left="360"/>
        <w:rPr>
          <w:rFonts w:cs="Arial"/>
          <w:i/>
          <w:iCs/>
        </w:rPr>
      </w:pPr>
      <w:r w:rsidRPr="00CB58FC">
        <w:rPr>
          <w:rFonts w:cs="Arial"/>
        </w:rPr>
        <w:t>Bild Kunst</w:t>
      </w:r>
      <w:r w:rsidR="003D6031" w:rsidRPr="00CB58FC">
        <w:rPr>
          <w:rFonts w:cs="Arial"/>
        </w:rPr>
        <w:t xml:space="preserve"> also noted that it only collects ARR in cases where the primary gallery or AMP has bought the work and then resold it when explicitly asked to do so by the artist.</w:t>
      </w:r>
      <w:r w:rsidR="002B1412" w:rsidRPr="00CB58FC">
        <w:rPr>
          <w:rStyle w:val="FootnoteReference"/>
          <w:rFonts w:cs="Arial"/>
        </w:rPr>
        <w:footnoteReference w:id="118"/>
      </w:r>
      <w:r w:rsidR="002B1412" w:rsidRPr="00CB58FC">
        <w:rPr>
          <w:rFonts w:cs="Arial"/>
        </w:rPr>
        <w:t xml:space="preserve"> </w:t>
      </w:r>
      <w:r w:rsidR="003D6031" w:rsidRPr="00CB58FC">
        <w:rPr>
          <w:rFonts w:cs="Arial"/>
          <w:i/>
          <w:iCs/>
        </w:rPr>
        <w:t xml:space="preserve"> </w:t>
      </w:r>
    </w:p>
    <w:p w14:paraId="5BA4AA27" w14:textId="11B17936" w:rsidR="003D6031" w:rsidRPr="00CB58FC" w:rsidRDefault="003D6031" w:rsidP="003D6031">
      <w:pPr>
        <w:pStyle w:val="Heading2"/>
        <w:rPr>
          <w:i/>
        </w:rPr>
      </w:pPr>
      <w:r w:rsidRPr="00CB58FC">
        <w:rPr>
          <w:i/>
        </w:rPr>
        <w:t>Where works of art are returned</w:t>
      </w:r>
      <w:r w:rsidR="00DA5053" w:rsidRPr="00CB58FC">
        <w:rPr>
          <w:i/>
        </w:rPr>
        <w:t xml:space="preserve"> and transactions are cancelled</w:t>
      </w:r>
    </w:p>
    <w:p w14:paraId="2A66F43E" w14:textId="77777777" w:rsidR="003D6031" w:rsidRPr="00CB58FC" w:rsidRDefault="003D6031" w:rsidP="003D6031"/>
    <w:p w14:paraId="57208371" w14:textId="2F5D8B9B" w:rsidR="003D6031" w:rsidRPr="00CB58FC" w:rsidRDefault="003D6031" w:rsidP="003D6031">
      <w:pPr>
        <w:pStyle w:val="ListParagraph"/>
        <w:numPr>
          <w:ilvl w:val="0"/>
          <w:numId w:val="16"/>
        </w:numPr>
        <w:rPr>
          <w:rFonts w:cs="Arial"/>
          <w:i/>
          <w:iCs/>
        </w:rPr>
      </w:pPr>
      <w:r w:rsidRPr="00CB58FC">
        <w:rPr>
          <w:rFonts w:cs="Arial"/>
        </w:rPr>
        <w:t xml:space="preserve">In this instance, </w:t>
      </w:r>
      <w:r w:rsidR="00164700" w:rsidRPr="00CB58FC">
        <w:rPr>
          <w:rFonts w:cs="Arial"/>
        </w:rPr>
        <w:t xml:space="preserve">the issue will be whether </w:t>
      </w:r>
      <w:r w:rsidRPr="00CB58FC">
        <w:rPr>
          <w:rFonts w:cs="Arial"/>
        </w:rPr>
        <w:t>ownership of the work has been transferred</w:t>
      </w:r>
      <w:r w:rsidR="00164700" w:rsidRPr="00CB58FC">
        <w:rPr>
          <w:rFonts w:cs="Arial"/>
        </w:rPr>
        <w:t xml:space="preserve"> to the buyer, for example, where the AMP and buyer had an arrangement that ownership </w:t>
      </w:r>
      <w:r w:rsidR="004B25CE" w:rsidRPr="00CB58FC">
        <w:rPr>
          <w:rFonts w:cs="Arial"/>
        </w:rPr>
        <w:t>would</w:t>
      </w:r>
      <w:r w:rsidR="00164700" w:rsidRPr="00CB58FC">
        <w:rPr>
          <w:rFonts w:cs="Arial"/>
        </w:rPr>
        <w:t xml:space="preserve"> pass after a </w:t>
      </w:r>
      <w:r w:rsidR="004B25CE" w:rsidRPr="00CB58FC">
        <w:rPr>
          <w:rFonts w:cs="Arial"/>
        </w:rPr>
        <w:t>t</w:t>
      </w:r>
      <w:r w:rsidR="00164700" w:rsidRPr="00CB58FC">
        <w:rPr>
          <w:rFonts w:cs="Arial"/>
        </w:rPr>
        <w:t>rial period during which the buyer had possession but not ownership of the work</w:t>
      </w:r>
      <w:r w:rsidRPr="00CB58FC">
        <w:rPr>
          <w:rFonts w:cs="Arial"/>
        </w:rPr>
        <w:t xml:space="preserve">. </w:t>
      </w:r>
      <w:r w:rsidR="00164700" w:rsidRPr="00CB58FC">
        <w:rPr>
          <w:rFonts w:cs="Arial"/>
        </w:rPr>
        <w:t xml:space="preserve">If ownership has not </w:t>
      </w:r>
      <w:r w:rsidR="004B25CE" w:rsidRPr="00CB58FC">
        <w:rPr>
          <w:rFonts w:cs="Arial"/>
        </w:rPr>
        <w:t>pass</w:t>
      </w:r>
      <w:r w:rsidR="00164700" w:rsidRPr="00CB58FC">
        <w:rPr>
          <w:rFonts w:cs="Arial"/>
        </w:rPr>
        <w:t xml:space="preserve">ed, but </w:t>
      </w:r>
      <w:r w:rsidRPr="00CB58FC">
        <w:rPr>
          <w:rFonts w:cs="Arial"/>
        </w:rPr>
        <w:t>ARR has been received by the CMO, this should now be returned to the AMP</w:t>
      </w:r>
      <w:r w:rsidR="00164700" w:rsidRPr="00CB58FC">
        <w:rPr>
          <w:rFonts w:cs="Arial"/>
        </w:rPr>
        <w:t xml:space="preserve"> and</w:t>
      </w:r>
      <w:r w:rsidRPr="00CB58FC">
        <w:rPr>
          <w:rFonts w:cs="Arial"/>
        </w:rPr>
        <w:t xml:space="preserve"> ADAGP advises that in such cases it issues a credit note when the work is finally returned.</w:t>
      </w:r>
      <w:r w:rsidR="00164700" w:rsidRPr="00CB58FC">
        <w:rPr>
          <w:rStyle w:val="FootnoteReference"/>
          <w:rFonts w:cs="Arial"/>
        </w:rPr>
        <w:footnoteReference w:id="119"/>
      </w:r>
      <w:r w:rsidR="002B1412" w:rsidRPr="00CB58FC">
        <w:rPr>
          <w:rFonts w:cs="Arial"/>
        </w:rPr>
        <w:t xml:space="preserve"> </w:t>
      </w:r>
      <w:r w:rsidR="00164700" w:rsidRPr="00CB58FC">
        <w:rPr>
          <w:rFonts w:cs="Arial"/>
        </w:rPr>
        <w:t>On the other hand, where ownership did pass to the buyer and then passes back to the AMP when the work is returned, there will be a resale potentially eligible for ARR where the buyer receives a refund from the AMP.</w:t>
      </w:r>
      <w:r w:rsidR="00164700" w:rsidRPr="00CB58FC">
        <w:rPr>
          <w:rStyle w:val="FootnoteReference"/>
          <w:rFonts w:cs="Arial"/>
        </w:rPr>
        <w:footnoteReference w:id="120"/>
      </w:r>
      <w:r w:rsidR="00164700" w:rsidRPr="00CB58FC">
        <w:rPr>
          <w:rFonts w:cs="Arial"/>
        </w:rPr>
        <w:t xml:space="preserve"> </w:t>
      </w:r>
      <w:r w:rsidR="006972D6" w:rsidRPr="00CB58FC">
        <w:rPr>
          <w:rFonts w:cs="Arial"/>
        </w:rPr>
        <w:t>More problematic, however, may be the situation where the buyer takes another work in exchange, with the question being whether this constitutes an eligible resale of</w:t>
      </w:r>
      <w:r w:rsidR="004B25CE" w:rsidRPr="00CB58FC">
        <w:rPr>
          <w:rFonts w:cs="Arial"/>
        </w:rPr>
        <w:t xml:space="preserve"> the</w:t>
      </w:r>
      <w:r w:rsidR="006972D6" w:rsidRPr="00CB58FC">
        <w:rPr>
          <w:rFonts w:cs="Arial"/>
        </w:rPr>
        <w:t xml:space="preserve"> first work and will depend upon whether national law requires this to be for money only.</w:t>
      </w:r>
      <w:r w:rsidR="006972D6" w:rsidRPr="00CB58FC">
        <w:rPr>
          <w:rStyle w:val="FootnoteReference"/>
          <w:rFonts w:cs="Arial"/>
        </w:rPr>
        <w:footnoteReference w:id="121"/>
      </w:r>
    </w:p>
    <w:p w14:paraId="155F67C3" w14:textId="32C18822" w:rsidR="003D6031" w:rsidRPr="00CB58FC" w:rsidRDefault="0061102D" w:rsidP="003D6031">
      <w:pPr>
        <w:pStyle w:val="Heading2"/>
        <w:rPr>
          <w:i/>
        </w:rPr>
      </w:pPr>
      <w:bookmarkStart w:id="10" w:name="_Hlk190765091"/>
      <w:r w:rsidRPr="00CB58FC">
        <w:rPr>
          <w:i/>
        </w:rPr>
        <w:t>ALTERNATIVE PAYMENTS FOR SUCCESSIVE SALES</w:t>
      </w:r>
    </w:p>
    <w:p w14:paraId="14468BA9" w14:textId="77777777" w:rsidR="003D6031" w:rsidRPr="00CB58FC" w:rsidRDefault="003D6031" w:rsidP="003D6031"/>
    <w:p w14:paraId="3597C800" w14:textId="3E9DD2D6" w:rsidR="0061102D" w:rsidRPr="00CB58FC" w:rsidRDefault="0061102D" w:rsidP="00247A2D">
      <w:pPr>
        <w:pStyle w:val="ListParagraph"/>
        <w:numPr>
          <w:ilvl w:val="0"/>
          <w:numId w:val="16"/>
        </w:numPr>
        <w:spacing w:before="120" w:after="120"/>
        <w:ind w:left="357" w:hanging="357"/>
      </w:pPr>
      <w:r w:rsidRPr="00CB58FC">
        <w:t xml:space="preserve">Technology has opened new opportunities </w:t>
      </w:r>
      <w:r w:rsidR="00E44721" w:rsidRPr="00CB58FC">
        <w:t xml:space="preserve">for the management of rights, including ARR, </w:t>
      </w:r>
      <w:r w:rsidRPr="00CB58FC">
        <w:t>as artistic practice and the art market now increasingly move into the digital environment. This is occurring in several ways: through the creation of digital works, the trade of art-based non-fungible tokens (NFTs)</w:t>
      </w:r>
      <w:r w:rsidRPr="00CB58FC">
        <w:rPr>
          <w:rStyle w:val="FootnoteReference"/>
        </w:rPr>
        <w:footnoteReference w:id="122"/>
      </w:r>
      <w:r w:rsidR="00076FB5" w:rsidRPr="00CB58FC">
        <w:t xml:space="preserve"> facilitated by blockchain and </w:t>
      </w:r>
      <w:r w:rsidR="00E44721" w:rsidRPr="00CB58FC">
        <w:t>s</w:t>
      </w:r>
      <w:r w:rsidR="00076FB5" w:rsidRPr="00CB58FC">
        <w:t>mart contracts</w:t>
      </w:r>
      <w:r w:rsidRPr="00CB58FC">
        <w:t xml:space="preserve">, and through the online marketing of traditional artworks in physical media. Resales of art-based NFTs, in particular, could be subject to ARR if this occurs within a jurisdiction where ARR is recognized and where that national law provides for, or allows for, the protection of such NFTs as original artworks. </w:t>
      </w:r>
    </w:p>
    <w:bookmarkEnd w:id="10"/>
    <w:p w14:paraId="56C333F0" w14:textId="77777777" w:rsidR="00247A2D" w:rsidRPr="00CB58FC" w:rsidRDefault="00247A2D" w:rsidP="0015390C">
      <w:pPr>
        <w:pStyle w:val="ListParagraph"/>
        <w:spacing w:before="120" w:after="120"/>
        <w:ind w:left="357"/>
      </w:pPr>
    </w:p>
    <w:p w14:paraId="1FCC5873" w14:textId="717D783A" w:rsidR="00247A2D" w:rsidRPr="00CB58FC" w:rsidRDefault="00540992" w:rsidP="00247A2D">
      <w:pPr>
        <w:pStyle w:val="ListParagraph"/>
        <w:numPr>
          <w:ilvl w:val="0"/>
          <w:numId w:val="16"/>
        </w:numPr>
        <w:spacing w:before="120" w:after="120"/>
        <w:ind w:left="357" w:hanging="357"/>
      </w:pPr>
      <w:r w:rsidRPr="00CB58FC">
        <w:t xml:space="preserve"> </w:t>
      </w:r>
      <w:bookmarkStart w:id="11" w:name="_Hlk190765131"/>
      <w:r w:rsidR="0061102D" w:rsidRPr="00CB58FC">
        <w:t xml:space="preserve">In addition, </w:t>
      </w:r>
      <w:r w:rsidR="00CA4DE4" w:rsidRPr="00CB58FC">
        <w:t>there are now</w:t>
      </w:r>
      <w:r w:rsidR="0061102D" w:rsidRPr="00CB58FC">
        <w:t xml:space="preserve"> services that have the capacity to provide payments of royalties to creators of NFT artworks in relation to the successive uses of their works based on contractual provisions, even in the absence of national law recognizing ARR. An example of such a </w:t>
      </w:r>
      <w:r w:rsidR="0061102D" w:rsidRPr="00CB58FC">
        <w:lastRenderedPageBreak/>
        <w:t>service is OpenSea in the USA</w:t>
      </w:r>
      <w:r w:rsidR="0061102D" w:rsidRPr="00CB58FC">
        <w:rPr>
          <w:rStyle w:val="FootnoteReference"/>
        </w:rPr>
        <w:footnoteReference w:id="123"/>
      </w:r>
      <w:r w:rsidR="0061102D" w:rsidRPr="00CB58FC">
        <w:t xml:space="preserve">. However, </w:t>
      </w:r>
      <w:r w:rsidR="008033CD" w:rsidRPr="00CB58FC">
        <w:t xml:space="preserve">these contractual provisions are no longer required by OpenSea after other players </w:t>
      </w:r>
      <w:r w:rsidR="002A4A99" w:rsidRPr="00CB58FC">
        <w:t xml:space="preserve">in the market </w:t>
      </w:r>
      <w:r w:rsidR="008033CD" w:rsidRPr="00CB58FC">
        <w:t>offered services without these payments</w:t>
      </w:r>
      <w:r w:rsidR="0061102D" w:rsidRPr="00CB58FC">
        <w:t>.</w:t>
      </w:r>
      <w:r w:rsidR="0061102D" w:rsidRPr="00CB58FC">
        <w:rPr>
          <w:rStyle w:val="FootnoteReference"/>
        </w:rPr>
        <w:footnoteReference w:id="124"/>
      </w:r>
      <w:bookmarkEnd w:id="11"/>
    </w:p>
    <w:p w14:paraId="58646D92" w14:textId="77777777" w:rsidR="00247A2D" w:rsidRPr="00CB58FC" w:rsidRDefault="00247A2D" w:rsidP="0015390C">
      <w:pPr>
        <w:pStyle w:val="ListParagraph"/>
        <w:spacing w:before="120" w:after="120"/>
        <w:ind w:left="357"/>
      </w:pPr>
    </w:p>
    <w:p w14:paraId="0B5D6079" w14:textId="06B01F10" w:rsidR="00540992" w:rsidRPr="00CB58FC" w:rsidRDefault="00540992" w:rsidP="00247A2D">
      <w:pPr>
        <w:pStyle w:val="ListParagraph"/>
        <w:numPr>
          <w:ilvl w:val="0"/>
          <w:numId w:val="16"/>
        </w:numPr>
        <w:spacing w:before="120" w:after="120"/>
        <w:ind w:left="357" w:hanging="357"/>
      </w:pPr>
      <w:r w:rsidRPr="00CB58FC">
        <w:t xml:space="preserve">  </w:t>
      </w:r>
      <w:r w:rsidR="0061102D" w:rsidRPr="00CB58FC">
        <w:t>The Japanese company, Startbahn, Inc,</w:t>
      </w:r>
      <w:r w:rsidR="0061102D" w:rsidRPr="00CB58FC">
        <w:rPr>
          <w:rStyle w:val="FootnoteReference"/>
        </w:rPr>
        <w:footnoteReference w:id="125"/>
      </w:r>
      <w:r w:rsidR="0061102D" w:rsidRPr="00CB58FC">
        <w:t>, provides another example with their blockchain infrastructure, Startrail, which enables artists to receive payments for unauthorized uses of their works; these could also include a component equivalent to ARR in the case of resales. The OpenSea example, however, shows that royalty payments based on contractual arrangements alone are subject to change under the influence of market dynamics and may not provide the same level of certainty and legal security as ARR based on statutory law.</w:t>
      </w:r>
    </w:p>
    <w:p w14:paraId="04299C55" w14:textId="77777777" w:rsidR="00247A2D" w:rsidRPr="00CB58FC" w:rsidRDefault="00247A2D" w:rsidP="0015390C">
      <w:pPr>
        <w:spacing w:before="120" w:after="120"/>
      </w:pPr>
    </w:p>
    <w:p w14:paraId="005FE29D" w14:textId="63FDECD7" w:rsidR="00247A2D" w:rsidRPr="00CB58FC" w:rsidRDefault="00540992" w:rsidP="00247A2D">
      <w:pPr>
        <w:pStyle w:val="ListParagraph"/>
        <w:numPr>
          <w:ilvl w:val="0"/>
          <w:numId w:val="16"/>
        </w:numPr>
        <w:spacing w:before="120" w:after="120"/>
        <w:ind w:left="357" w:hanging="357"/>
      </w:pPr>
      <w:r w:rsidRPr="00CB58FC">
        <w:t xml:space="preserve"> </w:t>
      </w:r>
      <w:r w:rsidR="0061102D" w:rsidRPr="00CB58FC">
        <w:t>Having said this, it is worth noting that technological solutions are not incompatible with ARR, and CMOs managing this right have embraced the new opportunities offered by technology. In France, for example, ADAGP reported collecting ARR from resales of NFTs, although it also noted that such transactions are ‘really rare’ in any event.</w:t>
      </w:r>
      <w:r w:rsidR="0061102D" w:rsidRPr="00CB58FC">
        <w:rPr>
          <w:rStyle w:val="FootnoteReference"/>
        </w:rPr>
        <w:footnoteReference w:id="126"/>
      </w:r>
      <w:r w:rsidR="0061102D" w:rsidRPr="00CB58FC">
        <w:t xml:space="preserve"> Other CMOs were unable to report experience with respect to NFTs arising within their jurisdictions.</w:t>
      </w:r>
    </w:p>
    <w:p w14:paraId="0BBF0C9D" w14:textId="77777777" w:rsidR="00247A2D" w:rsidRPr="00CB58FC" w:rsidRDefault="00247A2D" w:rsidP="0015390C">
      <w:pPr>
        <w:pStyle w:val="ListParagraph"/>
      </w:pPr>
    </w:p>
    <w:p w14:paraId="0F535A62" w14:textId="77777777" w:rsidR="00247A2D" w:rsidRPr="00CB58FC" w:rsidRDefault="00247A2D" w:rsidP="0015390C">
      <w:pPr>
        <w:pStyle w:val="ListParagraph"/>
        <w:spacing w:before="120" w:after="120"/>
        <w:ind w:left="357"/>
      </w:pPr>
    </w:p>
    <w:p w14:paraId="0743BD56" w14:textId="5D3B5EFD" w:rsidR="0061102D" w:rsidRPr="00CB58FC" w:rsidRDefault="00540992" w:rsidP="0015390C">
      <w:pPr>
        <w:pStyle w:val="ListParagraph"/>
        <w:numPr>
          <w:ilvl w:val="0"/>
          <w:numId w:val="16"/>
        </w:numPr>
        <w:spacing w:before="120" w:after="120"/>
        <w:ind w:left="357" w:hanging="357"/>
      </w:pPr>
      <w:r w:rsidRPr="00CB58FC">
        <w:t xml:space="preserve"> </w:t>
      </w:r>
      <w:r w:rsidR="0061102D" w:rsidRPr="00CB58FC">
        <w:t>More generally, it is worth noting in this context that NFTs, when used with the appropriate blockchain technologies and Smart Contracts, may provide a means by which ARR payments could be directed back to the artist. In theory, ARR-type payments could also be made in the case of physical artworks that are recorded or attached to an NFT and even in the absence of a formal recognition of ARR under the law of the country concerned.</w:t>
      </w:r>
      <w:r w:rsidR="0061102D" w:rsidRPr="00CB58FC">
        <w:rPr>
          <w:rStyle w:val="FootnoteReference"/>
        </w:rPr>
        <w:footnoteReference w:id="127"/>
      </w:r>
      <w:r w:rsidRPr="00CB58FC">
        <w:t xml:space="preserve"> </w:t>
      </w:r>
    </w:p>
    <w:p w14:paraId="4072D311" w14:textId="77777777" w:rsidR="00540992" w:rsidRPr="00CB58FC" w:rsidRDefault="00540992" w:rsidP="00540992">
      <w:pPr>
        <w:pStyle w:val="ListParagraph"/>
        <w:ind w:left="360"/>
      </w:pPr>
    </w:p>
    <w:p w14:paraId="5B65A529" w14:textId="05614D49" w:rsidR="00540992" w:rsidRPr="00CB58FC" w:rsidRDefault="00540992" w:rsidP="0015390C">
      <w:r w:rsidRPr="00CB58FC">
        <w:rPr>
          <w:i/>
          <w:iCs/>
        </w:rPr>
        <w:t>TERRITORIAL ISSUES</w:t>
      </w:r>
      <w:r w:rsidRPr="00CB58FC">
        <w:t xml:space="preserve"> </w:t>
      </w:r>
    </w:p>
    <w:p w14:paraId="70B07588" w14:textId="15971778" w:rsidR="00540992" w:rsidRPr="00CB58FC" w:rsidRDefault="00540992" w:rsidP="0015390C">
      <w:pPr>
        <w:pStyle w:val="ListParagraph"/>
        <w:ind w:left="360"/>
      </w:pPr>
    </w:p>
    <w:p w14:paraId="6940E2AC" w14:textId="1E9F9749" w:rsidR="00540992" w:rsidRPr="00CB58FC" w:rsidRDefault="00540992" w:rsidP="00540992">
      <w:pPr>
        <w:pStyle w:val="ListParagraph"/>
        <w:numPr>
          <w:ilvl w:val="0"/>
          <w:numId w:val="16"/>
        </w:numPr>
      </w:pPr>
      <w:r w:rsidRPr="00CB58FC">
        <w:t xml:space="preserve"> </w:t>
      </w:r>
      <w:r w:rsidRPr="00CB58FC">
        <w:rPr>
          <w:rFonts w:cs="Arial"/>
        </w:rPr>
        <w:t xml:space="preserve">Significant issues for CMOs may also arise where foreign art works are offered for sale by an AMP, such as a gallery, within the CMO’s jurisdiction. If the work comes from a country where ARR is recognised and there is a relevant CMO, liability for, and transfer of, any applicable ARR payments can be dealt with under reciprocal agreements between the two CMOS (see further below). However, where the work is from a country with no ARR and no relevant CMO, there will be no basis on which ARR can be claimed or paid in the country where the resale occurs, even though a national or resident author of that country would be entitled to do so, as would an author from a reciprocating country with ARR. Accordingly, an artist from Canada or China will be unable to claim ARR for resales occurring in Australia or in one of the countries </w:t>
      </w:r>
      <w:r w:rsidRPr="00CB58FC">
        <w:rPr>
          <w:rFonts w:cs="Arial"/>
        </w:rPr>
        <w:lastRenderedPageBreak/>
        <w:t>of the European Union. On the matter of entitlement of authors from third countries to claim ARR, see further paras 56-58 of Part I and Table 13 of this Toolkit.</w:t>
      </w:r>
    </w:p>
    <w:p w14:paraId="5CC8BAAE" w14:textId="77777777" w:rsidR="00540992" w:rsidRPr="00CB58FC" w:rsidRDefault="00540992" w:rsidP="0015390C"/>
    <w:p w14:paraId="04D15EBA" w14:textId="77777777" w:rsidR="00540992" w:rsidRPr="00CB58FC" w:rsidRDefault="00540992" w:rsidP="00540992">
      <w:pPr>
        <w:pStyle w:val="Heading2"/>
        <w:rPr>
          <w:i/>
          <w:iCs w:val="0"/>
          <w:szCs w:val="22"/>
        </w:rPr>
      </w:pPr>
      <w:r w:rsidRPr="00CB58FC">
        <w:rPr>
          <w:i/>
          <w:iCs w:val="0"/>
          <w:szCs w:val="22"/>
        </w:rPr>
        <w:t>CATEGORIES OF ARTISTIC WORKS SUBJECT TO ARR</w:t>
      </w:r>
    </w:p>
    <w:p w14:paraId="3462C45D" w14:textId="3CF34C73" w:rsidR="00540992" w:rsidRPr="00CB58FC" w:rsidRDefault="00540992" w:rsidP="0015390C">
      <w:pPr>
        <w:pStyle w:val="ListParagraph"/>
        <w:ind w:left="360"/>
      </w:pPr>
      <w:r w:rsidRPr="00CB58FC">
        <w:rPr>
          <w:rFonts w:cs="Arial"/>
        </w:rPr>
        <w:t xml:space="preserve"> </w:t>
      </w:r>
    </w:p>
    <w:p w14:paraId="7C8DF844" w14:textId="231A99F6" w:rsidR="00540992" w:rsidRPr="00CB58FC" w:rsidRDefault="00540992" w:rsidP="0015390C">
      <w:pPr>
        <w:pStyle w:val="ListParagraph"/>
        <w:numPr>
          <w:ilvl w:val="0"/>
          <w:numId w:val="16"/>
        </w:numPr>
      </w:pPr>
      <w:r w:rsidRPr="00CB58FC">
        <w:rPr>
          <w:rFonts w:cs="Arial"/>
        </w:rPr>
        <w:t xml:space="preserve"> </w:t>
      </w:r>
      <w:r w:rsidRPr="00CB58FC">
        <w:t>An issue that is both legal and practical in character concerns the way in which CMOs - and AMPs and resellers – determine the eligibility of certain categories of visual art for the purposes of ARR. This was not a matter on which specific advice from CMOs was sought in the preparation of this Part but is one which may cause problems in day-to-day management of an ARR scheme. For present purposes, all that can be offered here is to point to several of the questions that may arise here and to refer to approaches that may be adopted:</w:t>
      </w:r>
    </w:p>
    <w:p w14:paraId="6D7A55CA" w14:textId="77777777" w:rsidR="00540992" w:rsidRPr="00CB58FC" w:rsidRDefault="00540992" w:rsidP="00540992">
      <w:pPr>
        <w:pStyle w:val="ListParagraph"/>
        <w:numPr>
          <w:ilvl w:val="1"/>
          <w:numId w:val="16"/>
        </w:numPr>
        <w:rPr>
          <w:rFonts w:cs="Arial"/>
        </w:rPr>
      </w:pPr>
      <w:r w:rsidRPr="00CB58FC">
        <w:rPr>
          <w:rFonts w:cs="Arial"/>
          <w:i/>
          <w:iCs/>
        </w:rPr>
        <w:t>Works produced in limited copies:</w:t>
      </w:r>
      <w:r w:rsidRPr="00CB58FC">
        <w:rPr>
          <w:rFonts w:cs="Arial"/>
        </w:rPr>
        <w:t xml:space="preserve"> examples might be sculptures, photographs, tapestries, enamels, batiks and other print works, audiovisual or digital media works. In principle, each copy should be subject to ARR where this has been produced by the artist or under his or her direct authority or supervision, but it may be useful for there to be some prescription as to how the involvement of the artist in their production is to be evidenced, for example, by way of signature on each copy. Limits on the number of copies that can be made in the case of some categories of works may also assist in providing guidance to CMOs and AMPs as to how to proceed. It will be seen from the provisions set out in the Table below that the EC Directive offers some general guidance on this, while some laws, such as the French, are more prescriptive and directed at particular categories of works.</w:t>
      </w:r>
    </w:p>
    <w:p w14:paraId="093A27CA" w14:textId="77777777" w:rsidR="00540992" w:rsidRPr="00CB58FC" w:rsidRDefault="00540992" w:rsidP="0015390C">
      <w:pPr>
        <w:pStyle w:val="ListParagraph"/>
        <w:numPr>
          <w:ilvl w:val="1"/>
          <w:numId w:val="16"/>
        </w:numPr>
        <w:spacing w:before="120" w:after="120"/>
        <w:ind w:hanging="357"/>
        <w:rPr>
          <w:rFonts w:cs="Arial"/>
        </w:rPr>
      </w:pPr>
      <w:r w:rsidRPr="00CB58FC">
        <w:rPr>
          <w:rFonts w:cs="Arial"/>
          <w:i/>
          <w:iCs/>
        </w:rPr>
        <w:t>‘Works of fine art’ and ‘works of applied art’:</w:t>
      </w:r>
      <w:r w:rsidRPr="00CB58FC">
        <w:rPr>
          <w:rFonts w:cs="Arial"/>
        </w:rPr>
        <w:t xml:space="preserve"> Overlapping with the issue of works produced in limited copies is the distinction that is sometimes drawn between ‘works of fine art’ and ‘works of applied art’, which may also have a functional purpose and will also typically be produced in multiple copies. However, determining which works of applied art should be eligible for ARR can be a difficult issue for those, such as CMOs and AMPs, who must manage such a scheme and, in this regard, it may be helpful for these to be listed specifically. This ‘listing’ approach is adopted to some degree in many national ARR laws, with some, such as Australia, doing this in considerable detail: see Table 3, Part 1. Numerical limits may also assist here (as in par a above), but definitional issues may still arise here with respect to categories that cannot readily be resolved by legislative provisions (examples might be jewellery, glassware, furniture, and items of </w:t>
      </w:r>
      <w:r w:rsidRPr="00CB58FC">
        <w:rPr>
          <w:rFonts w:cs="Arial"/>
          <w:i/>
          <w:iCs/>
        </w:rPr>
        <w:t>haute couture</w:t>
      </w:r>
      <w:r w:rsidRPr="00CB58FC">
        <w:rPr>
          <w:rFonts w:cs="Arial"/>
        </w:rPr>
        <w:t>). In this regard, it may therefore be useful for CMOs and AMPs to agree on protocols and guidelines as to how particular items are to be handled, including numerical limits, authors’ signatures and the like (EVA advises that such agreements are presently occurring within Europe</w:t>
      </w:r>
      <w:r w:rsidRPr="00CB58FC">
        <w:rPr>
          <w:rStyle w:val="FootnoteReference"/>
          <w:rFonts w:cs="Arial"/>
        </w:rPr>
        <w:footnoteReference w:id="128"/>
      </w:r>
      <w:r w:rsidRPr="00CB58FC">
        <w:rPr>
          <w:rFonts w:cs="Arial"/>
        </w:rPr>
        <w:t xml:space="preserve">). </w:t>
      </w:r>
    </w:p>
    <w:p w14:paraId="56373279" w14:textId="1715182C" w:rsidR="00540992" w:rsidRPr="00CB58FC" w:rsidRDefault="00540992" w:rsidP="0015390C">
      <w:pPr>
        <w:pStyle w:val="ListParagraph"/>
        <w:numPr>
          <w:ilvl w:val="1"/>
          <w:numId w:val="16"/>
        </w:numPr>
        <w:spacing w:before="120" w:after="120"/>
      </w:pPr>
      <w:r w:rsidRPr="00CB58FC">
        <w:rPr>
          <w:rFonts w:cs="Arial"/>
          <w:i/>
          <w:iCs/>
        </w:rPr>
        <w:t>Other categories of artistic works:</w:t>
      </w:r>
      <w:r w:rsidRPr="00CB58FC">
        <w:rPr>
          <w:rFonts w:cs="Arial"/>
        </w:rPr>
        <w:t xml:space="preserve"> Protocols and agreed guidelines may also be useful in determining the way in which new areas of evolving artistic practice are dealt with for the purposes of ARR, for example, digital and multimedia works and NFTs. Agreed protocols may likewise be useful in relation to works embodying traditional cultural expressions, noting here the inclusion of such items in the recent NZ legislation.</w:t>
      </w:r>
      <w:r w:rsidRPr="00CB58FC">
        <w:rPr>
          <w:rStyle w:val="FootnoteReference"/>
          <w:rFonts w:cs="Arial"/>
        </w:rPr>
        <w:footnoteReference w:id="129"/>
      </w:r>
    </w:p>
    <w:p w14:paraId="417F9969" w14:textId="027E4CFD" w:rsidR="003D6031" w:rsidRPr="00CB58FC" w:rsidRDefault="0061102D" w:rsidP="0015390C">
      <w:pPr>
        <w:pStyle w:val="ListParagraph"/>
        <w:ind w:left="360"/>
        <w:rPr>
          <w:rFonts w:cs="Arial"/>
        </w:rPr>
      </w:pPr>
      <w:r w:rsidRPr="00CB58FC">
        <w:rPr>
          <w:rFonts w:cs="Arial"/>
        </w:rPr>
        <w:t xml:space="preserve">  </w:t>
      </w:r>
    </w:p>
    <w:p w14:paraId="22158947" w14:textId="1A5FCD04" w:rsidR="003D6031" w:rsidRPr="00CB58FC" w:rsidRDefault="003D6031" w:rsidP="0015390C">
      <w:r w:rsidRPr="00CB58FC">
        <w:t xml:space="preserve"> TABLE 29 – IDENTIFYING ELIGIBLE WORKS IN CERTAIN CASES </w:t>
      </w:r>
    </w:p>
    <w:p w14:paraId="2F402E67" w14:textId="77777777" w:rsidR="003D6031" w:rsidRPr="00CB58FC" w:rsidRDefault="003D6031" w:rsidP="003D6031"/>
    <w:tbl>
      <w:tblPr>
        <w:tblStyle w:val="TableGrid"/>
        <w:tblW w:w="0" w:type="auto"/>
        <w:tblLook w:val="04A0" w:firstRow="1" w:lastRow="0" w:firstColumn="1" w:lastColumn="0" w:noHBand="0" w:noVBand="1"/>
      </w:tblPr>
      <w:tblGrid>
        <w:gridCol w:w="2644"/>
        <w:gridCol w:w="3160"/>
        <w:gridCol w:w="3206"/>
      </w:tblGrid>
      <w:tr w:rsidR="003D6031" w:rsidRPr="00CB58FC" w14:paraId="6636BD7A" w14:textId="77777777" w:rsidTr="009505EE">
        <w:tc>
          <w:tcPr>
            <w:tcW w:w="2644" w:type="dxa"/>
          </w:tcPr>
          <w:p w14:paraId="4C40F571" w14:textId="77777777" w:rsidR="003D6031" w:rsidRPr="00CB58FC" w:rsidRDefault="003D6031" w:rsidP="009505EE">
            <w:pPr>
              <w:rPr>
                <w:b/>
                <w:bCs/>
              </w:rPr>
            </w:pPr>
            <w:r w:rsidRPr="00CB58FC">
              <w:rPr>
                <w:b/>
                <w:bCs/>
              </w:rPr>
              <w:lastRenderedPageBreak/>
              <w:t>Country or region</w:t>
            </w:r>
          </w:p>
        </w:tc>
        <w:tc>
          <w:tcPr>
            <w:tcW w:w="3160" w:type="dxa"/>
          </w:tcPr>
          <w:p w14:paraId="7314C996" w14:textId="77777777" w:rsidR="003D6031" w:rsidRPr="00CB58FC" w:rsidRDefault="003D6031" w:rsidP="009505EE">
            <w:pPr>
              <w:rPr>
                <w:b/>
                <w:bCs/>
              </w:rPr>
            </w:pPr>
            <w:r w:rsidRPr="00CB58FC">
              <w:rPr>
                <w:b/>
                <w:bCs/>
              </w:rPr>
              <w:t>Provision</w:t>
            </w:r>
          </w:p>
        </w:tc>
        <w:tc>
          <w:tcPr>
            <w:tcW w:w="3206" w:type="dxa"/>
          </w:tcPr>
          <w:p w14:paraId="7F868204" w14:textId="77777777" w:rsidR="003D6031" w:rsidRPr="00CB58FC" w:rsidRDefault="003D6031" w:rsidP="009505EE">
            <w:pPr>
              <w:rPr>
                <w:b/>
                <w:bCs/>
              </w:rPr>
            </w:pPr>
            <w:r w:rsidRPr="00CB58FC">
              <w:rPr>
                <w:b/>
                <w:bCs/>
              </w:rPr>
              <w:t>Comment</w:t>
            </w:r>
          </w:p>
        </w:tc>
      </w:tr>
      <w:tr w:rsidR="003D6031" w:rsidRPr="00CB58FC" w14:paraId="01D648D8" w14:textId="77777777" w:rsidTr="009505EE">
        <w:tc>
          <w:tcPr>
            <w:tcW w:w="2644" w:type="dxa"/>
          </w:tcPr>
          <w:p w14:paraId="5D0FCC0F" w14:textId="4F2AFB9A" w:rsidR="003D6031" w:rsidRPr="00CB58FC" w:rsidRDefault="003D6031" w:rsidP="009505EE">
            <w:pPr>
              <w:rPr>
                <w:sz w:val="20"/>
                <w:szCs w:val="20"/>
              </w:rPr>
            </w:pPr>
            <w:r w:rsidRPr="00CB58FC">
              <w:rPr>
                <w:sz w:val="20"/>
                <w:szCs w:val="20"/>
              </w:rPr>
              <w:t>E</w:t>
            </w:r>
            <w:r w:rsidR="00DA727D" w:rsidRPr="00CB58FC">
              <w:rPr>
                <w:sz w:val="20"/>
                <w:szCs w:val="20"/>
              </w:rPr>
              <w:t>U</w:t>
            </w:r>
            <w:r w:rsidR="000D0922" w:rsidRPr="00CB58FC">
              <w:rPr>
                <w:rStyle w:val="FootnoteReference"/>
                <w:sz w:val="20"/>
                <w:szCs w:val="20"/>
              </w:rPr>
              <w:footnoteReference w:id="130"/>
            </w:r>
            <w:r w:rsidRPr="00CB58FC">
              <w:rPr>
                <w:sz w:val="20"/>
                <w:szCs w:val="20"/>
              </w:rPr>
              <w:t xml:space="preserve"> </w:t>
            </w:r>
          </w:p>
        </w:tc>
        <w:tc>
          <w:tcPr>
            <w:tcW w:w="3160" w:type="dxa"/>
          </w:tcPr>
          <w:p w14:paraId="42143404"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t xml:space="preserve"> </w:t>
            </w:r>
            <w:r w:rsidRPr="00CB58FC">
              <w:rPr>
                <w:rFonts w:eastAsiaTheme="minorEastAsia"/>
                <w:sz w:val="20"/>
                <w:szCs w:val="20"/>
                <w14:ligatures w14:val="standardContextual"/>
              </w:rPr>
              <w:t>1. For the purposes of this Directive, ‘original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w:t>
            </w:r>
          </w:p>
          <w:p w14:paraId="1C1C4BC1" w14:textId="31E911A3"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2. Copies of works of art covered by this Directive, which have been made in limited numbers by the artist himself or under his authority, shall be considered to be original works of art for the purposes of this Directive. Such copies will normally have been numbered, signed</w:t>
            </w:r>
            <w:r w:rsidR="00E74F87" w:rsidRPr="00CB58FC">
              <w:rPr>
                <w:rFonts w:eastAsiaTheme="minorEastAsia"/>
                <w:sz w:val="20"/>
                <w:szCs w:val="20"/>
                <w14:ligatures w14:val="standardContextual"/>
              </w:rPr>
              <w:t>, or otherwise duly authorized</w:t>
            </w:r>
            <w:r w:rsidRPr="00CB58FC">
              <w:rPr>
                <w:rFonts w:eastAsiaTheme="minorEastAsia"/>
                <w:sz w:val="20"/>
                <w:szCs w:val="20"/>
                <w14:ligatures w14:val="standardContextual"/>
              </w:rPr>
              <w:t xml:space="preserve"> by the artist.</w:t>
            </w:r>
          </w:p>
        </w:tc>
        <w:tc>
          <w:tcPr>
            <w:tcW w:w="3206" w:type="dxa"/>
          </w:tcPr>
          <w:p w14:paraId="0492FDD7" w14:textId="77777777" w:rsidR="003D6031" w:rsidRPr="00CB58FC" w:rsidRDefault="003D6031" w:rsidP="003D6031">
            <w:pPr>
              <w:pStyle w:val="ListParagraph"/>
              <w:numPr>
                <w:ilvl w:val="0"/>
                <w:numId w:val="20"/>
              </w:numPr>
              <w:rPr>
                <w:rFonts w:cs="Arial"/>
                <w:sz w:val="20"/>
                <w:szCs w:val="20"/>
              </w:rPr>
            </w:pPr>
            <w:r w:rsidRPr="00CB58FC">
              <w:rPr>
                <w:rFonts w:cs="Arial"/>
                <w:sz w:val="20"/>
                <w:szCs w:val="20"/>
              </w:rPr>
              <w:t>This provides an inclusive list of eligible works of art, including some works of applied art, eg ceramics and glassware</w:t>
            </w:r>
          </w:p>
          <w:p w14:paraId="1620C29A" w14:textId="77777777" w:rsidR="003D6031" w:rsidRPr="00CB58FC" w:rsidRDefault="003D6031" w:rsidP="003D6031">
            <w:pPr>
              <w:pStyle w:val="ListParagraph"/>
              <w:numPr>
                <w:ilvl w:val="0"/>
                <w:numId w:val="20"/>
              </w:numPr>
              <w:rPr>
                <w:rFonts w:cs="Arial"/>
              </w:rPr>
            </w:pPr>
            <w:r w:rsidRPr="00CB58FC">
              <w:rPr>
                <w:rFonts w:cs="Arial"/>
                <w:sz w:val="20"/>
                <w:szCs w:val="20"/>
              </w:rPr>
              <w:t>It points to the need for it to be established these works are made by the artist himself and provides for limited copies duly signed or authorized by the artist</w:t>
            </w:r>
            <w:r w:rsidRPr="00CB58FC">
              <w:rPr>
                <w:rFonts w:cs="Arial"/>
              </w:rPr>
              <w:t>.</w:t>
            </w:r>
          </w:p>
        </w:tc>
      </w:tr>
      <w:tr w:rsidR="003D6031" w:rsidRPr="00CB58FC" w14:paraId="2C1E704A" w14:textId="77777777" w:rsidTr="009505EE">
        <w:tc>
          <w:tcPr>
            <w:tcW w:w="2644" w:type="dxa"/>
          </w:tcPr>
          <w:p w14:paraId="14B5311B" w14:textId="20D813A9" w:rsidR="003D6031" w:rsidRPr="00CB58FC" w:rsidRDefault="003D6031" w:rsidP="009505EE">
            <w:pPr>
              <w:rPr>
                <w:sz w:val="20"/>
                <w:szCs w:val="20"/>
              </w:rPr>
            </w:pPr>
            <w:r w:rsidRPr="00CB58FC">
              <w:rPr>
                <w:sz w:val="20"/>
                <w:szCs w:val="20"/>
              </w:rPr>
              <w:t>France</w:t>
            </w:r>
            <w:r w:rsidR="000D0922" w:rsidRPr="00CB58FC">
              <w:rPr>
                <w:rStyle w:val="FootnoteReference"/>
                <w:sz w:val="20"/>
                <w:szCs w:val="20"/>
              </w:rPr>
              <w:footnoteReference w:id="131"/>
            </w:r>
            <w:r w:rsidRPr="00CB58FC">
              <w:rPr>
                <w:sz w:val="20"/>
                <w:szCs w:val="20"/>
              </w:rPr>
              <w:t xml:space="preserve"> </w:t>
            </w:r>
          </w:p>
        </w:tc>
        <w:tc>
          <w:tcPr>
            <w:tcW w:w="3160" w:type="dxa"/>
          </w:tcPr>
          <w:p w14:paraId="46E019C1" w14:textId="77777777" w:rsidR="003D6031" w:rsidRPr="00CB58FC" w:rsidRDefault="003D6031" w:rsidP="0015390C">
            <w:pPr>
              <w:jc w:val="both"/>
              <w:rPr>
                <w:sz w:val="20"/>
                <w:szCs w:val="20"/>
              </w:rPr>
            </w:pPr>
            <w:r w:rsidRPr="00CB58FC">
              <w:rPr>
                <w:sz w:val="20"/>
              </w:rPr>
              <w:t>The works mentioned in article R. 122-2 are original graphic or plastic works created by the author himself, such as paintings, collages, paintings, drawings, engravings, prints, lithographs, sculptures, tapestries, ceramics, glasswork, photographs and plastic creations on audiovisual or digital media.</w:t>
            </w:r>
          </w:p>
          <w:p w14:paraId="1E48E140" w14:textId="1C76F777" w:rsidR="003D6031" w:rsidRPr="00CB58FC" w:rsidRDefault="003D6031" w:rsidP="0015390C">
            <w:pPr>
              <w:jc w:val="both"/>
              <w:rPr>
                <w:sz w:val="20"/>
                <w:szCs w:val="20"/>
              </w:rPr>
            </w:pPr>
            <w:r w:rsidRPr="00CB58FC">
              <w:rPr>
                <w:sz w:val="20"/>
              </w:rPr>
              <w:t xml:space="preserve">Works executed in a limited number of copies and under the responsibility of the author are considered original works of art within the meaning of the preceding paragraph if they are numbered or signed or duly authorized in another way by the </w:t>
            </w:r>
            <w:r w:rsidR="00DA727D" w:rsidRPr="00CB58FC">
              <w:rPr>
                <w:sz w:val="20"/>
              </w:rPr>
              <w:t>author.</w:t>
            </w:r>
            <w:r w:rsidRPr="00CB58FC">
              <w:rPr>
                <w:sz w:val="20"/>
              </w:rPr>
              <w:t xml:space="preserve"> These are in particular:</w:t>
            </w:r>
          </w:p>
          <w:p w14:paraId="6CF60972" w14:textId="77777777" w:rsidR="003D6031" w:rsidRPr="00CB58FC" w:rsidRDefault="003D6031" w:rsidP="0015390C">
            <w:pPr>
              <w:jc w:val="both"/>
              <w:rPr>
                <w:sz w:val="20"/>
                <w:szCs w:val="20"/>
              </w:rPr>
            </w:pPr>
            <w:r w:rsidRPr="00CB58FC">
              <w:rPr>
                <w:sz w:val="20"/>
              </w:rPr>
              <w:t>a) Original engravings, prints and lithographs taken in limited numbers from one or more plates;</w:t>
            </w:r>
          </w:p>
          <w:p w14:paraId="35D55945" w14:textId="77777777" w:rsidR="003D6031" w:rsidRPr="00CB58FC" w:rsidRDefault="003D6031" w:rsidP="0015390C">
            <w:pPr>
              <w:jc w:val="both"/>
              <w:rPr>
                <w:sz w:val="20"/>
                <w:szCs w:val="20"/>
              </w:rPr>
            </w:pPr>
            <w:r w:rsidRPr="00CB58FC">
              <w:rPr>
                <w:sz w:val="20"/>
              </w:rPr>
              <w:t>b) Sculpture editions, limited to twelve copies, numbered copies and artist's proofs combined;</w:t>
            </w:r>
          </w:p>
          <w:p w14:paraId="54CE7379" w14:textId="77777777" w:rsidR="003D6031" w:rsidRPr="00CB58FC" w:rsidRDefault="003D6031" w:rsidP="0015390C">
            <w:pPr>
              <w:jc w:val="both"/>
              <w:rPr>
                <w:sz w:val="20"/>
                <w:szCs w:val="20"/>
              </w:rPr>
            </w:pPr>
            <w:r w:rsidRPr="00CB58FC">
              <w:rPr>
                <w:sz w:val="20"/>
              </w:rPr>
              <w:t>c) Tapestries and works of textile art made by hand, based on original models provided by the artist, within the limit of eight copies;</w:t>
            </w:r>
          </w:p>
          <w:p w14:paraId="0F30C6C5" w14:textId="77777777" w:rsidR="003D6031" w:rsidRPr="00CB58FC" w:rsidRDefault="003D6031" w:rsidP="0015390C">
            <w:pPr>
              <w:jc w:val="both"/>
              <w:rPr>
                <w:sz w:val="20"/>
                <w:szCs w:val="20"/>
              </w:rPr>
            </w:pPr>
            <w:r w:rsidRPr="00CB58FC">
              <w:rPr>
                <w:sz w:val="20"/>
              </w:rPr>
              <w:t xml:space="preserve">d) Enamels executed entirely by hand and bearing the artist's signature, within the limit of eight </w:t>
            </w:r>
            <w:r w:rsidRPr="00CB58FC">
              <w:rPr>
                <w:sz w:val="20"/>
              </w:rPr>
              <w:lastRenderedPageBreak/>
              <w:t>numbered copies and four artist's proofs;</w:t>
            </w:r>
          </w:p>
          <w:p w14:paraId="5D4636ED" w14:textId="77777777" w:rsidR="003D6031" w:rsidRPr="00CB58FC" w:rsidRDefault="003D6031" w:rsidP="0015390C">
            <w:pPr>
              <w:jc w:val="both"/>
              <w:rPr>
                <w:sz w:val="20"/>
                <w:szCs w:val="20"/>
              </w:rPr>
            </w:pPr>
            <w:r w:rsidRPr="00CB58FC">
              <w:rPr>
                <w:sz w:val="20"/>
              </w:rPr>
              <w:t>e) Signed photographic works, within the limit of thirty copies, whatever the format and support;</w:t>
            </w:r>
          </w:p>
          <w:p w14:paraId="2F1AE8E5" w14:textId="69B60740" w:rsidR="003D6031" w:rsidRPr="00CB58FC" w:rsidRDefault="003D6031" w:rsidP="0015390C">
            <w:pPr>
              <w:jc w:val="both"/>
            </w:pPr>
            <w:r w:rsidRPr="00CB58FC">
              <w:rPr>
                <w:sz w:val="20"/>
              </w:rPr>
              <w:t>f) Plastic creations on audiovisual or digital media within the limit of twelve copies.</w:t>
            </w:r>
          </w:p>
        </w:tc>
        <w:tc>
          <w:tcPr>
            <w:tcW w:w="3206" w:type="dxa"/>
          </w:tcPr>
          <w:p w14:paraId="36656F23" w14:textId="1B004522" w:rsidR="003D6031" w:rsidRPr="00CB58FC" w:rsidRDefault="003D6031" w:rsidP="003D6031">
            <w:pPr>
              <w:pStyle w:val="ListParagraph"/>
              <w:numPr>
                <w:ilvl w:val="0"/>
                <w:numId w:val="19"/>
              </w:numPr>
              <w:spacing w:after="0"/>
              <w:rPr>
                <w:rFonts w:eastAsia="Times New Roman" w:cs="Arial"/>
                <w:sz w:val="20"/>
                <w:szCs w:val="20"/>
                <w:lang w:val="en-US" w:eastAsia="en-GB"/>
              </w:rPr>
            </w:pPr>
            <w:r w:rsidRPr="00CB58FC">
              <w:rPr>
                <w:rFonts w:eastAsia="Times New Roman" w:cs="Arial"/>
                <w:sz w:val="20"/>
                <w:szCs w:val="20"/>
                <w:lang w:val="en-US" w:eastAsia="en-GB"/>
              </w:rPr>
              <w:lastRenderedPageBreak/>
              <w:t xml:space="preserve">Apart from the numerical limits, this requires numbering of copies and signing of the </w:t>
            </w:r>
            <w:r w:rsidR="00F85847" w:rsidRPr="00CB58FC">
              <w:rPr>
                <w:rFonts w:eastAsia="Times New Roman" w:cs="Arial"/>
                <w:sz w:val="20"/>
                <w:szCs w:val="20"/>
                <w:lang w:val="en-US" w:eastAsia="en-GB"/>
              </w:rPr>
              <w:t>copies by</w:t>
            </w:r>
            <w:r w:rsidRPr="00CB58FC">
              <w:rPr>
                <w:rFonts w:eastAsia="Times New Roman" w:cs="Arial"/>
                <w:sz w:val="20"/>
                <w:szCs w:val="20"/>
                <w:lang w:val="en-US" w:eastAsia="en-GB"/>
              </w:rPr>
              <w:t xml:space="preserve"> the artist. </w:t>
            </w:r>
          </w:p>
          <w:p w14:paraId="6C65524D" w14:textId="7468E5F7" w:rsidR="003D6031" w:rsidRPr="00CB58FC" w:rsidRDefault="003D6031" w:rsidP="00F85847">
            <w:pPr>
              <w:pStyle w:val="ListParagraph"/>
              <w:numPr>
                <w:ilvl w:val="0"/>
                <w:numId w:val="19"/>
              </w:numPr>
              <w:spacing w:after="0"/>
              <w:rPr>
                <w:rFonts w:eastAsia="Times New Roman" w:cs="Arial"/>
                <w:lang w:val="en-US" w:eastAsia="en-GB"/>
              </w:rPr>
            </w:pPr>
            <w:r w:rsidRPr="00CB58FC">
              <w:rPr>
                <w:rFonts w:eastAsia="Times New Roman" w:cs="Arial"/>
                <w:sz w:val="20"/>
                <w:szCs w:val="20"/>
                <w:lang w:val="en-US" w:eastAsia="en-GB"/>
              </w:rPr>
              <w:t xml:space="preserve">This is not an exhaustive list, as ADAGP points out: ‘…certain categories such as applied arts, illustrated books, or haute couture pieces may also qualify for ARR, provided that the artwork is original, meaning it is </w:t>
            </w:r>
            <w:r w:rsidRPr="00A5081E">
              <w:rPr>
                <w:rFonts w:eastAsia="Times New Roman" w:cs="Arial"/>
                <w:sz w:val="20"/>
                <w:szCs w:val="20"/>
                <w:lang w:val="en-US" w:eastAsia="en-GB"/>
              </w:rPr>
              <w:t>numbered </w:t>
            </w:r>
            <w:r w:rsidRPr="00AE5EBA">
              <w:rPr>
                <w:rFonts w:eastAsia="Times New Roman" w:cs="Arial"/>
                <w:sz w:val="20"/>
                <w:szCs w:val="20"/>
                <w:lang w:val="en-US" w:eastAsia="en-GB"/>
              </w:rPr>
              <w:t>or</w:t>
            </w:r>
            <w:r w:rsidRPr="00A5081E">
              <w:rPr>
                <w:rFonts w:eastAsia="Times New Roman" w:cs="Arial"/>
                <w:sz w:val="20"/>
                <w:szCs w:val="20"/>
                <w:lang w:val="en-US" w:eastAsia="en-GB"/>
              </w:rPr>
              <w:t> signed, </w:t>
            </w:r>
            <w:r w:rsidR="00F85847" w:rsidRPr="00AE5EBA">
              <w:rPr>
                <w:rFonts w:eastAsia="Times New Roman" w:cs="Arial"/>
                <w:sz w:val="20"/>
                <w:szCs w:val="20"/>
                <w:lang w:val="en-US" w:eastAsia="en-GB"/>
              </w:rPr>
              <w:t>or otherwise</w:t>
            </w:r>
            <w:r w:rsidRPr="00CB58FC">
              <w:rPr>
                <w:rFonts w:eastAsia="Times New Roman" w:cs="Arial"/>
                <w:sz w:val="20"/>
                <w:szCs w:val="20"/>
                <w:lang w:val="en-US" w:eastAsia="en-GB"/>
              </w:rPr>
              <w:t xml:space="preserve"> authorized by the artist (Art. R 122-3 IPC). It is the responsibility of the ARR department to determine, based on professional opinions from AMP’s, internal research conducted on a specific artist's work, and with the assistance of the artist or rights holders, whether an artwork qualifies as original within the scope of the article.’</w:t>
            </w:r>
          </w:p>
          <w:p w14:paraId="061343D8" w14:textId="77777777" w:rsidR="003D6031" w:rsidRPr="00CB58FC" w:rsidRDefault="003D6031" w:rsidP="009505EE"/>
        </w:tc>
      </w:tr>
      <w:tr w:rsidR="00922330" w:rsidRPr="00CB58FC" w14:paraId="1FB82219" w14:textId="77777777" w:rsidTr="009505EE">
        <w:tc>
          <w:tcPr>
            <w:tcW w:w="2644" w:type="dxa"/>
          </w:tcPr>
          <w:p w14:paraId="60152003" w14:textId="2C2EE00D" w:rsidR="00922330" w:rsidRPr="00CB58FC" w:rsidRDefault="00922330" w:rsidP="009505EE">
            <w:pPr>
              <w:rPr>
                <w:sz w:val="20"/>
              </w:rPr>
            </w:pPr>
            <w:r w:rsidRPr="00CB58FC">
              <w:rPr>
                <w:sz w:val="20"/>
              </w:rPr>
              <w:t>Gree</w:t>
            </w:r>
            <w:r w:rsidR="000D0922" w:rsidRPr="00CB58FC">
              <w:rPr>
                <w:sz w:val="20"/>
              </w:rPr>
              <w:t>ce</w:t>
            </w:r>
            <w:r w:rsidR="000D0922" w:rsidRPr="00CB58FC">
              <w:rPr>
                <w:rStyle w:val="FootnoteReference"/>
                <w:sz w:val="20"/>
              </w:rPr>
              <w:footnoteReference w:id="132"/>
            </w:r>
            <w:r w:rsidRPr="00CB58FC">
              <w:rPr>
                <w:sz w:val="20"/>
              </w:rPr>
              <w:t xml:space="preserve"> </w:t>
            </w:r>
          </w:p>
        </w:tc>
        <w:tc>
          <w:tcPr>
            <w:tcW w:w="3160" w:type="dxa"/>
          </w:tcPr>
          <w:p w14:paraId="257A055C" w14:textId="1050A517" w:rsidR="00922330" w:rsidRPr="00CB58FC" w:rsidRDefault="00922330" w:rsidP="00922330">
            <w:pPr>
              <w:jc w:val="both"/>
              <w:rPr>
                <w:sz w:val="20"/>
                <w:szCs w:val="20"/>
              </w:rPr>
            </w:pPr>
            <w:r w:rsidRPr="00CB58FC">
              <w:rPr>
                <w:color w:val="5A6065"/>
                <w:sz w:val="20"/>
                <w:szCs w:val="20"/>
              </w:rPr>
              <w:t xml:space="preserve">2. </w:t>
            </w:r>
            <w:r w:rsidRPr="00CB58FC">
              <w:rPr>
                <w:sz w:val="20"/>
                <w:szCs w:val="20"/>
              </w:rPr>
              <w:t>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 Copies of works of art, which have been made in limited numbers by the artist himself or under his authority, shall be considered to be original works of art for the purposes of the resale right. Such copies will normally have been numbered, signed or otherwise duly authori</w:t>
            </w:r>
            <w:r w:rsidR="00E74F87" w:rsidRPr="00CB58FC">
              <w:rPr>
                <w:sz w:val="20"/>
                <w:szCs w:val="20"/>
              </w:rPr>
              <w:t>z</w:t>
            </w:r>
            <w:r w:rsidRPr="00CB58FC">
              <w:rPr>
                <w:sz w:val="20"/>
                <w:szCs w:val="20"/>
              </w:rPr>
              <w:t>ed by the artist.</w:t>
            </w:r>
          </w:p>
        </w:tc>
        <w:tc>
          <w:tcPr>
            <w:tcW w:w="3206" w:type="dxa"/>
          </w:tcPr>
          <w:p w14:paraId="552C4DF9" w14:textId="1A49914A" w:rsidR="00922330" w:rsidRPr="00CB58FC" w:rsidRDefault="004463E1" w:rsidP="003D6031">
            <w:pPr>
              <w:pStyle w:val="ListParagraph"/>
              <w:numPr>
                <w:ilvl w:val="0"/>
                <w:numId w:val="19"/>
              </w:numPr>
              <w:spacing w:after="0"/>
              <w:rPr>
                <w:rFonts w:eastAsia="Times New Roman" w:cs="Arial"/>
                <w:sz w:val="20"/>
                <w:szCs w:val="20"/>
                <w:lang w:val="en-US" w:eastAsia="en-GB"/>
              </w:rPr>
            </w:pPr>
            <w:r w:rsidRPr="00CB58FC">
              <w:rPr>
                <w:rFonts w:eastAsia="Times New Roman" w:cs="Arial"/>
                <w:sz w:val="20"/>
                <w:szCs w:val="20"/>
                <w:lang w:val="en-US" w:eastAsia="en-GB"/>
              </w:rPr>
              <w:t>Framed consistently with the terms of the EC Directive.</w:t>
            </w:r>
          </w:p>
        </w:tc>
      </w:tr>
      <w:tr w:rsidR="003D6031" w:rsidRPr="00CB58FC" w14:paraId="2BBB7704" w14:textId="77777777" w:rsidTr="009505EE">
        <w:tc>
          <w:tcPr>
            <w:tcW w:w="2644" w:type="dxa"/>
          </w:tcPr>
          <w:p w14:paraId="26C690EA" w14:textId="0DD9648E" w:rsidR="003D6031" w:rsidRPr="00CB58FC" w:rsidRDefault="003D6031" w:rsidP="009505EE">
            <w:pPr>
              <w:rPr>
                <w:sz w:val="20"/>
                <w:szCs w:val="20"/>
              </w:rPr>
            </w:pPr>
            <w:r w:rsidRPr="00CB58FC">
              <w:rPr>
                <w:sz w:val="20"/>
                <w:szCs w:val="20"/>
              </w:rPr>
              <w:t>UK</w:t>
            </w:r>
            <w:r w:rsidR="000D0922" w:rsidRPr="00CB58FC">
              <w:rPr>
                <w:rStyle w:val="FootnoteReference"/>
                <w:sz w:val="20"/>
                <w:szCs w:val="20"/>
              </w:rPr>
              <w:footnoteReference w:id="133"/>
            </w:r>
            <w:r w:rsidRPr="00CB58FC">
              <w:rPr>
                <w:sz w:val="20"/>
                <w:szCs w:val="20"/>
              </w:rPr>
              <w:t xml:space="preserve"> </w:t>
            </w:r>
          </w:p>
        </w:tc>
        <w:tc>
          <w:tcPr>
            <w:tcW w:w="3160" w:type="dxa"/>
          </w:tcPr>
          <w:p w14:paraId="2AB2262B"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1"/>
                <w:szCs w:val="21"/>
                <w14:ligatures w14:val="standardContextual"/>
              </w:rPr>
              <w:t>4.—(1) F</w:t>
            </w:r>
            <w:r w:rsidRPr="00CB58FC">
              <w:rPr>
                <w:rFonts w:eastAsiaTheme="minorEastAsia"/>
                <w:sz w:val="20"/>
                <w:szCs w:val="20"/>
                <w14:ligatures w14:val="standardContextual"/>
              </w:rPr>
              <w:t>or the purposes of these Regulations, “work” means any work of graphic or plastic art such as a picture, a collage, a painting, a drawing, an engraving, a print, a lithograph, a sculpture, a tapestry, a ceramic, an item of glassware or a photograph.</w:t>
            </w:r>
          </w:p>
          <w:p w14:paraId="0F6F0C33" w14:textId="77777777" w:rsidR="003D6031" w:rsidRPr="00CB58FC" w:rsidRDefault="003D6031" w:rsidP="0015390C">
            <w:pPr>
              <w:autoSpaceDE w:val="0"/>
              <w:autoSpaceDN w:val="0"/>
              <w:adjustRightInd w:val="0"/>
              <w:jc w:val="both"/>
              <w:rPr>
                <w:rStyle w:val="y2iqfc"/>
                <w:rFonts w:eastAsiaTheme="minorEastAsia"/>
                <w:sz w:val="21"/>
                <w:szCs w:val="21"/>
                <w14:ligatures w14:val="standardContextual"/>
              </w:rPr>
            </w:pPr>
            <w:r w:rsidRPr="00CB58FC">
              <w:rPr>
                <w:rFonts w:eastAsiaTheme="minorEastAsia"/>
                <w:sz w:val="20"/>
                <w:szCs w:val="20"/>
                <w14:ligatures w14:val="standardContextual"/>
              </w:rPr>
              <w:t>(2) However, a copy of a work is not to be regarded as a work unless the copy is one of a limited number which have been made by the author or under his authority.</w:t>
            </w:r>
          </w:p>
        </w:tc>
        <w:tc>
          <w:tcPr>
            <w:tcW w:w="3206" w:type="dxa"/>
          </w:tcPr>
          <w:p w14:paraId="3233CC6E" w14:textId="77777777" w:rsidR="003D6031" w:rsidRPr="00CB58FC" w:rsidRDefault="003D6031" w:rsidP="003D6031">
            <w:pPr>
              <w:pStyle w:val="ListParagraph"/>
              <w:numPr>
                <w:ilvl w:val="0"/>
                <w:numId w:val="21"/>
              </w:numPr>
              <w:rPr>
                <w:rFonts w:cs="Arial"/>
                <w:sz w:val="20"/>
                <w:szCs w:val="20"/>
              </w:rPr>
            </w:pPr>
            <w:r w:rsidRPr="00CB58FC">
              <w:rPr>
                <w:rFonts w:cs="Arial"/>
                <w:sz w:val="20"/>
                <w:szCs w:val="20"/>
              </w:rPr>
              <w:t>This follows the terms of the EC Directive and provides an inclusive list of works subject to ARR, including several (tapestry, ceramic and glassware) which will be works of applied art</w:t>
            </w:r>
          </w:p>
          <w:p w14:paraId="083671E1" w14:textId="67F366A9" w:rsidR="003D6031" w:rsidRPr="00CB58FC" w:rsidRDefault="003D6031" w:rsidP="003D6031">
            <w:pPr>
              <w:pStyle w:val="ListParagraph"/>
              <w:numPr>
                <w:ilvl w:val="0"/>
                <w:numId w:val="21"/>
              </w:numPr>
              <w:rPr>
                <w:rFonts w:cs="Arial"/>
                <w:sz w:val="20"/>
                <w:szCs w:val="20"/>
              </w:rPr>
            </w:pPr>
            <w:r w:rsidRPr="00CB58FC">
              <w:rPr>
                <w:rFonts w:cs="Arial"/>
                <w:sz w:val="20"/>
                <w:szCs w:val="20"/>
              </w:rPr>
              <w:t xml:space="preserve">As under the EC Directive, there is no prescription of numerical limits (as in France), apart </w:t>
            </w:r>
            <w:r w:rsidR="00DA727D" w:rsidRPr="00CB58FC">
              <w:rPr>
                <w:rFonts w:cs="Arial"/>
                <w:sz w:val="20"/>
                <w:szCs w:val="20"/>
              </w:rPr>
              <w:t>from</w:t>
            </w:r>
            <w:r w:rsidRPr="00CB58FC">
              <w:rPr>
                <w:rFonts w:cs="Arial"/>
                <w:sz w:val="20"/>
                <w:szCs w:val="20"/>
              </w:rPr>
              <w:t xml:space="preserve"> the general requirement that the copy is one of ‘a limited number’.</w:t>
            </w:r>
          </w:p>
        </w:tc>
      </w:tr>
      <w:tr w:rsidR="003D6031" w:rsidRPr="00CB58FC" w14:paraId="0FEB9C26" w14:textId="77777777" w:rsidTr="009505EE">
        <w:tc>
          <w:tcPr>
            <w:tcW w:w="2644" w:type="dxa"/>
          </w:tcPr>
          <w:p w14:paraId="51D1A9B9" w14:textId="74B04BFE" w:rsidR="003D6031" w:rsidRPr="00CB58FC" w:rsidRDefault="003D6031" w:rsidP="009505EE">
            <w:pPr>
              <w:rPr>
                <w:sz w:val="20"/>
                <w:szCs w:val="20"/>
              </w:rPr>
            </w:pPr>
            <w:r w:rsidRPr="00CB58FC">
              <w:rPr>
                <w:sz w:val="20"/>
                <w:szCs w:val="20"/>
              </w:rPr>
              <w:t>New Zealand</w:t>
            </w:r>
            <w:r w:rsidR="000D0922" w:rsidRPr="00CB58FC">
              <w:rPr>
                <w:rStyle w:val="FootnoteReference"/>
                <w:sz w:val="20"/>
                <w:szCs w:val="20"/>
              </w:rPr>
              <w:footnoteReference w:id="134"/>
            </w:r>
            <w:r w:rsidRPr="00CB58FC">
              <w:rPr>
                <w:sz w:val="20"/>
                <w:szCs w:val="20"/>
              </w:rPr>
              <w:t xml:space="preserve"> </w:t>
            </w:r>
          </w:p>
        </w:tc>
        <w:tc>
          <w:tcPr>
            <w:tcW w:w="3160" w:type="dxa"/>
          </w:tcPr>
          <w:p w14:paraId="7368ECCE"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8 Meaning of original visual artwork</w:t>
            </w:r>
          </w:p>
          <w:p w14:paraId="1B51896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(1) An artwork is an original visual artwork if it is—</w:t>
            </w:r>
          </w:p>
          <w:p w14:paraId="22121EB3"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(a) a visual artwork created by, or under the authority of, an artist; or</w:t>
            </w:r>
          </w:p>
          <w:p w14:paraId="5A157325" w14:textId="5890082F"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w:t>
            </w:r>
            <w:r w:rsidR="00F85847" w:rsidRPr="00CB58FC">
              <w:rPr>
                <w:rFonts w:eastAsiaTheme="minorEastAsia"/>
                <w:sz w:val="20"/>
                <w:szCs w:val="20"/>
                <w14:ligatures w14:val="standardContextual"/>
              </w:rPr>
              <w:t>b</w:t>
            </w:r>
            <w:r w:rsidR="00C3439C" w:rsidRPr="00CB58FC">
              <w:rPr>
                <w:rFonts w:eastAsiaTheme="minorEastAsia"/>
                <w:sz w:val="20"/>
                <w:szCs w:val="20"/>
                <w14:ligatures w14:val="standardContextual"/>
              </w:rPr>
              <w:t>)</w:t>
            </w:r>
            <w:r w:rsidR="00F85847" w:rsidRPr="00CB58FC">
              <w:rPr>
                <w:rFonts w:eastAsiaTheme="minorEastAsia"/>
                <w:sz w:val="20"/>
                <w:szCs w:val="20"/>
                <w14:ligatures w14:val="standardContextual"/>
              </w:rPr>
              <w:t xml:space="preserve"> </w:t>
            </w:r>
            <w:r w:rsidRPr="00CB58FC">
              <w:rPr>
                <w:rFonts w:eastAsiaTheme="minorEastAsia"/>
                <w:sz w:val="20"/>
                <w:szCs w:val="20"/>
                <w14:ligatures w14:val="standardContextual"/>
              </w:rPr>
              <w:t>one of a limited number of copies of a visual artwork made by that artist</w:t>
            </w:r>
            <w:r w:rsidR="00F85847" w:rsidRPr="00CB58FC">
              <w:rPr>
                <w:rFonts w:eastAsiaTheme="minorEastAsia"/>
                <w:sz w:val="20"/>
                <w:szCs w:val="20"/>
                <w14:ligatures w14:val="standardContextual"/>
              </w:rPr>
              <w:t xml:space="preserve"> </w:t>
            </w:r>
            <w:r w:rsidRPr="00CB58FC">
              <w:rPr>
                <w:rFonts w:eastAsiaTheme="minorEastAsia"/>
                <w:sz w:val="20"/>
                <w:szCs w:val="20"/>
                <w14:ligatures w14:val="standardContextual"/>
              </w:rPr>
              <w:t>or under their authority.</w:t>
            </w:r>
          </w:p>
          <w:p w14:paraId="03EF3427"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(2) In this Act, visual artwork—</w:t>
            </w:r>
          </w:p>
          <w:p w14:paraId="0AB06A41"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(a) includes a visual work of any 1 or more of the following types:</w:t>
            </w:r>
          </w:p>
          <w:p w14:paraId="2CE8E7ED"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lastRenderedPageBreak/>
              <w:t>(i) a cultural expression of Māori:</w:t>
            </w:r>
          </w:p>
          <w:p w14:paraId="7E163E4B"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(ii) a cultural expression of Pacific peoples:</w:t>
            </w:r>
          </w:p>
          <w:p w14:paraId="3660C339"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(iii) ethnic or cultural art that is a variation of a type of work described</w:t>
            </w:r>
          </w:p>
          <w:p w14:paraId="392E44D7"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in any of subparagraphs (iv) to (ix):</w:t>
            </w:r>
          </w:p>
          <w:p w14:paraId="3F13AB7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(iv) painting, drawing, carving, engraving, etching, lithography, woodcutting, or printing (including a book of prints):</w:t>
            </w:r>
          </w:p>
          <w:p w14:paraId="70A6F43C" w14:textId="65666EAB"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 xml:space="preserve">(v) sculpture, collage, or </w:t>
            </w:r>
            <w:r w:rsidR="009B5658" w:rsidRPr="00CB58FC">
              <w:rPr>
                <w:rFonts w:eastAsiaTheme="minorEastAsia"/>
                <w:sz w:val="20"/>
                <w:szCs w:val="20"/>
                <w14:ligatures w14:val="standardContextual"/>
              </w:rPr>
              <w:t>modeling</w:t>
            </w:r>
            <w:r w:rsidRPr="00CB58FC">
              <w:rPr>
                <w:rFonts w:eastAsiaTheme="minorEastAsia"/>
                <w:sz w:val="20"/>
                <w:szCs w:val="20"/>
                <w14:ligatures w14:val="standardContextual"/>
              </w:rPr>
              <w:t>:</w:t>
            </w:r>
          </w:p>
          <w:p w14:paraId="4FF49E7A" w14:textId="2E8B9179"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 xml:space="preserve">(vi) craftwork, ceramics, glassware, </w:t>
            </w:r>
            <w:r w:rsidR="009B5658" w:rsidRPr="00CB58FC">
              <w:rPr>
                <w:rFonts w:eastAsiaTheme="minorEastAsia"/>
                <w:sz w:val="20"/>
                <w:szCs w:val="20"/>
                <w14:ligatures w14:val="standardContextual"/>
              </w:rPr>
              <w:t>jewelry</w:t>
            </w:r>
            <w:r w:rsidRPr="00CB58FC">
              <w:rPr>
                <w:rFonts w:eastAsiaTheme="minorEastAsia"/>
                <w:sz w:val="20"/>
                <w:szCs w:val="20"/>
                <w14:ligatures w14:val="standardContextual"/>
              </w:rPr>
              <w:t>, textiles, weaving, metalware, or furniture:</w:t>
            </w:r>
          </w:p>
          <w:p w14:paraId="767091BF"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(vii) photography or video art:</w:t>
            </w:r>
          </w:p>
          <w:p w14:paraId="57944E03" w14:textId="77777777" w:rsidR="003D6031" w:rsidRPr="00CB58FC" w:rsidRDefault="003D6031" w:rsidP="0015390C">
            <w:pPr>
              <w:autoSpaceDE w:val="0"/>
              <w:autoSpaceDN w:val="0"/>
              <w:adjustRightInd w:val="0"/>
              <w:jc w:val="both"/>
              <w:rPr>
                <w:rFonts w:eastAsiaTheme="minorEastAsia"/>
                <w:sz w:val="20"/>
                <w:szCs w:val="20"/>
                <w14:ligatures w14:val="standardContextual"/>
              </w:rPr>
            </w:pPr>
            <w:r w:rsidRPr="00CB58FC">
              <w:rPr>
                <w:rFonts w:eastAsiaTheme="minorEastAsia"/>
                <w:sz w:val="20"/>
                <w:szCs w:val="20"/>
                <w14:ligatures w14:val="standardContextual"/>
              </w:rPr>
              <w:t>(viii) multimedia art:</w:t>
            </w:r>
          </w:p>
          <w:p w14:paraId="6F81AC38" w14:textId="77777777" w:rsidR="003D6031" w:rsidRPr="00CB58FC" w:rsidRDefault="003D6031" w:rsidP="00270CFE">
            <w:pPr>
              <w:pStyle w:val="HTMLPreformatted"/>
              <w:shd w:val="clear" w:color="auto" w:fill="F8F9FA"/>
              <w:rPr>
                <w:rStyle w:val="y2iqfc"/>
                <w:rFonts w:ascii="Arial" w:eastAsiaTheme="majorEastAsia" w:hAnsi="Arial" w:cs="Arial"/>
                <w:lang w:val="en"/>
              </w:rPr>
            </w:pPr>
            <w:r w:rsidRPr="00CB58FC">
              <w:rPr>
                <w:rFonts w:ascii="Arial" w:eastAsiaTheme="minorEastAsia" w:hAnsi="Arial" w:cs="Arial"/>
                <w14:ligatures w14:val="standardContextual"/>
              </w:rPr>
              <w:t>(ix) art that is created using computers or other electronic devices;</w:t>
            </w:r>
          </w:p>
        </w:tc>
        <w:tc>
          <w:tcPr>
            <w:tcW w:w="3206" w:type="dxa"/>
          </w:tcPr>
          <w:p w14:paraId="5CB8C618" w14:textId="2896CA84" w:rsidR="003D6031" w:rsidRPr="00CB58FC" w:rsidRDefault="003D6031" w:rsidP="003D6031">
            <w:pPr>
              <w:pStyle w:val="ListParagraph"/>
              <w:numPr>
                <w:ilvl w:val="0"/>
                <w:numId w:val="22"/>
              </w:numPr>
              <w:rPr>
                <w:rFonts w:cs="Arial"/>
                <w:sz w:val="20"/>
                <w:szCs w:val="20"/>
              </w:rPr>
            </w:pPr>
            <w:r w:rsidRPr="00CB58FC">
              <w:rPr>
                <w:rFonts w:cs="Arial"/>
                <w:sz w:val="20"/>
                <w:szCs w:val="20"/>
              </w:rPr>
              <w:lastRenderedPageBreak/>
              <w:t>This is a very expansive list of works included (</w:t>
            </w:r>
            <w:r w:rsidR="00C12BF2" w:rsidRPr="00CB58FC">
              <w:rPr>
                <w:rFonts w:cs="Arial"/>
                <w:sz w:val="20"/>
                <w:szCs w:val="20"/>
              </w:rPr>
              <w:t>like</w:t>
            </w:r>
            <w:r w:rsidRPr="00CB58FC">
              <w:rPr>
                <w:rFonts w:cs="Arial"/>
                <w:sz w:val="20"/>
                <w:szCs w:val="20"/>
              </w:rPr>
              <w:t xml:space="preserve"> the (Australian one in Table 3).</w:t>
            </w:r>
          </w:p>
          <w:p w14:paraId="37947A55" w14:textId="77777777" w:rsidR="003D6031" w:rsidRPr="00CB58FC" w:rsidRDefault="003D6031" w:rsidP="003D6031">
            <w:pPr>
              <w:pStyle w:val="ListParagraph"/>
              <w:numPr>
                <w:ilvl w:val="0"/>
                <w:numId w:val="22"/>
              </w:numPr>
              <w:rPr>
                <w:rFonts w:cs="Arial"/>
                <w:sz w:val="20"/>
                <w:szCs w:val="20"/>
              </w:rPr>
            </w:pPr>
            <w:r w:rsidRPr="00CB58FC">
              <w:rPr>
                <w:rFonts w:cs="Arial"/>
                <w:sz w:val="20"/>
                <w:szCs w:val="20"/>
              </w:rPr>
              <w:t>No limits on numbers of copies are set.</w:t>
            </w:r>
          </w:p>
          <w:p w14:paraId="5625F322" w14:textId="77777777" w:rsidR="003D6031" w:rsidRPr="00CB58FC" w:rsidRDefault="003D6031" w:rsidP="003D6031">
            <w:pPr>
              <w:pStyle w:val="ListParagraph"/>
              <w:numPr>
                <w:ilvl w:val="0"/>
                <w:numId w:val="22"/>
              </w:numPr>
              <w:rPr>
                <w:rFonts w:cs="Arial"/>
                <w:sz w:val="20"/>
                <w:szCs w:val="20"/>
              </w:rPr>
            </w:pPr>
            <w:r w:rsidRPr="00CB58FC">
              <w:rPr>
                <w:rFonts w:cs="Arial"/>
                <w:sz w:val="20"/>
                <w:szCs w:val="20"/>
              </w:rPr>
              <w:t>Various forms of cultural expression are included ((2)(ii)-)iv).</w:t>
            </w:r>
          </w:p>
          <w:p w14:paraId="08ED3A8B" w14:textId="77777777" w:rsidR="003D6031" w:rsidRPr="00CB58FC" w:rsidRDefault="003D6031" w:rsidP="009505EE">
            <w:pPr>
              <w:pStyle w:val="ListParagraph"/>
              <w:ind w:left="360"/>
              <w:rPr>
                <w:rFonts w:cs="Arial"/>
                <w:sz w:val="20"/>
                <w:szCs w:val="20"/>
              </w:rPr>
            </w:pPr>
          </w:p>
        </w:tc>
      </w:tr>
    </w:tbl>
    <w:p w14:paraId="5CD21361" w14:textId="77777777" w:rsidR="003D6031" w:rsidRPr="00CB58FC" w:rsidRDefault="003D6031" w:rsidP="003D6031">
      <w:pPr>
        <w:pStyle w:val="Heading1"/>
        <w:rPr>
          <w:szCs w:val="22"/>
        </w:rPr>
      </w:pPr>
      <w:r w:rsidRPr="00CB58FC">
        <w:rPr>
          <w:szCs w:val="22"/>
        </w:rPr>
        <w:t>STAFFING OF CMOS</w:t>
      </w:r>
      <w:r w:rsidRPr="00CB58FC">
        <w:rPr>
          <w:i/>
          <w:iCs/>
          <w:szCs w:val="22"/>
        </w:rPr>
        <w:t xml:space="preserve"> </w:t>
      </w:r>
    </w:p>
    <w:p w14:paraId="023E4536" w14:textId="77777777" w:rsidR="003D6031" w:rsidRPr="00CB58FC" w:rsidRDefault="003D6031" w:rsidP="003D6031">
      <w:pPr>
        <w:pStyle w:val="ListParagraph"/>
        <w:ind w:left="360"/>
        <w:rPr>
          <w:rFonts w:cs="Arial"/>
        </w:rPr>
      </w:pPr>
      <w:r w:rsidRPr="00CB58FC">
        <w:rPr>
          <w:rFonts w:cs="Arial"/>
        </w:rPr>
        <w:t xml:space="preserve"> </w:t>
      </w:r>
    </w:p>
    <w:p w14:paraId="29F1DB58" w14:textId="035E4331" w:rsidR="003D6031" w:rsidRPr="00CB58FC" w:rsidRDefault="003D6031" w:rsidP="00247A2D">
      <w:pPr>
        <w:pStyle w:val="ListParagraph"/>
        <w:numPr>
          <w:ilvl w:val="0"/>
          <w:numId w:val="16"/>
        </w:numPr>
      </w:pPr>
      <w:r w:rsidRPr="00CB58FC">
        <w:t xml:space="preserve">Administration of ARR by a CMO requires skilled staff as well as appropriate information technology resources. The kinds of skills required by staff will </w:t>
      </w:r>
      <w:r w:rsidR="00F85847" w:rsidRPr="00CB58FC">
        <w:t>be</w:t>
      </w:r>
      <w:r w:rsidRPr="00CB58FC">
        <w:t xml:space="preserve"> legal, in the sense of being able to apply the criteria for eligibility swiftly and accurately, coupled with factual knowledge and experience of the art market in the particular country and of the different kinds of art practices to be found in that market, as well</w:t>
      </w:r>
      <w:r w:rsidR="00A5081E">
        <w:t xml:space="preserve"> as</w:t>
      </w:r>
      <w:r w:rsidRPr="00CB58FC">
        <w:t xml:space="preserve"> links to relevant groups of arts practitioners in that country. High order research skills will also be required, e</w:t>
      </w:r>
      <w:r w:rsidR="00A64023" w:rsidRPr="00CB58FC">
        <w:t>.</w:t>
      </w:r>
      <w:r w:rsidRPr="00CB58FC">
        <w:t>g</w:t>
      </w:r>
      <w:r w:rsidR="0049127C" w:rsidRPr="00CB58FC">
        <w:t>.</w:t>
      </w:r>
      <w:r w:rsidRPr="00CB58FC">
        <w:t xml:space="preserve"> in relation to hard copy as well as online sources, such as websites and social media. Good communication skills will be called for in relation to promotion of ARR at the domestic level as well as internationally, including links with sister CMOs in other countries and other international organizations such as CISAC and WIPO. Finally, appropriate IT skills in relation to processing and distribution of ARR payments will be required.</w:t>
      </w:r>
    </w:p>
    <w:p w14:paraId="3E7897B0" w14:textId="77777777" w:rsidR="003D6031" w:rsidRPr="00CB58FC" w:rsidRDefault="003D6031" w:rsidP="003D6031">
      <w:pPr>
        <w:pStyle w:val="Heading1"/>
        <w:rPr>
          <w:szCs w:val="22"/>
        </w:rPr>
      </w:pPr>
      <w:r w:rsidRPr="00CB58FC">
        <w:rPr>
          <w:szCs w:val="22"/>
        </w:rPr>
        <w:t>RECIPROCAL ARRANGEMENTS</w:t>
      </w:r>
    </w:p>
    <w:p w14:paraId="336007D1" w14:textId="77777777" w:rsidR="003D6031" w:rsidRPr="00CB58FC" w:rsidRDefault="003D6031" w:rsidP="003D6031"/>
    <w:p w14:paraId="06189E58" w14:textId="1E08D3EE" w:rsidR="003D6031" w:rsidRPr="00CB58FC" w:rsidRDefault="00950DE6" w:rsidP="0015390C">
      <w:pPr>
        <w:pStyle w:val="ListParagraph"/>
        <w:numPr>
          <w:ilvl w:val="0"/>
          <w:numId w:val="16"/>
        </w:numPr>
      </w:pPr>
      <w:r w:rsidRPr="00CB58FC">
        <w:t>R</w:t>
      </w:r>
      <w:r w:rsidR="001E7A99" w:rsidRPr="00CB58FC">
        <w:t>eciprocal arrangements between CMOs are</w:t>
      </w:r>
      <w:r w:rsidR="003D6031" w:rsidRPr="00CB58FC">
        <w:t xml:space="preserve"> most highly developed within the EU where there are framework directives on both ARR and CMOs. Quite apart from any legislative provisions required to enable collection of ARR for foreign claimants, it will be necessary for the local CMO to have representation agreements with corresponding foreign CMOs. Typically, these will provide for the deduction of a small administrative fee by the local CMO, and there will be other requirements as to the timing of payments, exchange of information and transparency.</w:t>
      </w:r>
      <w:r w:rsidR="003D6031" w:rsidRPr="00CB58FC" w:rsidDel="004315A3">
        <w:t xml:space="preserve"> </w:t>
      </w:r>
    </w:p>
    <w:p w14:paraId="797F3908" w14:textId="34052628" w:rsidR="003D6031" w:rsidRPr="00CB58FC" w:rsidRDefault="003D6031" w:rsidP="0015390C">
      <w:pPr>
        <w:pStyle w:val="CommentText"/>
        <w:numPr>
          <w:ilvl w:val="0"/>
          <w:numId w:val="16"/>
        </w:numPr>
        <w:spacing w:after="160"/>
        <w:jc w:val="both"/>
        <w:rPr>
          <w:sz w:val="22"/>
          <w:szCs w:val="22"/>
        </w:rPr>
      </w:pPr>
      <w:r w:rsidRPr="00CB58FC">
        <w:rPr>
          <w:sz w:val="22"/>
          <w:szCs w:val="22"/>
        </w:rPr>
        <w:t xml:space="preserve">A model in this regard is ADAGP in France, which has concluded reciprocal arrangements and unilateral arrangements with sister societies. This allows ADAGP to collect ARR for members of sister societies on French soil. It also allows artists represented by ADAGP to benefit from ARR collected by sister societies in their own countries and </w:t>
      </w:r>
      <w:r w:rsidR="00950DE6" w:rsidRPr="00CB58FC">
        <w:rPr>
          <w:sz w:val="22"/>
          <w:szCs w:val="22"/>
        </w:rPr>
        <w:t>remitted to ADAGP.</w:t>
      </w:r>
      <w:r w:rsidR="00950DE6" w:rsidRPr="00CB58FC">
        <w:rPr>
          <w:rStyle w:val="FootnoteReference"/>
        </w:rPr>
        <w:footnoteReference w:id="135"/>
      </w:r>
      <w:r w:rsidRPr="00CB58FC">
        <w:rPr>
          <w:sz w:val="22"/>
          <w:szCs w:val="22"/>
        </w:rPr>
        <w:t xml:space="preserve"> </w:t>
      </w:r>
    </w:p>
    <w:p w14:paraId="20BBE869" w14:textId="77777777" w:rsidR="003D6031" w:rsidRPr="00CB58FC" w:rsidRDefault="003D6031" w:rsidP="003D6031">
      <w:pPr>
        <w:pStyle w:val="Heading1"/>
        <w:rPr>
          <w:szCs w:val="22"/>
        </w:rPr>
      </w:pPr>
      <w:r w:rsidRPr="00CB58FC">
        <w:rPr>
          <w:szCs w:val="22"/>
        </w:rPr>
        <w:lastRenderedPageBreak/>
        <w:t>SUPPORT NEEDED FOR NEW CMOS</w:t>
      </w:r>
    </w:p>
    <w:p w14:paraId="63CFCB66" w14:textId="77777777" w:rsidR="003D6031" w:rsidRPr="00CB58FC" w:rsidRDefault="003D6031" w:rsidP="003D6031"/>
    <w:p w14:paraId="35BAFE4B" w14:textId="64202FEA" w:rsidR="003D6031" w:rsidRPr="00CB58FC" w:rsidRDefault="003D6031" w:rsidP="0015390C">
      <w:pPr>
        <w:pStyle w:val="ListParagraph"/>
        <w:numPr>
          <w:ilvl w:val="0"/>
          <w:numId w:val="16"/>
        </w:numPr>
        <w:rPr>
          <w:rFonts w:cs="Arial"/>
        </w:rPr>
      </w:pPr>
      <w:r w:rsidRPr="00CB58FC">
        <w:rPr>
          <w:rFonts w:cs="Arial"/>
        </w:rPr>
        <w:t xml:space="preserve">In terms of existing Berne membership, </w:t>
      </w:r>
      <w:r w:rsidR="00B03595" w:rsidRPr="00CB58FC">
        <w:rPr>
          <w:rFonts w:cs="Arial"/>
        </w:rPr>
        <w:t xml:space="preserve">formal </w:t>
      </w:r>
      <w:r w:rsidRPr="00CB58FC">
        <w:rPr>
          <w:rFonts w:cs="Arial"/>
        </w:rPr>
        <w:t>recognition of ARR still occurs within just over half of the membership: see further Toolkit, Part 1</w:t>
      </w:r>
      <w:r w:rsidR="00E34344" w:rsidRPr="00CB58FC">
        <w:rPr>
          <w:rFonts w:cs="Arial"/>
        </w:rPr>
        <w:t>, par 8</w:t>
      </w:r>
      <w:r w:rsidRPr="00CB58FC">
        <w:rPr>
          <w:rFonts w:cs="Arial"/>
        </w:rPr>
        <w:t xml:space="preserve">. Within this group, less than half </w:t>
      </w:r>
      <w:r w:rsidR="00B03595" w:rsidRPr="00CB58FC">
        <w:rPr>
          <w:rFonts w:cs="Arial"/>
        </w:rPr>
        <w:t xml:space="preserve">provide for the </w:t>
      </w:r>
      <w:r w:rsidRPr="00CB58FC">
        <w:rPr>
          <w:rFonts w:cs="Arial"/>
        </w:rPr>
        <w:t>implement</w:t>
      </w:r>
      <w:r w:rsidR="00B03595" w:rsidRPr="00CB58FC">
        <w:rPr>
          <w:rFonts w:cs="Arial"/>
        </w:rPr>
        <w:t xml:space="preserve">ation of </w:t>
      </w:r>
      <w:r w:rsidRPr="00CB58FC">
        <w:rPr>
          <w:rFonts w:cs="Arial"/>
        </w:rPr>
        <w:t>ARR through the medium of a dedicated CMO</w:t>
      </w:r>
      <w:r w:rsidR="00B03595" w:rsidRPr="00CB58FC">
        <w:rPr>
          <w:rFonts w:cs="Arial"/>
        </w:rPr>
        <w:t xml:space="preserve">. A consequence of this may be </w:t>
      </w:r>
      <w:r w:rsidRPr="00CB58FC">
        <w:rPr>
          <w:rFonts w:cs="Arial"/>
        </w:rPr>
        <w:t>that enforcement of ARR in those countries where there is no CMO will be largely illusory</w:t>
      </w:r>
      <w:r w:rsidR="00B03595" w:rsidRPr="00CB58FC">
        <w:rPr>
          <w:rFonts w:cs="Arial"/>
        </w:rPr>
        <w:t xml:space="preserve"> or very limited, although it </w:t>
      </w:r>
      <w:r w:rsidR="00837CE7" w:rsidRPr="00CB58FC">
        <w:rPr>
          <w:rFonts w:cs="Arial"/>
        </w:rPr>
        <w:t xml:space="preserve">was not </w:t>
      </w:r>
      <w:r w:rsidR="00DA727D" w:rsidRPr="00CB58FC">
        <w:rPr>
          <w:rFonts w:cs="Arial"/>
        </w:rPr>
        <w:t>possible in preparing</w:t>
      </w:r>
      <w:r w:rsidR="00837CE7" w:rsidRPr="00CB58FC">
        <w:rPr>
          <w:rFonts w:cs="Arial"/>
        </w:rPr>
        <w:t xml:space="preserve"> this Toolkit </w:t>
      </w:r>
      <w:r w:rsidR="00B03595" w:rsidRPr="00CB58FC">
        <w:rPr>
          <w:rFonts w:cs="Arial"/>
        </w:rPr>
        <w:t xml:space="preserve">to conduct empirical research on the ground in countries with ARR but no CMO to determine the extent to which ARR is collected by right holders </w:t>
      </w:r>
      <w:r w:rsidR="00837CE7" w:rsidRPr="00CB58FC">
        <w:rPr>
          <w:rFonts w:cs="Arial"/>
        </w:rPr>
        <w:t>o</w:t>
      </w:r>
      <w:r w:rsidR="00B03595" w:rsidRPr="00CB58FC">
        <w:rPr>
          <w:rFonts w:cs="Arial"/>
        </w:rPr>
        <w:t>n an individual basis.</w:t>
      </w:r>
      <w:r w:rsidR="00837CE7" w:rsidRPr="00CB58FC">
        <w:rPr>
          <w:rStyle w:val="FootnoteReference"/>
          <w:rFonts w:cs="Arial"/>
        </w:rPr>
        <w:footnoteReference w:id="136"/>
      </w:r>
      <w:r w:rsidR="00DA727D" w:rsidRPr="00CB58FC">
        <w:rPr>
          <w:rFonts w:cs="Arial"/>
        </w:rPr>
        <w:t xml:space="preserve"> </w:t>
      </w:r>
      <w:r w:rsidR="00F72D66" w:rsidRPr="00CB58FC">
        <w:rPr>
          <w:rFonts w:cs="Arial"/>
        </w:rPr>
        <w:t>T</w:t>
      </w:r>
      <w:r w:rsidRPr="00CB58FC">
        <w:rPr>
          <w:rFonts w:cs="Arial"/>
        </w:rPr>
        <w:t>here are</w:t>
      </w:r>
      <w:r w:rsidR="00F72D66" w:rsidRPr="00CB58FC">
        <w:rPr>
          <w:rFonts w:cs="Arial"/>
        </w:rPr>
        <w:t xml:space="preserve"> also</w:t>
      </w:r>
      <w:r w:rsidRPr="00CB58FC">
        <w:rPr>
          <w:rFonts w:cs="Arial"/>
        </w:rPr>
        <w:t xml:space="preserve"> some large and active art resales markets where there is no ARR at all, notably in North America, most of Africa and Asia.</w:t>
      </w:r>
      <w:r w:rsidR="00EC250C" w:rsidRPr="00CB58FC">
        <w:rPr>
          <w:rStyle w:val="FootnoteReference"/>
          <w:rFonts w:cs="Arial"/>
        </w:rPr>
        <w:footnoteReference w:id="137"/>
      </w:r>
      <w:r w:rsidRPr="00CB58FC">
        <w:rPr>
          <w:rFonts w:cs="Arial"/>
        </w:rPr>
        <w:t xml:space="preserve"> The </w:t>
      </w:r>
      <w:r w:rsidR="00F72D66" w:rsidRPr="00CB58FC">
        <w:rPr>
          <w:rFonts w:cs="Arial"/>
        </w:rPr>
        <w:t xml:space="preserve">provisional conclusion that can be drawn from the national examples considered </w:t>
      </w:r>
      <w:r w:rsidRPr="00CB58FC">
        <w:rPr>
          <w:rFonts w:cs="Arial"/>
        </w:rPr>
        <w:t xml:space="preserve">in the preceding paragraphs </w:t>
      </w:r>
      <w:r w:rsidR="00F72D66" w:rsidRPr="00CB58FC">
        <w:rPr>
          <w:rFonts w:cs="Arial"/>
        </w:rPr>
        <w:t xml:space="preserve">is </w:t>
      </w:r>
      <w:r w:rsidRPr="00CB58FC">
        <w:rPr>
          <w:rFonts w:cs="Arial"/>
        </w:rPr>
        <w:t xml:space="preserve">that some form of collective management is </w:t>
      </w:r>
      <w:r w:rsidR="00F72D66" w:rsidRPr="00CB58FC">
        <w:rPr>
          <w:rFonts w:cs="Arial"/>
        </w:rPr>
        <w:t xml:space="preserve">worth considering if a Berne member country has decided to introduce </w:t>
      </w:r>
      <w:r w:rsidR="00E617FA" w:rsidRPr="00CB58FC">
        <w:rPr>
          <w:rFonts w:cs="Arial"/>
        </w:rPr>
        <w:t xml:space="preserve">an </w:t>
      </w:r>
      <w:r w:rsidRPr="00CB58FC">
        <w:rPr>
          <w:rFonts w:cs="Arial"/>
        </w:rPr>
        <w:t>ARR scheme, although critical decisions will</w:t>
      </w:r>
      <w:r w:rsidR="00F72D66" w:rsidRPr="00CB58FC">
        <w:rPr>
          <w:rFonts w:cs="Arial"/>
        </w:rPr>
        <w:t xml:space="preserve"> then</w:t>
      </w:r>
      <w:r w:rsidRPr="00CB58FC">
        <w:rPr>
          <w:rFonts w:cs="Arial"/>
        </w:rPr>
        <w:t xml:space="preserve"> need to be made as to (a) whether this is done in a voluntary manner or through some form of mandatory or extended scheme, and (b) the kinds of additional powers a CMO operating under a such scheme will require, generally through the means of some explicit legislative provision.</w:t>
      </w:r>
      <w:r w:rsidR="00F72D66" w:rsidRPr="00CB58FC">
        <w:rPr>
          <w:rFonts w:cs="Arial"/>
        </w:rPr>
        <w:t xml:space="preserve"> </w:t>
      </w:r>
    </w:p>
    <w:p w14:paraId="5F28EC25" w14:textId="77777777" w:rsidR="00DA727D" w:rsidRPr="00CB58FC" w:rsidRDefault="00DA727D" w:rsidP="0015390C">
      <w:pPr>
        <w:pStyle w:val="ListParagraph"/>
        <w:spacing w:before="120" w:after="120"/>
        <w:ind w:left="357"/>
        <w:rPr>
          <w:rFonts w:cs="Arial"/>
        </w:rPr>
      </w:pPr>
    </w:p>
    <w:p w14:paraId="61BA4ED9" w14:textId="1C5EBE01" w:rsidR="003D6031" w:rsidRPr="00CB58FC" w:rsidRDefault="003D6031">
      <w:pPr>
        <w:pStyle w:val="ListParagraph"/>
        <w:numPr>
          <w:ilvl w:val="0"/>
          <w:numId w:val="16"/>
        </w:numPr>
        <w:spacing w:before="120" w:after="120"/>
        <w:ind w:left="357" w:hanging="357"/>
        <w:rPr>
          <w:rFonts w:cs="Arial"/>
        </w:rPr>
      </w:pPr>
      <w:r w:rsidRPr="00CB58FC">
        <w:rPr>
          <w:rFonts w:cs="Arial"/>
        </w:rPr>
        <w:t>As noted at the outset, these policy and legislative choices are left to the discretion of member countries</w:t>
      </w:r>
      <w:r w:rsidR="003653F6" w:rsidRPr="00CB58FC">
        <w:rPr>
          <w:rFonts w:cs="Arial"/>
        </w:rPr>
        <w:t xml:space="preserve"> under</w:t>
      </w:r>
      <w:r w:rsidRPr="00CB58FC">
        <w:rPr>
          <w:rFonts w:cs="Arial"/>
        </w:rPr>
        <w:t xml:space="preserve"> article 14</w:t>
      </w:r>
      <w:r w:rsidRPr="00CB58FC">
        <w:rPr>
          <w:rFonts w:cs="Arial"/>
          <w:i/>
          <w:iCs/>
        </w:rPr>
        <w:t xml:space="preserve">ter </w:t>
      </w:r>
      <w:r w:rsidRPr="00CB58FC">
        <w:rPr>
          <w:rFonts w:cs="Arial"/>
        </w:rPr>
        <w:t>of Berne. There is no right or wrong answer here and what works well in one set of economic, legal, and cultural circumstances may not work in another. The size of a country’s art resale market may be a general indicator of whether a mandatory or voluntary scheme will be preferred: for example, we have noted that mandatory schemes tend to have been applied in countries with smaller markets, as in many EC countries; at the same time, countries such as the UK and Spain can hardly be described as ‘small’ in this regard.</w:t>
      </w:r>
      <w:r w:rsidR="00710039" w:rsidRPr="00CB58FC">
        <w:rPr>
          <w:rStyle w:val="FootnoteReference"/>
          <w:rFonts w:cs="Arial"/>
        </w:rPr>
        <w:footnoteReference w:id="138"/>
      </w:r>
      <w:r w:rsidRPr="00CB58FC">
        <w:rPr>
          <w:rFonts w:cs="Arial"/>
        </w:rPr>
        <w:t xml:space="preserve"> Mandatory schemes may work effectively to optimise payments to all eligible right holders within a country, but there are </w:t>
      </w:r>
      <w:r w:rsidR="003653F6" w:rsidRPr="00CB58FC">
        <w:rPr>
          <w:rFonts w:cs="Arial"/>
        </w:rPr>
        <w:t xml:space="preserve">also </w:t>
      </w:r>
      <w:r w:rsidRPr="00CB58FC">
        <w:rPr>
          <w:rFonts w:cs="Arial"/>
        </w:rPr>
        <w:t xml:space="preserve">striking examples of successfully implemented voluntary schemes in countries with larger art resale markets, such as France and Germany. Much will </w:t>
      </w:r>
      <w:r w:rsidR="003653F6" w:rsidRPr="00CB58FC">
        <w:rPr>
          <w:rFonts w:cs="Arial"/>
        </w:rPr>
        <w:t xml:space="preserve">therefore </w:t>
      </w:r>
      <w:r w:rsidRPr="00CB58FC">
        <w:rPr>
          <w:rFonts w:cs="Arial"/>
        </w:rPr>
        <w:t>depend upon the skill and enthusiasm with which ARR schemes, mandatory or otherwise, are managed.</w:t>
      </w:r>
    </w:p>
    <w:p w14:paraId="389ECB07" w14:textId="77777777" w:rsidR="00CE0FA9" w:rsidRPr="00CB58FC" w:rsidRDefault="00CE0FA9" w:rsidP="0015390C">
      <w:pPr>
        <w:pStyle w:val="ListParagraph"/>
        <w:rPr>
          <w:rFonts w:cs="Arial"/>
        </w:rPr>
      </w:pPr>
    </w:p>
    <w:p w14:paraId="0F75D6B3" w14:textId="3C78C55A" w:rsidR="00C2666C" w:rsidRPr="00CB58FC" w:rsidRDefault="00CE0FA9" w:rsidP="00C2666C">
      <w:pPr>
        <w:pStyle w:val="ListParagraph"/>
        <w:numPr>
          <w:ilvl w:val="0"/>
          <w:numId w:val="16"/>
        </w:numPr>
        <w:spacing w:before="120" w:after="120"/>
        <w:ind w:left="357" w:hanging="357"/>
        <w:rPr>
          <w:rFonts w:cs="Arial"/>
        </w:rPr>
      </w:pPr>
      <w:r w:rsidRPr="00CB58FC">
        <w:rPr>
          <w:rFonts w:cs="Arial"/>
        </w:rPr>
        <w:lastRenderedPageBreak/>
        <w:t>In this regard, when a country is contemplating the introduction of an ARR scheme with some form of collective management it is appropriate to ask whether the costs of such a scheme will significantly diminish or even exceed the costs of its administration. Again, is this something that, while workable in a country with a large art resale market, will not be so in a count</w:t>
      </w:r>
      <w:r w:rsidR="00DB52D7" w:rsidRPr="00CB58FC">
        <w:rPr>
          <w:rFonts w:cs="Arial"/>
        </w:rPr>
        <w:t>r</w:t>
      </w:r>
      <w:r w:rsidRPr="00CB58FC">
        <w:rPr>
          <w:rFonts w:cs="Arial"/>
        </w:rPr>
        <w:t xml:space="preserve">y with a smaller </w:t>
      </w:r>
      <w:r w:rsidR="00DB52D7" w:rsidRPr="00CB58FC">
        <w:rPr>
          <w:rFonts w:cs="Arial"/>
        </w:rPr>
        <w:t>art resale market? Will introduction of ARR require cross-subsidisation from other revenue streams for artists</w:t>
      </w:r>
      <w:r w:rsidR="00580289" w:rsidRPr="00CB58FC">
        <w:rPr>
          <w:rFonts w:cs="Arial"/>
        </w:rPr>
        <w:t xml:space="preserve"> and undermine the object of the scheme? </w:t>
      </w:r>
      <w:r w:rsidR="00DB52D7" w:rsidRPr="00CB58FC">
        <w:rPr>
          <w:rFonts w:cs="Arial"/>
        </w:rPr>
        <w:t xml:space="preserve">The information on administrative costs in Table 27 indicates </w:t>
      </w:r>
      <w:r w:rsidR="00C2666C" w:rsidRPr="00CB58FC">
        <w:rPr>
          <w:rFonts w:cs="Arial"/>
        </w:rPr>
        <w:t xml:space="preserve">that </w:t>
      </w:r>
      <w:r w:rsidR="00DB52D7" w:rsidRPr="00CB58FC">
        <w:rPr>
          <w:rFonts w:cs="Arial"/>
        </w:rPr>
        <w:t xml:space="preserve">the need to keep these within limits is a feature of most </w:t>
      </w:r>
      <w:r w:rsidR="002A2F2B" w:rsidRPr="00CB58FC">
        <w:rPr>
          <w:rFonts w:cs="Arial"/>
        </w:rPr>
        <w:t>CMOs</w:t>
      </w:r>
      <w:r w:rsidR="00DB52D7" w:rsidRPr="00CB58FC">
        <w:rPr>
          <w:rFonts w:cs="Arial"/>
        </w:rPr>
        <w:t xml:space="preserve"> </w:t>
      </w:r>
      <w:r w:rsidR="00580289" w:rsidRPr="00CB58FC">
        <w:rPr>
          <w:rFonts w:cs="Arial"/>
        </w:rPr>
        <w:t xml:space="preserve">managing ARR </w:t>
      </w:r>
      <w:r w:rsidR="00DB52D7" w:rsidRPr="00CB58FC">
        <w:rPr>
          <w:rFonts w:cs="Arial"/>
        </w:rPr>
        <w:t>but does not necessarily answer the question of the extent to which the costs of ARR schemes may diminish the expected returns to artists</w:t>
      </w:r>
      <w:r w:rsidR="00C2666C" w:rsidRPr="00CB58FC">
        <w:rPr>
          <w:rFonts w:cs="Arial"/>
        </w:rPr>
        <w:t xml:space="preserve"> or require contributions from other</w:t>
      </w:r>
      <w:r w:rsidR="002A2F2B" w:rsidRPr="00CB58FC">
        <w:rPr>
          <w:rFonts w:cs="Arial"/>
        </w:rPr>
        <w:t xml:space="preserve"> revenue sources</w:t>
      </w:r>
      <w:r w:rsidR="00BE620B" w:rsidRPr="00CB58FC">
        <w:rPr>
          <w:rFonts w:cs="Arial"/>
        </w:rPr>
        <w:t xml:space="preserve">: they may represent desirable or aspirational </w:t>
      </w:r>
      <w:r w:rsidR="002A2F2B" w:rsidRPr="00CB58FC">
        <w:rPr>
          <w:rFonts w:cs="Arial"/>
        </w:rPr>
        <w:t>goal</w:t>
      </w:r>
      <w:r w:rsidR="00BE620B" w:rsidRPr="00CB58FC">
        <w:rPr>
          <w:rFonts w:cs="Arial"/>
        </w:rPr>
        <w:t xml:space="preserve">s rather than </w:t>
      </w:r>
      <w:r w:rsidR="00447495" w:rsidRPr="00CB58FC">
        <w:rPr>
          <w:rFonts w:cs="Arial"/>
        </w:rPr>
        <w:t xml:space="preserve">ones that are </w:t>
      </w:r>
      <w:r w:rsidR="002A2F2B" w:rsidRPr="00CB58FC">
        <w:rPr>
          <w:rFonts w:cs="Arial"/>
        </w:rPr>
        <w:t>met in practice.</w:t>
      </w:r>
      <w:r w:rsidR="00BE620B" w:rsidRPr="00CB58FC">
        <w:rPr>
          <w:rFonts w:cs="Arial"/>
        </w:rPr>
        <w:t xml:space="preserve"> </w:t>
      </w:r>
      <w:r w:rsidR="00DB52D7" w:rsidRPr="00CB58FC">
        <w:rPr>
          <w:rFonts w:cs="Arial"/>
        </w:rPr>
        <w:t xml:space="preserve"> However, further information received from several CMOs, both large and small, indicates that these costs</w:t>
      </w:r>
      <w:r w:rsidR="00C2666C" w:rsidRPr="00CB58FC">
        <w:rPr>
          <w:rFonts w:cs="Arial"/>
        </w:rPr>
        <w:t>, with careful management</w:t>
      </w:r>
      <w:r w:rsidR="002A2F2B" w:rsidRPr="00CB58FC">
        <w:rPr>
          <w:rFonts w:cs="Arial"/>
        </w:rPr>
        <w:t xml:space="preserve"> of resources</w:t>
      </w:r>
      <w:r w:rsidR="00C2666C" w:rsidRPr="00CB58FC">
        <w:rPr>
          <w:rFonts w:cs="Arial"/>
        </w:rPr>
        <w:t>,</w:t>
      </w:r>
      <w:r w:rsidR="00DB52D7" w:rsidRPr="00CB58FC">
        <w:rPr>
          <w:rFonts w:cs="Arial"/>
        </w:rPr>
        <w:t xml:space="preserve"> can be kept within acceptable limits</w:t>
      </w:r>
      <w:r w:rsidR="00292FE7" w:rsidRPr="00CB58FC">
        <w:rPr>
          <w:rFonts w:cs="Arial"/>
        </w:rPr>
        <w:t xml:space="preserve"> and provide useful insights into the operations of CMOs managing ARR schemes:</w:t>
      </w:r>
      <w:r w:rsidR="00906698" w:rsidRPr="00CB58FC">
        <w:rPr>
          <w:rStyle w:val="FootnoteReference"/>
          <w:rFonts w:cs="Arial"/>
        </w:rPr>
        <w:footnoteReference w:id="139"/>
      </w:r>
    </w:p>
    <w:p w14:paraId="36BA3C7D" w14:textId="77777777" w:rsidR="00C2666C" w:rsidRPr="00CB58FC" w:rsidRDefault="00C2666C" w:rsidP="0015390C">
      <w:pPr>
        <w:pStyle w:val="ListParagraph"/>
        <w:rPr>
          <w:rFonts w:cs="Arial"/>
        </w:rPr>
      </w:pPr>
    </w:p>
    <w:p w14:paraId="2ADF594D" w14:textId="3A58B882" w:rsidR="00C2666C" w:rsidRPr="00CB58FC" w:rsidRDefault="00C2666C" w:rsidP="00C2666C">
      <w:pPr>
        <w:pStyle w:val="ListParagraph"/>
        <w:numPr>
          <w:ilvl w:val="0"/>
          <w:numId w:val="47"/>
        </w:numPr>
        <w:spacing w:before="120" w:after="120"/>
        <w:rPr>
          <w:rFonts w:cs="Arial"/>
        </w:rPr>
      </w:pPr>
      <w:r w:rsidRPr="00CB58FC">
        <w:rPr>
          <w:rFonts w:cs="Arial"/>
        </w:rPr>
        <w:t>I</w:t>
      </w:r>
      <w:r w:rsidR="00DB52D7" w:rsidRPr="00CB58FC">
        <w:rPr>
          <w:rFonts w:cs="Arial"/>
        </w:rPr>
        <w:t xml:space="preserve">n </w:t>
      </w:r>
      <w:r w:rsidR="00DB52D7" w:rsidRPr="00CB58FC">
        <w:rPr>
          <w:rFonts w:cs="Arial"/>
          <w:b/>
          <w:bCs/>
        </w:rPr>
        <w:t>France</w:t>
      </w:r>
      <w:r w:rsidR="00DB52D7" w:rsidRPr="00CB58FC">
        <w:rPr>
          <w:rFonts w:cs="Arial"/>
        </w:rPr>
        <w:t>, ADAGP</w:t>
      </w:r>
      <w:r w:rsidR="00943B9A" w:rsidRPr="00CB58FC">
        <w:rPr>
          <w:rFonts w:cs="Arial"/>
        </w:rPr>
        <w:t xml:space="preserve"> reported that the amount of ARR received in 2023 was EU18,604,032 including EU 13,228,463 from direct collections in the French market; there w</w:t>
      </w:r>
      <w:r w:rsidR="002A2F2B" w:rsidRPr="00CB58FC">
        <w:rPr>
          <w:rFonts w:cs="Arial"/>
        </w:rPr>
        <w:t>ere</w:t>
      </w:r>
      <w:r w:rsidR="00943B9A" w:rsidRPr="00CB58FC">
        <w:rPr>
          <w:rFonts w:cs="Arial"/>
        </w:rPr>
        <w:t xml:space="preserve"> 5 full-time employees involved </w:t>
      </w:r>
      <w:r w:rsidR="002A2F2B" w:rsidRPr="00CB58FC">
        <w:rPr>
          <w:rFonts w:cs="Arial"/>
        </w:rPr>
        <w:t xml:space="preserve">in </w:t>
      </w:r>
      <w:r w:rsidR="00943B9A" w:rsidRPr="00CB58FC">
        <w:rPr>
          <w:rFonts w:cs="Arial"/>
        </w:rPr>
        <w:t xml:space="preserve">ARR management within ADAGP and the global management cost attributable to ARR management </w:t>
      </w:r>
      <w:r w:rsidR="002A2F2B" w:rsidRPr="00CB58FC">
        <w:rPr>
          <w:rFonts w:cs="Arial"/>
        </w:rPr>
        <w:t xml:space="preserve">was </w:t>
      </w:r>
      <w:r w:rsidR="00943B9A" w:rsidRPr="00CB58FC">
        <w:rPr>
          <w:rFonts w:cs="Arial"/>
        </w:rPr>
        <w:t xml:space="preserve">EU 2,621,294, with no other source </w:t>
      </w:r>
      <w:r w:rsidR="004E7966" w:rsidRPr="00CB58FC">
        <w:rPr>
          <w:rFonts w:cs="Arial"/>
        </w:rPr>
        <w:t>of</w:t>
      </w:r>
      <w:r w:rsidR="00943B9A" w:rsidRPr="00CB58FC">
        <w:rPr>
          <w:rFonts w:cs="Arial"/>
        </w:rPr>
        <w:t xml:space="preserve"> funding for ARR management costs apart from deductions from ARR receipts.</w:t>
      </w:r>
      <w:r w:rsidR="002A2F2B" w:rsidRPr="00CB58FC">
        <w:rPr>
          <w:rFonts w:cs="Arial"/>
        </w:rPr>
        <w:t xml:space="preserve"> The deductions for management costs </w:t>
      </w:r>
      <w:r w:rsidR="00580289" w:rsidRPr="00CB58FC">
        <w:rPr>
          <w:rFonts w:cs="Arial"/>
        </w:rPr>
        <w:t>were</w:t>
      </w:r>
      <w:r w:rsidR="002A2F2B" w:rsidRPr="00CB58FC">
        <w:rPr>
          <w:rFonts w:cs="Arial"/>
        </w:rPr>
        <w:t xml:space="preserve"> 12.2% in 2023 and 12.2% in 2022</w:t>
      </w:r>
      <w:r w:rsidR="00943B9A" w:rsidRPr="00CB58FC">
        <w:rPr>
          <w:rStyle w:val="FootnoteReference"/>
          <w:rFonts w:cs="Arial"/>
        </w:rPr>
        <w:footnoteReference w:id="140"/>
      </w:r>
      <w:r w:rsidR="00943B9A" w:rsidRPr="00CB58FC">
        <w:rPr>
          <w:rFonts w:cs="Arial"/>
        </w:rPr>
        <w:t xml:space="preserve"> </w:t>
      </w:r>
    </w:p>
    <w:p w14:paraId="0908ED04" w14:textId="42F15FB3" w:rsidR="00C2666C" w:rsidRPr="00CB58FC" w:rsidRDefault="00E71011" w:rsidP="00C2666C">
      <w:pPr>
        <w:pStyle w:val="ListParagraph"/>
        <w:numPr>
          <w:ilvl w:val="0"/>
          <w:numId w:val="47"/>
        </w:numPr>
        <w:spacing w:before="120" w:after="120"/>
        <w:rPr>
          <w:rFonts w:cs="Arial"/>
        </w:rPr>
      </w:pPr>
      <w:r w:rsidRPr="00CB58FC">
        <w:rPr>
          <w:rFonts w:eastAsia="Times New Roman" w:cs="Arial"/>
          <w:color w:val="212121"/>
          <w:lang w:eastAsia="en-GB"/>
        </w:rPr>
        <w:t>In</w:t>
      </w:r>
      <w:r w:rsidRPr="00CB58FC">
        <w:rPr>
          <w:rFonts w:eastAsia="Times New Roman" w:cs="Arial"/>
          <w:b/>
          <w:bCs/>
          <w:color w:val="212121"/>
          <w:lang w:eastAsia="en-GB"/>
        </w:rPr>
        <w:t xml:space="preserve"> Sweden</w:t>
      </w:r>
      <w:r w:rsidRPr="00CB58FC">
        <w:rPr>
          <w:rFonts w:eastAsia="Times New Roman" w:cs="Arial"/>
          <w:color w:val="212121"/>
          <w:lang w:eastAsia="en-GB"/>
        </w:rPr>
        <w:t xml:space="preserve">, </w:t>
      </w:r>
      <w:r w:rsidR="004E7966" w:rsidRPr="00CB58FC">
        <w:rPr>
          <w:rFonts w:eastAsia="Times New Roman" w:cs="Arial"/>
          <w:color w:val="212121"/>
          <w:lang w:eastAsia="en-GB"/>
        </w:rPr>
        <w:t>Bildupphovsrätt reported ARR receipts in 2023 of Swedish krona (SEK) 24,125,000, with one full-time employee working on ARR (with very limited assistance of legal counsel on occasional specific questions) and a global management cost for ARR of SEK 1.2 million in 2023.</w:t>
      </w:r>
      <w:r w:rsidRPr="00CB58FC">
        <w:rPr>
          <w:rFonts w:eastAsia="Times New Roman" w:cs="Arial"/>
          <w:color w:val="212121"/>
          <w:lang w:eastAsia="en-GB"/>
        </w:rPr>
        <w:t xml:space="preserve"> In 2023, the deduction for administrative costs was 20%, and is 13% for 2024 and 2025.</w:t>
      </w:r>
      <w:r w:rsidR="00C2666C" w:rsidRPr="00CB58FC">
        <w:rPr>
          <w:rStyle w:val="FootnoteReference"/>
          <w:rFonts w:eastAsia="Times New Roman" w:cs="Arial"/>
          <w:color w:val="212121"/>
          <w:lang w:eastAsia="en-GB"/>
        </w:rPr>
        <w:footnoteReference w:id="141"/>
      </w:r>
      <w:r w:rsidR="004E7966" w:rsidRPr="00CB58FC">
        <w:rPr>
          <w:rFonts w:eastAsia="Times New Roman" w:cs="Arial"/>
          <w:color w:val="212121"/>
          <w:lang w:eastAsia="en-GB"/>
        </w:rPr>
        <w:t xml:space="preserve"> </w:t>
      </w:r>
    </w:p>
    <w:p w14:paraId="7B1E4B28" w14:textId="4D6C6EB9" w:rsidR="00447495" w:rsidRPr="00CB58FC" w:rsidRDefault="00447495" w:rsidP="00447495">
      <w:pPr>
        <w:pStyle w:val="ListParagraph"/>
        <w:numPr>
          <w:ilvl w:val="0"/>
          <w:numId w:val="47"/>
        </w:numPr>
        <w:spacing w:before="120" w:after="120"/>
      </w:pPr>
      <w:r w:rsidRPr="00CB58FC">
        <w:rPr>
          <w:rFonts w:eastAsia="Times New Roman"/>
          <w:color w:val="212121"/>
          <w:lang w:eastAsia="en-GB"/>
        </w:rPr>
        <w:t>In</w:t>
      </w:r>
      <w:r w:rsidRPr="00CB58FC">
        <w:rPr>
          <w:rFonts w:eastAsia="Times New Roman"/>
          <w:b/>
          <w:bCs/>
          <w:color w:val="212121"/>
          <w:lang w:eastAsia="en-GB"/>
        </w:rPr>
        <w:t xml:space="preserve"> </w:t>
      </w:r>
      <w:r w:rsidRPr="00CB58FC">
        <w:rPr>
          <w:rFonts w:eastAsia="Times New Roman"/>
          <w:color w:val="212121"/>
          <w:lang w:eastAsia="en-GB"/>
        </w:rPr>
        <w:t>the</w:t>
      </w:r>
      <w:r w:rsidRPr="00CB58FC">
        <w:rPr>
          <w:rFonts w:eastAsia="Times New Roman"/>
          <w:b/>
          <w:bCs/>
          <w:color w:val="212121"/>
          <w:lang w:eastAsia="en-GB"/>
        </w:rPr>
        <w:t xml:space="preserve"> Czech Republic</w:t>
      </w:r>
      <w:r w:rsidRPr="00CB58FC">
        <w:rPr>
          <w:rFonts w:eastAsia="Times New Roman"/>
          <w:color w:val="212121"/>
          <w:lang w:eastAsia="en-GB"/>
        </w:rPr>
        <w:t>, GESTOR reported ARR receipts of EUR 1,453,439 in 2023, with 3 full-time employees and global management costs of EUR 286,775; all management costs covered by management fees charged (20%).</w:t>
      </w:r>
      <w:r w:rsidR="00E71011" w:rsidRPr="00CB58FC">
        <w:rPr>
          <w:rFonts w:eastAsia="Times New Roman"/>
          <w:color w:val="212121"/>
          <w:lang w:eastAsia="en-GB"/>
        </w:rPr>
        <w:t xml:space="preserve"> Other sources of funding were from investment of funds in the Reserve Fund, the Development Fund and the Support Fund.</w:t>
      </w:r>
      <w:r w:rsidRPr="00CB58FC">
        <w:rPr>
          <w:rStyle w:val="FootnoteReference"/>
          <w:rFonts w:eastAsia="Times New Roman"/>
          <w:color w:val="212121"/>
          <w:lang w:eastAsia="en-GB"/>
        </w:rPr>
        <w:footnoteReference w:id="142"/>
      </w:r>
      <w:r w:rsidRPr="00CB58FC">
        <w:rPr>
          <w:rFonts w:eastAsia="Times New Roman"/>
          <w:color w:val="212121"/>
          <w:lang w:eastAsia="en-GB"/>
        </w:rPr>
        <w:t xml:space="preserve"> </w:t>
      </w:r>
      <w:r w:rsidRPr="00CB58FC">
        <w:rPr>
          <w:rFonts w:eastAsia="Times New Roman"/>
          <w:color w:val="212121"/>
          <w:sz w:val="20"/>
          <w:lang w:eastAsia="en-GB"/>
        </w:rPr>
        <w:t xml:space="preserve"> </w:t>
      </w:r>
      <w:r w:rsidRPr="00CB58FC">
        <w:t xml:space="preserve"> </w:t>
      </w:r>
    </w:p>
    <w:p w14:paraId="54364A65" w14:textId="27644670" w:rsidR="00447495" w:rsidRPr="00CB58FC" w:rsidRDefault="00447495" w:rsidP="00447495">
      <w:pPr>
        <w:pStyle w:val="ListParagraph"/>
        <w:numPr>
          <w:ilvl w:val="0"/>
          <w:numId w:val="47"/>
        </w:numPr>
        <w:spacing w:before="120" w:after="120"/>
      </w:pPr>
      <w:r w:rsidRPr="00CB58FC">
        <w:t xml:space="preserve">In </w:t>
      </w:r>
      <w:r w:rsidRPr="00CB58FC">
        <w:rPr>
          <w:b/>
          <w:bCs/>
        </w:rPr>
        <w:t>Belgium</w:t>
      </w:r>
      <w:r w:rsidRPr="00CB58FC">
        <w:t xml:space="preserve">, where SOFAM manages ARR for SOFAM authors and authors of SCAM, SACD, SAIF and </w:t>
      </w:r>
      <w:r w:rsidRPr="00CB58FC">
        <w:rPr>
          <w:i/>
          <w:iCs/>
        </w:rPr>
        <w:t>de Auteurs</w:t>
      </w:r>
      <w:r w:rsidR="00E71011" w:rsidRPr="00CB58FC">
        <w:t xml:space="preserve"> using a unique platform established by these societies for managing ARR, </w:t>
      </w:r>
      <w:r w:rsidRPr="00CB58FC">
        <w:t>SOFAM reported that in 2023 a total of EUR39,255.58 was received with a</w:t>
      </w:r>
      <w:r w:rsidR="00E71011" w:rsidRPr="00CB58FC">
        <w:t xml:space="preserve"> </w:t>
      </w:r>
      <w:r w:rsidRPr="00CB58FC">
        <w:t xml:space="preserve">15% management fee being deducted (12.4% for SABAM and 2.6% for SOFAM); SOFAM received EUR34,387 net payout from the platform (100-12.4%) </w:t>
      </w:r>
      <w:r w:rsidRPr="00CB58FC">
        <w:lastRenderedPageBreak/>
        <w:t xml:space="preserve">and paid out EUR 33,367.24 to SOFAM authors (less 2.6% for retained management fee); for all this, SOFAM required 1 half time employee and no other source of funding for ARR was required. </w:t>
      </w:r>
      <w:r w:rsidRPr="00CB58FC">
        <w:rPr>
          <w:i/>
          <w:iCs/>
        </w:rPr>
        <w:t xml:space="preserve"> </w:t>
      </w:r>
      <w:r w:rsidRPr="00CB58FC">
        <w:t>So far as gross ARR payments from abroad were concerned, in 2023 SOFAM received EUR 23,765.20, paying out EUR 21,388.68 to SOFAM authors (after deduction of retained 10% management fee).</w:t>
      </w:r>
      <w:r w:rsidR="00E0715A" w:rsidRPr="00CB58FC">
        <w:t xml:space="preserve"> However, the global management cost for ARR is not defined.</w:t>
      </w:r>
      <w:r w:rsidRPr="00CB58FC">
        <w:rPr>
          <w:rStyle w:val="FootnoteReference"/>
        </w:rPr>
        <w:footnoteReference w:id="143"/>
      </w:r>
      <w:r w:rsidRPr="00CB58FC">
        <w:t xml:space="preserve"> </w:t>
      </w:r>
    </w:p>
    <w:p w14:paraId="41D0F11D" w14:textId="44096EBC" w:rsidR="00447495" w:rsidRPr="00CB58FC" w:rsidRDefault="00447495" w:rsidP="00447495">
      <w:pPr>
        <w:pStyle w:val="ListParagraph"/>
        <w:numPr>
          <w:ilvl w:val="0"/>
          <w:numId w:val="47"/>
        </w:numPr>
        <w:spacing w:before="120" w:after="120"/>
      </w:pPr>
      <w:r w:rsidRPr="00CB58FC">
        <w:t xml:space="preserve">In </w:t>
      </w:r>
      <w:r w:rsidRPr="00CB58FC">
        <w:rPr>
          <w:b/>
          <w:bCs/>
        </w:rPr>
        <w:t>Estonia</w:t>
      </w:r>
      <w:r w:rsidRPr="00CB58FC">
        <w:t xml:space="preserve">, EAU reported that in 2023 it collected EUR107,528 for ARR, with a total management cost for visual arts of EUR 25,540 for the salary of one employee plus other expenses, noting that this employee also was responsible for </w:t>
      </w:r>
      <w:r w:rsidR="00E0715A" w:rsidRPr="00CB58FC">
        <w:t xml:space="preserve">management of </w:t>
      </w:r>
      <w:r w:rsidRPr="00CB58FC">
        <w:t>other rights relating to visual arts in addition to ARR</w:t>
      </w:r>
      <w:r w:rsidR="00E0715A" w:rsidRPr="00CB58FC">
        <w:t>.</w:t>
      </w:r>
      <w:r w:rsidRPr="00CB58FC">
        <w:t xml:space="preserve"> </w:t>
      </w:r>
      <w:r w:rsidR="00E0715A" w:rsidRPr="00CB58FC">
        <w:t>A</w:t>
      </w:r>
      <w:r w:rsidRPr="00CB58FC">
        <w:t xml:space="preserve"> 10% management fee for collection of ARR is deducted from ARR payments and there is no other source of funding for ARR collection. EAU noted further that it was a multi-repertoire society covering music, choreographers and publishers as well as visual artists and that collection of ARR was only a small part of the society’s </w:t>
      </w:r>
      <w:r w:rsidR="00E0715A" w:rsidRPr="00CB58FC">
        <w:t xml:space="preserve">overall </w:t>
      </w:r>
      <w:r w:rsidRPr="00CB58FC">
        <w:t xml:space="preserve">work. In addition, Estonia is a small country of 1.3 million with a relatively small aft market, with </w:t>
      </w:r>
      <w:r w:rsidR="00E0715A" w:rsidRPr="00CB58FC">
        <w:t>most</w:t>
      </w:r>
      <w:r w:rsidRPr="00CB58FC">
        <w:t xml:space="preserve"> works resold at auction being by Estonian artists </w:t>
      </w:r>
      <w:r w:rsidR="00E0715A" w:rsidRPr="00CB58FC">
        <w:t>and</w:t>
      </w:r>
      <w:r w:rsidRPr="00CB58FC">
        <w:t xml:space="preserve"> resales by foreign artists </w:t>
      </w:r>
      <w:r w:rsidR="00E0715A" w:rsidRPr="00CB58FC">
        <w:t xml:space="preserve">being </w:t>
      </w:r>
      <w:r w:rsidRPr="00CB58FC">
        <w:t xml:space="preserve"> ‘extremely rare’.</w:t>
      </w:r>
      <w:r w:rsidRPr="00CB58FC">
        <w:rPr>
          <w:rStyle w:val="FootnoteReference"/>
        </w:rPr>
        <w:footnoteReference w:id="144"/>
      </w:r>
      <w:r w:rsidRPr="00CB58FC">
        <w:t xml:space="preserve"> </w:t>
      </w:r>
    </w:p>
    <w:p w14:paraId="07BEB902" w14:textId="77777777" w:rsidR="00447495" w:rsidRPr="00CB58FC" w:rsidRDefault="00447495" w:rsidP="00447495">
      <w:pPr>
        <w:pStyle w:val="ListParagraph"/>
        <w:numPr>
          <w:ilvl w:val="0"/>
          <w:numId w:val="47"/>
        </w:numPr>
        <w:spacing w:before="120" w:after="120"/>
      </w:pPr>
      <w:r w:rsidRPr="00CB58FC">
        <w:t xml:space="preserve">In </w:t>
      </w:r>
      <w:r w:rsidRPr="00CB58FC">
        <w:rPr>
          <w:b/>
          <w:bCs/>
        </w:rPr>
        <w:t>Portugal</w:t>
      </w:r>
      <w:r w:rsidRPr="00CB58FC">
        <w:t>, SPAUTORES reported a total of EUR42,930 for ARR was received in 2023 and that this required one full-time employee. The global management cost for ARR had not yet been determined, but the commission charged was 10% and there was no other source of finding for management costs apart from the ARR deduction. A further note advised that Portugal is a small market and that collecting ARR has not been easy, with several legal actions filed against auction houses.</w:t>
      </w:r>
      <w:r w:rsidRPr="00CB58FC">
        <w:rPr>
          <w:rStyle w:val="FootnoteReference"/>
        </w:rPr>
        <w:footnoteReference w:id="145"/>
      </w:r>
      <w:r w:rsidRPr="00CB58FC">
        <w:t xml:space="preserve">  </w:t>
      </w:r>
    </w:p>
    <w:p w14:paraId="663790C8" w14:textId="77777777" w:rsidR="00B85B8C" w:rsidRPr="00CB58FC" w:rsidRDefault="00447495">
      <w:pPr>
        <w:pStyle w:val="ListParagraph"/>
        <w:numPr>
          <w:ilvl w:val="0"/>
          <w:numId w:val="47"/>
        </w:numPr>
        <w:spacing w:before="120" w:after="120"/>
        <w:rPr>
          <w:rFonts w:cs="Arial"/>
        </w:rPr>
      </w:pPr>
      <w:r w:rsidRPr="00CB58FC">
        <w:t>In the</w:t>
      </w:r>
      <w:r w:rsidRPr="00CB58FC">
        <w:rPr>
          <w:b/>
          <w:bCs/>
        </w:rPr>
        <w:t xml:space="preserve"> UK</w:t>
      </w:r>
      <w:r w:rsidRPr="00CB58FC">
        <w:t>, DACS reported GBP11,975,543 for ARR was received in 2023, with 3 full-time employees and a global ARR management cost of GBP1,590,240. The management fee charged is 15% and this has remained unchanged in the past five years. It was further noted that a relevant proportion of Bank interest earned on RR funds awaiting distribution was allocated against the cost of management in 2023 amounting to GBP142,993.</w:t>
      </w:r>
      <w:r w:rsidRPr="00CB58FC">
        <w:rPr>
          <w:rStyle w:val="FootnoteReference"/>
        </w:rPr>
        <w:footnoteReference w:id="146"/>
      </w:r>
      <w:r w:rsidRPr="00CB58FC">
        <w:t xml:space="preserve"> </w:t>
      </w:r>
    </w:p>
    <w:p w14:paraId="6EFA195D" w14:textId="77777777" w:rsidR="009A5545" w:rsidRPr="00CB58FC" w:rsidRDefault="00B85B8C">
      <w:pPr>
        <w:pStyle w:val="ListParagraph"/>
        <w:numPr>
          <w:ilvl w:val="0"/>
          <w:numId w:val="47"/>
        </w:numPr>
        <w:spacing w:before="120" w:after="120"/>
        <w:rPr>
          <w:rFonts w:cs="Arial"/>
        </w:rPr>
      </w:pPr>
      <w:r w:rsidRPr="00CB58FC">
        <w:t xml:space="preserve">In the </w:t>
      </w:r>
      <w:r w:rsidRPr="00CB58FC">
        <w:rPr>
          <w:b/>
          <w:bCs/>
        </w:rPr>
        <w:t>Netherlands</w:t>
      </w:r>
      <w:r w:rsidRPr="00CB58FC">
        <w:t>,</w:t>
      </w:r>
      <w:r w:rsidR="004E7966" w:rsidRPr="00CB58FC">
        <w:rPr>
          <w:rFonts w:eastAsia="Times New Roman"/>
          <w:color w:val="212121"/>
          <w:lang w:eastAsia="en-GB"/>
        </w:rPr>
        <w:t xml:space="preserve"> </w:t>
      </w:r>
      <w:r w:rsidRPr="00CB58FC">
        <w:rPr>
          <w:rFonts w:eastAsia="Times New Roman"/>
          <w:color w:val="212121"/>
          <w:lang w:eastAsia="en-GB"/>
        </w:rPr>
        <w:t xml:space="preserve">Pictotright reported it had received EUR 818,918 ARR payments in 2023, with </w:t>
      </w:r>
      <w:r w:rsidR="008E37F3" w:rsidRPr="00CB58FC">
        <w:rPr>
          <w:rFonts w:eastAsia="Times New Roman"/>
          <w:color w:val="212121"/>
          <w:lang w:eastAsia="en-GB"/>
        </w:rPr>
        <w:t>two employees including all other departments involved such as bookkeeping, general administration and the like but the resale right department itself was 1.2 FTE. T</w:t>
      </w:r>
      <w:r w:rsidRPr="00CB58FC">
        <w:rPr>
          <w:rFonts w:eastAsia="Times New Roman"/>
          <w:color w:val="212121"/>
          <w:lang w:eastAsia="en-GB"/>
        </w:rPr>
        <w:t xml:space="preserve">he global management cost for ARR </w:t>
      </w:r>
      <w:r w:rsidR="008E37F3" w:rsidRPr="00CB58FC">
        <w:rPr>
          <w:rFonts w:eastAsia="Times New Roman"/>
          <w:color w:val="212121"/>
          <w:lang w:eastAsia="en-GB"/>
        </w:rPr>
        <w:t>was estimated as EUR 123,932 being a set percentage estimated for ARR from overall costs of the Pictoright office; the rate deducted for management fees from ARR had varied between 5 to 15% over the past five years.</w:t>
      </w:r>
      <w:r w:rsidR="008E37F3" w:rsidRPr="00CB58FC">
        <w:rPr>
          <w:rStyle w:val="FootnoteReference"/>
          <w:rFonts w:eastAsia="Times New Roman"/>
          <w:color w:val="212121"/>
          <w:lang w:eastAsia="en-GB"/>
        </w:rPr>
        <w:footnoteReference w:id="147"/>
      </w:r>
      <w:r w:rsidR="00943B9A" w:rsidRPr="00CB58FC">
        <w:t xml:space="preserve">  </w:t>
      </w:r>
      <w:r w:rsidR="00DB52D7" w:rsidRPr="00CB58FC">
        <w:t xml:space="preserve">     </w:t>
      </w:r>
      <w:r w:rsidR="00CE0FA9" w:rsidRPr="00CB58FC">
        <w:t xml:space="preserve"> </w:t>
      </w:r>
    </w:p>
    <w:p w14:paraId="363F61FC" w14:textId="57DC9152" w:rsidR="00CE0FA9" w:rsidRPr="00CB58FC" w:rsidRDefault="009A5545" w:rsidP="0015390C">
      <w:pPr>
        <w:pStyle w:val="ListParagraph"/>
        <w:numPr>
          <w:ilvl w:val="0"/>
          <w:numId w:val="47"/>
        </w:numPr>
        <w:spacing w:before="120" w:after="120"/>
        <w:rPr>
          <w:rFonts w:cs="Arial"/>
        </w:rPr>
      </w:pPr>
      <w:r w:rsidRPr="00CB58FC">
        <w:t xml:space="preserve">In Hungary, </w:t>
      </w:r>
      <w:r w:rsidRPr="00CB58FC">
        <w:rPr>
          <w:b/>
          <w:bCs/>
        </w:rPr>
        <w:t xml:space="preserve">HUNGART </w:t>
      </w:r>
      <w:r w:rsidRPr="00CB58FC">
        <w:t>reported ARR receipts of EUR442,299</w:t>
      </w:r>
      <w:r w:rsidRPr="00CB58FC">
        <w:rPr>
          <w:rStyle w:val="FootnoteReference"/>
        </w:rPr>
        <w:footnoteReference w:id="148"/>
      </w:r>
      <w:r w:rsidRPr="00CB58FC">
        <w:t xml:space="preserve"> in 2023 with no full-time employees involved as the biggest part of the work is outsourced to another company. There is no exact data about overall ARR management costs but the outside company charges 5% for its services and the overall deduction made by HUNGART was previously 22% and is now 25%; there is no other source of funding for ARR management.</w:t>
      </w:r>
      <w:r w:rsidRPr="00CB58FC">
        <w:rPr>
          <w:rStyle w:val="FootnoteReference"/>
        </w:rPr>
        <w:footnoteReference w:id="149"/>
      </w:r>
      <w:r w:rsidRPr="00CB58FC">
        <w:t xml:space="preserve">  </w:t>
      </w:r>
    </w:p>
    <w:p w14:paraId="493C067C" w14:textId="77777777" w:rsidR="00DA727D" w:rsidRPr="00CB58FC" w:rsidRDefault="00DA727D" w:rsidP="0015390C">
      <w:pPr>
        <w:pStyle w:val="ListParagraph"/>
        <w:ind w:left="360"/>
        <w:rPr>
          <w:rFonts w:cs="Arial"/>
        </w:rPr>
      </w:pPr>
    </w:p>
    <w:p w14:paraId="436FBF3C" w14:textId="29A38381" w:rsidR="003D6031" w:rsidRPr="00CB58FC" w:rsidRDefault="003D6031" w:rsidP="006C5F72">
      <w:pPr>
        <w:pStyle w:val="ListParagraph"/>
        <w:numPr>
          <w:ilvl w:val="0"/>
          <w:numId w:val="16"/>
        </w:numPr>
        <w:rPr>
          <w:rFonts w:cs="Arial"/>
        </w:rPr>
      </w:pPr>
      <w:r w:rsidRPr="00CB58FC">
        <w:rPr>
          <w:rFonts w:cs="Arial"/>
        </w:rPr>
        <w:t>Where a country is contemplating establishing a collectively managed ARR scheme – and this is presently occurring in several countries in the Americas, Africa and Asia – there are important steps that need to be taken. The first of these arises at the political level: lobbying for and obtaining the necessary legislative recognition of ARR, including the necessary powers to implement such a scheme collectively (even if this is only done on a voluntary basis).</w:t>
      </w:r>
      <w:r w:rsidR="00447495" w:rsidRPr="00CB58FC">
        <w:rPr>
          <w:rStyle w:val="FootnoteReference"/>
          <w:rFonts w:cs="Arial"/>
        </w:rPr>
        <w:footnoteReference w:id="150"/>
      </w:r>
      <w:r w:rsidRPr="00CB58FC">
        <w:rPr>
          <w:rFonts w:cs="Arial"/>
        </w:rPr>
        <w:t xml:space="preserve"> The preceding sections of this Part of the Toolkit have sought to set out the kinds of matters that need attention in this regard, including the necessary machinery to establish a CMO, with appropriate approval procedures and continuing official supervision to ensure transparency and accountability to members, appropriate legal powers to assist in enforcement of the scheme and appropriate procedures within the CMO to collect and distribute ARR payments. In some countries, efforts to achieve recognition of ARR, let alone implementation through a CMO, have halted for long periods, as in Argentina and Brazil, or are about to be introduced, as in the cases of Mexico and Korea (at the time of writing). Other countries, such as Canada and Japan, are still working towards adoption of ARR, although both have CMOs for visual artists (JASPAR and CARFARC respectively) that are strong advocates for </w:t>
      </w:r>
      <w:r w:rsidR="00837CE7" w:rsidRPr="00CB58FC">
        <w:rPr>
          <w:rFonts w:cs="Arial"/>
        </w:rPr>
        <w:t>this and</w:t>
      </w:r>
      <w:r w:rsidRPr="00CB58FC">
        <w:rPr>
          <w:rFonts w:cs="Arial"/>
        </w:rPr>
        <w:t xml:space="preserve"> would be well placed to administer an ARR scheme, if introduced. In the USA, the Artists Rights Society (ARS) </w:t>
      </w:r>
      <w:r w:rsidR="00710039" w:rsidRPr="00CB58FC">
        <w:rPr>
          <w:rFonts w:cs="Arial"/>
        </w:rPr>
        <w:t xml:space="preserve">has been a strong advocate for ARR, but </w:t>
      </w:r>
      <w:r w:rsidRPr="00CB58FC">
        <w:rPr>
          <w:rFonts w:cs="Arial"/>
        </w:rPr>
        <w:t>to</w:t>
      </w:r>
      <w:r w:rsidR="00710039" w:rsidRPr="00CB58FC">
        <w:rPr>
          <w:rFonts w:cs="Arial"/>
        </w:rPr>
        <w:t xml:space="preserve"> date this has not become part of US law. </w:t>
      </w:r>
      <w:r w:rsidRPr="00CB58FC">
        <w:rPr>
          <w:rFonts w:cs="Arial"/>
        </w:rPr>
        <w:t xml:space="preserve"> </w:t>
      </w:r>
    </w:p>
    <w:p w14:paraId="2160B60F" w14:textId="77777777" w:rsidR="00DA727D" w:rsidRPr="00CB58FC" w:rsidRDefault="00DA727D" w:rsidP="006C5F72">
      <w:pPr>
        <w:pStyle w:val="ListParagraph"/>
        <w:ind w:left="360"/>
        <w:rPr>
          <w:rFonts w:cs="Arial"/>
        </w:rPr>
      </w:pPr>
    </w:p>
    <w:p w14:paraId="310849EC" w14:textId="79ABF258" w:rsidR="003D6031" w:rsidRPr="00CB58FC" w:rsidRDefault="003D6031" w:rsidP="006C5F72">
      <w:pPr>
        <w:pStyle w:val="ListParagraph"/>
        <w:numPr>
          <w:ilvl w:val="0"/>
          <w:numId w:val="16"/>
        </w:numPr>
        <w:rPr>
          <w:rFonts w:cs="Arial"/>
        </w:rPr>
      </w:pPr>
      <w:r w:rsidRPr="00CB58FC">
        <w:rPr>
          <w:rFonts w:cs="Arial"/>
        </w:rPr>
        <w:t>Legislative and official backing is one thing – and it must be acknowledged that the rights of visual artists may not loom large on the poli</w:t>
      </w:r>
      <w:r w:rsidR="00545FF1" w:rsidRPr="00CB58FC">
        <w:rPr>
          <w:rFonts w:cs="Arial"/>
        </w:rPr>
        <w:t>cy</w:t>
      </w:r>
      <w:r w:rsidRPr="00CB58FC">
        <w:rPr>
          <w:rFonts w:cs="Arial"/>
        </w:rPr>
        <w:t xml:space="preserve"> agendas of many countries – but it must also be acknowledged that there may be strong resistance or reluctance to participate in a national ARR scheme on the part of some groups potentially affected (such matters were commented on in several CMO responses received, such as South Africa and Botswana where proposals for ARR are presently included in proposed legislation). A particular legislative impediment that arises in Brazil, for example, arises from the present requirement in Brazilian law that bases ARR on a percentage of the increase in price which can be difficult to determine and appears to be used by some galleries as a device to avoid payment.</w:t>
      </w:r>
      <w:r w:rsidRPr="00CB58FC">
        <w:rPr>
          <w:rStyle w:val="FootnoteReference"/>
          <w:rFonts w:cs="Arial"/>
        </w:rPr>
        <w:footnoteReference w:id="151"/>
      </w:r>
      <w:r w:rsidRPr="00CB58FC">
        <w:rPr>
          <w:rFonts w:cs="Arial"/>
        </w:rPr>
        <w:t xml:space="preserve"> Mexico, which is in the course of implementing an ARR scheme through an existing visual arts CMO (SOMAAP) pointed to resistance from galleries and auctioneers and highlighted the need for tougher penalties and speedier legal processes. Public campaigns and promotions may therefore be necessary to shift opinion in favour of ARR and to achieve the adoption of an effective national ARR scheme, as reported by ONDA in Algeria. In some countries, such as Australia and New Zealand, recognition of ARR may be seen as part of a larger effort to promote reconciliation </w:t>
      </w:r>
      <w:r w:rsidRPr="00CB58FC">
        <w:rPr>
          <w:rFonts w:cs="Arial"/>
        </w:rPr>
        <w:lastRenderedPageBreak/>
        <w:t xml:space="preserve">with disadvantaged sections of their wider communities – Aboriginal and Torres Strait </w:t>
      </w:r>
      <w:r w:rsidR="007B4322" w:rsidRPr="00CB58FC">
        <w:rPr>
          <w:rFonts w:cs="Arial"/>
        </w:rPr>
        <w:t>Islanders (</w:t>
      </w:r>
      <w:r w:rsidRPr="00CB58FC">
        <w:rPr>
          <w:rFonts w:cs="Arial"/>
        </w:rPr>
        <w:t>Australia) and Māori (New Zealand).</w:t>
      </w:r>
      <w:r w:rsidR="00447495" w:rsidRPr="00CB58FC">
        <w:rPr>
          <w:rStyle w:val="FootnoteReference"/>
          <w:rFonts w:cs="Arial"/>
        </w:rPr>
        <w:footnoteReference w:id="152"/>
      </w:r>
    </w:p>
    <w:p w14:paraId="3FFE1FA2" w14:textId="77777777" w:rsidR="00545FF1" w:rsidRPr="00CB58FC" w:rsidRDefault="00545FF1" w:rsidP="0015390C">
      <w:pPr>
        <w:pStyle w:val="ListParagraph"/>
        <w:ind w:left="360"/>
        <w:rPr>
          <w:rFonts w:cs="Arial"/>
        </w:rPr>
      </w:pPr>
      <w:r w:rsidRPr="00CB58FC">
        <w:rPr>
          <w:rFonts w:cs="Arial"/>
        </w:rPr>
        <w:t xml:space="preserve"> </w:t>
      </w:r>
    </w:p>
    <w:p w14:paraId="2608B682" w14:textId="54B507EE" w:rsidR="003D6031" w:rsidRPr="00CB58FC" w:rsidRDefault="003D6031" w:rsidP="0015390C">
      <w:pPr>
        <w:pStyle w:val="ListParagraph"/>
        <w:numPr>
          <w:ilvl w:val="0"/>
          <w:numId w:val="16"/>
        </w:numPr>
        <w:rPr>
          <w:rFonts w:cs="Arial"/>
        </w:rPr>
      </w:pPr>
      <w:r w:rsidRPr="00CB58FC">
        <w:rPr>
          <w:rFonts w:cs="Arial"/>
        </w:rPr>
        <w:t>Strong support at the operational level for embryonic national CMOs is also to be found beyond national borders:</w:t>
      </w:r>
    </w:p>
    <w:p w14:paraId="374E4F8D" w14:textId="32018CC4" w:rsidR="003D6031" w:rsidRPr="00CB58FC" w:rsidRDefault="003D6031" w:rsidP="0015390C">
      <w:pPr>
        <w:pStyle w:val="ListParagraph"/>
        <w:numPr>
          <w:ilvl w:val="1"/>
          <w:numId w:val="16"/>
        </w:numPr>
        <w:rPr>
          <w:rFonts w:cs="Arial"/>
        </w:rPr>
      </w:pPr>
      <w:r w:rsidRPr="00CB58FC">
        <w:rPr>
          <w:rFonts w:cs="Arial"/>
        </w:rPr>
        <w:t xml:space="preserve">From sister CMOs that are presently operating CMO schemes. Some of this information is readily available online: it has been noted at various points above that most national CMOs have very informative websites that provide details of their schemes and contain helpful guides and other material. Much of this is available in English, French or Spanish, as well as in national languages; quite apart from anything else, they highlight the need for a CMO to have material readily available for eligible right holders, AMPs and the broader public. Appendix 3 lists the various CMOs consulted during the preparation of this Part and </w:t>
      </w:r>
      <w:r w:rsidR="00710039" w:rsidRPr="00CB58FC">
        <w:rPr>
          <w:rFonts w:cs="Arial"/>
        </w:rPr>
        <w:t xml:space="preserve">contains </w:t>
      </w:r>
      <w:r w:rsidRPr="00CB58FC">
        <w:rPr>
          <w:rFonts w:cs="Arial"/>
        </w:rPr>
        <w:t>links to their websites. The utility of such information was commented upon in several responses received, for example, AUTVIS in Brazil and ONDA in Algeria.</w:t>
      </w:r>
    </w:p>
    <w:p w14:paraId="524EA226" w14:textId="77777777" w:rsidR="003D6031" w:rsidRPr="00CB58FC" w:rsidRDefault="003D6031" w:rsidP="0015390C">
      <w:pPr>
        <w:pStyle w:val="ListParagraph"/>
        <w:numPr>
          <w:ilvl w:val="1"/>
          <w:numId w:val="16"/>
        </w:numPr>
        <w:rPr>
          <w:rFonts w:cs="Arial"/>
        </w:rPr>
      </w:pPr>
      <w:r w:rsidRPr="00CB58FC">
        <w:rPr>
          <w:rFonts w:cs="Arial"/>
        </w:rPr>
        <w:t>Existing national CMOs have also been very active in promoting ARR generally at the regional and international level, for example, VEGAP in relation to Spanish-speaking countries in Central and South America, ADAGP in relation to Francophone countries in Africa and DACS in relation to Anglophone countries in Africa, Asia and the Pacific.</w:t>
      </w:r>
    </w:p>
    <w:p w14:paraId="2DAF620C" w14:textId="77777777" w:rsidR="003D6031" w:rsidRPr="00CB58FC" w:rsidRDefault="003D6031" w:rsidP="0015390C">
      <w:pPr>
        <w:pStyle w:val="ListParagraph"/>
        <w:numPr>
          <w:ilvl w:val="1"/>
          <w:numId w:val="16"/>
        </w:numPr>
        <w:rPr>
          <w:rFonts w:cs="Arial"/>
        </w:rPr>
      </w:pPr>
      <w:r w:rsidRPr="00CB58FC">
        <w:rPr>
          <w:rFonts w:cs="Arial"/>
        </w:rPr>
        <w:t>More generally, ‘peak’ organizations such as CISAC and EVA provide forums in which national CMOs can meet regularly and exchange experiences, provide mentoring programs and other forms of assistance to emerging CMOs, e</w:t>
      </w:r>
      <w:r w:rsidRPr="00CB58FC">
        <w:rPr>
          <w:rFonts w:eastAsiaTheme="minorEastAsia" w:cs="Arial"/>
          <w14:ligatures w14:val="standardContextual"/>
        </w:rPr>
        <w:t>specially in developing countries. These initiatives may include training programs, workshops, and technical assistance aimed at strengthening the operational capacities of CMOs in managing rights and collecting royalties for creators.</w:t>
      </w:r>
    </w:p>
    <w:p w14:paraId="3C5142D2" w14:textId="346EB8A2" w:rsidR="003D6031" w:rsidRPr="00CB58FC" w:rsidRDefault="003D6031" w:rsidP="0015390C">
      <w:pPr>
        <w:pStyle w:val="ListParagraph"/>
        <w:numPr>
          <w:ilvl w:val="1"/>
          <w:numId w:val="16"/>
        </w:numPr>
        <w:rPr>
          <w:rFonts w:cs="Arial"/>
        </w:rPr>
      </w:pPr>
      <w:r w:rsidRPr="00CB58FC">
        <w:rPr>
          <w:rFonts w:cs="Arial"/>
        </w:rPr>
        <w:t>The role of WIPO is also important here: through its formal bodies such as the Standing Committee on Copyright and Related Rights, advice from it</w:t>
      </w:r>
      <w:r w:rsidR="00F05EA1" w:rsidRPr="00CB58FC">
        <w:rPr>
          <w:rFonts w:cs="Arial"/>
        </w:rPr>
        <w:t>s</w:t>
      </w:r>
      <w:r w:rsidRPr="00CB58FC">
        <w:rPr>
          <w:rFonts w:cs="Arial"/>
        </w:rPr>
        <w:t xml:space="preserve"> skilled officials</w:t>
      </w:r>
      <w:r w:rsidR="00F05EA1" w:rsidRPr="00CB58FC">
        <w:rPr>
          <w:rFonts w:cs="Arial"/>
        </w:rPr>
        <w:t xml:space="preserve"> in the Copyright Management Division, </w:t>
      </w:r>
      <w:r w:rsidRPr="00CB58FC">
        <w:rPr>
          <w:rFonts w:cs="Arial"/>
        </w:rPr>
        <w:t>and also in the area of IT solutions.</w:t>
      </w:r>
      <w:r w:rsidR="00545FF1" w:rsidRPr="00CB58FC">
        <w:rPr>
          <w:rStyle w:val="FootnoteReference"/>
          <w:rFonts w:cs="Arial"/>
        </w:rPr>
        <w:footnoteReference w:id="153"/>
      </w:r>
      <w:r w:rsidRPr="00CB58FC">
        <w:rPr>
          <w:rFonts w:cs="Arial"/>
        </w:rPr>
        <w:t xml:space="preserve"> WIPO is well-placed to provide training programmes for staff</w:t>
      </w:r>
      <w:r w:rsidR="00F05EA1" w:rsidRPr="00CB58FC">
        <w:rPr>
          <w:rFonts w:cs="Arial"/>
        </w:rPr>
        <w:t xml:space="preserve"> of CMOs</w:t>
      </w:r>
      <w:r w:rsidRPr="00CB58FC">
        <w:rPr>
          <w:rFonts w:cs="Arial"/>
        </w:rPr>
        <w:t xml:space="preserve"> and organizing conferences with visual artists to raise awareness of ARR.</w:t>
      </w:r>
    </w:p>
    <w:p w14:paraId="4C2BC641" w14:textId="77777777" w:rsidR="00545FF1" w:rsidRPr="00CB58FC" w:rsidRDefault="00545FF1" w:rsidP="0015390C">
      <w:pPr>
        <w:pStyle w:val="ListParagraph"/>
        <w:ind w:left="360"/>
        <w:rPr>
          <w:rFonts w:cs="Arial"/>
        </w:rPr>
      </w:pPr>
    </w:p>
    <w:p w14:paraId="147D51AD" w14:textId="19D3D1EA" w:rsidR="003D6031" w:rsidRPr="00CB58FC" w:rsidRDefault="003D6031" w:rsidP="0015390C">
      <w:pPr>
        <w:pStyle w:val="ListParagraph"/>
        <w:numPr>
          <w:ilvl w:val="0"/>
          <w:numId w:val="16"/>
        </w:numPr>
        <w:rPr>
          <w:rFonts w:cs="Arial"/>
        </w:rPr>
      </w:pPr>
      <w:r w:rsidRPr="00CB58FC">
        <w:rPr>
          <w:rFonts w:cs="Arial"/>
        </w:rPr>
        <w:t>Finally</w:t>
      </w:r>
      <w:r w:rsidR="00F05EA1" w:rsidRPr="00CB58FC">
        <w:rPr>
          <w:rFonts w:cs="Arial"/>
        </w:rPr>
        <w:t xml:space="preserve">, </w:t>
      </w:r>
      <w:r w:rsidRPr="00CB58FC">
        <w:rPr>
          <w:rFonts w:cs="Arial"/>
        </w:rPr>
        <w:t xml:space="preserve">a significant impediment to the broader acceptance of ARR schemes at the national level arises from its optional status under the Berne Convention. Several of the responses received indicate that this is a factor underpinning some of the resistance to adoption of ARR in their countries: why should this be a reform priority if it is not a mandatory international obligation? </w:t>
      </w:r>
      <w:r w:rsidR="00F05EA1" w:rsidRPr="00CB58FC">
        <w:rPr>
          <w:rFonts w:cs="Arial"/>
        </w:rPr>
        <w:t xml:space="preserve">Among the CMOs consulted during preparation of this report, one from Japan (JASPAR) noted that </w:t>
      </w:r>
      <w:r w:rsidRPr="00CB58FC">
        <w:rPr>
          <w:rFonts w:cs="Arial"/>
        </w:rPr>
        <w:t xml:space="preserve">Implementation at the national level through collective management might still remain a matter for each country to determine, but a requirement to recognise ARR in the first place is an important step in advancing public debate and acceptance.   </w:t>
      </w:r>
    </w:p>
    <w:p w14:paraId="26B31618" w14:textId="77777777" w:rsidR="003D6031" w:rsidRPr="00CB58FC" w:rsidRDefault="003D6031" w:rsidP="003D6031"/>
    <w:p w14:paraId="3F634BB2" w14:textId="77777777" w:rsidR="003D6031" w:rsidRPr="00CB58FC" w:rsidRDefault="003D6031" w:rsidP="003D6031">
      <w:pPr>
        <w:rPr>
          <w:rFonts w:eastAsiaTheme="majorEastAsia"/>
          <w:sz w:val="32"/>
          <w:szCs w:val="32"/>
        </w:rPr>
      </w:pPr>
      <w:r w:rsidRPr="00CB58FC">
        <w:br w:type="page"/>
      </w:r>
    </w:p>
    <w:p w14:paraId="5F5BAF3F" w14:textId="77777777" w:rsidR="003D6031" w:rsidRPr="00CB58FC" w:rsidRDefault="003D6031" w:rsidP="003D6031">
      <w:pPr>
        <w:pStyle w:val="Heading1"/>
      </w:pPr>
      <w:r w:rsidRPr="00CB58FC">
        <w:lastRenderedPageBreak/>
        <w:t>APPENDIX 1</w:t>
      </w:r>
    </w:p>
    <w:p w14:paraId="5B5EFDF2" w14:textId="77777777" w:rsidR="003D6031" w:rsidRPr="00CB58FC" w:rsidRDefault="003D6031" w:rsidP="003D6031"/>
    <w:p w14:paraId="664102A1" w14:textId="77777777" w:rsidR="003D6031" w:rsidRPr="00CB58FC" w:rsidRDefault="003D6031" w:rsidP="003D6031">
      <w:pPr>
        <w:pStyle w:val="Heading3"/>
      </w:pPr>
      <w:r w:rsidRPr="00CB58FC">
        <w:t>[Questionnaire sent to CMOs  already collecting and distributing ARR payments]</w:t>
      </w:r>
    </w:p>
    <w:p w14:paraId="670ED2E5" w14:textId="77777777" w:rsidR="003D6031" w:rsidRPr="00CB58FC" w:rsidRDefault="003D6031" w:rsidP="003D6031">
      <w:pPr>
        <w:pStyle w:val="Heading2"/>
      </w:pPr>
      <w:r w:rsidRPr="00CB58FC">
        <w:t>Questionnaire on practicalities of ARR scheme (CMOs):</w:t>
      </w:r>
    </w:p>
    <w:p w14:paraId="3EBD976C" w14:textId="77777777" w:rsidR="003D6031" w:rsidRPr="00CB58FC" w:rsidRDefault="003D6031" w:rsidP="003D6031">
      <w:pPr>
        <w:pStyle w:val="Heading3"/>
      </w:pPr>
      <w:r w:rsidRPr="00CB58FC">
        <w:t xml:space="preserve"> Abbreviations used in this document:</w:t>
      </w:r>
    </w:p>
    <w:p w14:paraId="0A66EA39" w14:textId="77777777" w:rsidR="003D6031" w:rsidRPr="00CB58FC" w:rsidRDefault="003D6031" w:rsidP="003D6031"/>
    <w:p w14:paraId="293433F9" w14:textId="77777777" w:rsidR="003D6031" w:rsidRPr="00CB58FC" w:rsidRDefault="003D6031" w:rsidP="003D6031">
      <w:pPr>
        <w:ind w:left="720"/>
      </w:pPr>
      <w:r w:rsidRPr="00CB58FC">
        <w:t>ARR:</w:t>
      </w:r>
      <w:r w:rsidRPr="00CB58FC">
        <w:tab/>
        <w:t>Art Resale Royalty</w:t>
      </w:r>
    </w:p>
    <w:p w14:paraId="52BA91D3" w14:textId="77777777" w:rsidR="003D6031" w:rsidRPr="00CB58FC" w:rsidRDefault="003D6031" w:rsidP="003D6031">
      <w:pPr>
        <w:ind w:left="720"/>
      </w:pPr>
      <w:r w:rsidRPr="00CB58FC">
        <w:t xml:space="preserve">CMO: </w:t>
      </w:r>
      <w:r w:rsidRPr="00CB58FC">
        <w:tab/>
        <w:t>Collective Management Organization (Collecting Society)</w:t>
      </w:r>
    </w:p>
    <w:p w14:paraId="5A793899" w14:textId="77777777" w:rsidR="003D6031" w:rsidRPr="00CB58FC" w:rsidRDefault="003D6031" w:rsidP="003D6031">
      <w:pPr>
        <w:ind w:left="720"/>
      </w:pPr>
      <w:r w:rsidRPr="00CB58FC">
        <w:t xml:space="preserve">AMP: </w:t>
      </w:r>
      <w:r w:rsidRPr="00CB58FC">
        <w:tab/>
        <w:t>Art Market Professional, e.g. Art Dealer, Gallery, Art Auction</w:t>
      </w:r>
    </w:p>
    <w:p w14:paraId="777D2377" w14:textId="510EB1F2" w:rsidR="003D6031" w:rsidRPr="00CB58FC" w:rsidRDefault="003D6031" w:rsidP="003D6031">
      <w:pPr>
        <w:ind w:left="720"/>
        <w:rPr>
          <w:lang w:val="fr-CH"/>
        </w:rPr>
      </w:pPr>
      <w:r w:rsidRPr="00CB58FC">
        <w:rPr>
          <w:lang w:val="fr-CH"/>
        </w:rPr>
        <w:t>IT :</w:t>
      </w:r>
      <w:r w:rsidRPr="00CB58FC">
        <w:rPr>
          <w:lang w:val="fr-CH"/>
        </w:rPr>
        <w:tab/>
      </w:r>
      <w:r w:rsidR="00A5508C" w:rsidRPr="00CB58FC">
        <w:rPr>
          <w:lang w:val="fr-CH"/>
        </w:rPr>
        <w:tab/>
      </w:r>
      <w:r w:rsidRPr="00CB58FC">
        <w:rPr>
          <w:lang w:val="fr-CH"/>
        </w:rPr>
        <w:t>INFORMATION TECHNOLOGY</w:t>
      </w:r>
    </w:p>
    <w:p w14:paraId="16C67CED" w14:textId="0CB5C91F" w:rsidR="003D6031" w:rsidRPr="00CB58FC" w:rsidRDefault="003D6031" w:rsidP="003D6031">
      <w:pPr>
        <w:ind w:left="720"/>
        <w:rPr>
          <w:lang w:val="fr-CH"/>
        </w:rPr>
      </w:pPr>
      <w:r w:rsidRPr="00CB58FC">
        <w:rPr>
          <w:lang w:val="fr-CH"/>
        </w:rPr>
        <w:t>AI:</w:t>
      </w:r>
      <w:r w:rsidRPr="00CB58FC">
        <w:rPr>
          <w:lang w:val="fr-CH"/>
        </w:rPr>
        <w:tab/>
      </w:r>
      <w:r w:rsidR="00A5508C" w:rsidRPr="00CB58FC">
        <w:rPr>
          <w:lang w:val="fr-CH"/>
        </w:rPr>
        <w:tab/>
      </w:r>
      <w:r w:rsidRPr="00CB58FC">
        <w:rPr>
          <w:lang w:val="fr-CH"/>
        </w:rPr>
        <w:t xml:space="preserve">ARTIFICIAL INTELLIGENCE </w:t>
      </w:r>
    </w:p>
    <w:p w14:paraId="57B34AC4" w14:textId="77777777" w:rsidR="003D6031" w:rsidRPr="00CB58FC" w:rsidRDefault="003D6031" w:rsidP="003D6031">
      <w:pPr>
        <w:ind w:left="720"/>
        <w:rPr>
          <w:lang w:val="fr-CH"/>
        </w:rPr>
      </w:pPr>
      <w:r w:rsidRPr="00CB58FC">
        <w:rPr>
          <w:lang w:val="fr-CH"/>
        </w:rPr>
        <w:t>NFT:</w:t>
      </w:r>
      <w:r w:rsidRPr="00CB58FC">
        <w:rPr>
          <w:lang w:val="fr-CH"/>
        </w:rPr>
        <w:tab/>
        <w:t>NON-FUNGIBLE TOKEN</w:t>
      </w:r>
    </w:p>
    <w:p w14:paraId="144823A9" w14:textId="77777777" w:rsidR="003D6031" w:rsidRPr="00CB58FC" w:rsidRDefault="003D6031" w:rsidP="003D6031">
      <w:pPr>
        <w:ind w:left="720"/>
        <w:rPr>
          <w:lang w:val="fr-CH"/>
        </w:rPr>
      </w:pPr>
      <w:r w:rsidRPr="00CB58FC">
        <w:rPr>
          <w:lang w:val="fr-CH"/>
        </w:rPr>
        <w:t xml:space="preserve">   </w:t>
      </w:r>
    </w:p>
    <w:p w14:paraId="2E8CD7CC" w14:textId="77777777" w:rsidR="003D6031" w:rsidRPr="00CB58FC" w:rsidRDefault="003D6031" w:rsidP="003D6031">
      <w:pPr>
        <w:pStyle w:val="ListParagraph"/>
        <w:numPr>
          <w:ilvl w:val="0"/>
          <w:numId w:val="4"/>
        </w:numPr>
        <w:ind w:left="1080"/>
        <w:rPr>
          <w:rFonts w:cs="Arial"/>
        </w:rPr>
      </w:pPr>
      <w:r w:rsidRPr="00CB58FC">
        <w:rPr>
          <w:rFonts w:cs="Arial"/>
        </w:rPr>
        <w:t>How is your CMO constituted? That is, is it established by or under legislation or under the rules of your general law (such as those relating to corporations or associations) and are there particular restrictions or limitations that apply to its operations? Is it possible to supply the relevant documents, such as a constitution or articles of association and other rules, that govern the operations of your CMO?</w:t>
      </w:r>
    </w:p>
    <w:p w14:paraId="6C3F78EF" w14:textId="77777777" w:rsidR="003D6031" w:rsidRPr="00CB58FC" w:rsidRDefault="003D6031" w:rsidP="003D6031">
      <w:pPr>
        <w:pStyle w:val="ListParagraph"/>
        <w:ind w:left="1080"/>
        <w:rPr>
          <w:rFonts w:cs="Arial"/>
        </w:rPr>
      </w:pPr>
    </w:p>
    <w:p w14:paraId="5A0F6222" w14:textId="77777777" w:rsidR="003D6031" w:rsidRPr="00CB58FC" w:rsidRDefault="003D6031" w:rsidP="003D6031">
      <w:pPr>
        <w:pStyle w:val="ListParagraph"/>
        <w:numPr>
          <w:ilvl w:val="0"/>
          <w:numId w:val="4"/>
        </w:numPr>
        <w:ind w:left="1080"/>
        <w:rPr>
          <w:rFonts w:cs="Arial"/>
        </w:rPr>
      </w:pPr>
      <w:r w:rsidRPr="00CB58FC">
        <w:rPr>
          <w:rFonts w:cs="Arial"/>
        </w:rPr>
        <w:t xml:space="preserve">What kind of public control, that is, through government, government agencies, courts or administrative tribunals, etc, apply to your CMO? </w:t>
      </w:r>
    </w:p>
    <w:p w14:paraId="1B348F31" w14:textId="77777777" w:rsidR="003D6031" w:rsidRPr="00CB58FC" w:rsidRDefault="003D6031" w:rsidP="003D6031">
      <w:pPr>
        <w:pStyle w:val="ListParagraph"/>
        <w:rPr>
          <w:rFonts w:cs="Arial"/>
        </w:rPr>
      </w:pPr>
    </w:p>
    <w:p w14:paraId="4A66004D" w14:textId="77777777" w:rsidR="003D6031" w:rsidRPr="00CB58FC" w:rsidRDefault="003D6031" w:rsidP="003D6031">
      <w:pPr>
        <w:pStyle w:val="ListParagraph"/>
        <w:numPr>
          <w:ilvl w:val="0"/>
          <w:numId w:val="4"/>
        </w:numPr>
        <w:ind w:left="1080"/>
        <w:rPr>
          <w:rFonts w:cs="Arial"/>
        </w:rPr>
      </w:pPr>
      <w:r w:rsidRPr="00CB58FC">
        <w:rPr>
          <w:rFonts w:cs="Arial"/>
        </w:rPr>
        <w:t xml:space="preserve">Following on from 2, are there internal controls that apply to your CMO, for example, through boards of directors, members’ representative bodies, and the like?  </w:t>
      </w:r>
    </w:p>
    <w:p w14:paraId="462657F9" w14:textId="77777777" w:rsidR="003D6031" w:rsidRPr="00CB58FC" w:rsidRDefault="003D6031" w:rsidP="003D6031">
      <w:pPr>
        <w:pStyle w:val="ListParagraph"/>
        <w:rPr>
          <w:rFonts w:cs="Arial"/>
        </w:rPr>
      </w:pPr>
    </w:p>
    <w:p w14:paraId="4809C8AB" w14:textId="5F8851D7" w:rsidR="003D6031" w:rsidRPr="00CB58FC" w:rsidRDefault="003D6031" w:rsidP="003D6031">
      <w:pPr>
        <w:pStyle w:val="ListParagraph"/>
        <w:numPr>
          <w:ilvl w:val="0"/>
          <w:numId w:val="4"/>
        </w:numPr>
        <w:ind w:left="1080"/>
        <w:rPr>
          <w:rFonts w:cs="Arial"/>
        </w:rPr>
      </w:pPr>
      <w:r w:rsidRPr="00CB58FC">
        <w:rPr>
          <w:rFonts w:cs="Arial"/>
        </w:rPr>
        <w:t>Is administration of ARR the sole responsibility of your CMO or is this part of an existing CMO which administers other rights of copyright owners, e</w:t>
      </w:r>
      <w:r w:rsidR="00AB07D2" w:rsidRPr="00CB58FC">
        <w:rPr>
          <w:rFonts w:cs="Arial"/>
        </w:rPr>
        <w:t>.</w:t>
      </w:r>
      <w:r w:rsidRPr="00CB58FC">
        <w:rPr>
          <w:rFonts w:cs="Arial"/>
        </w:rPr>
        <w:t>g</w:t>
      </w:r>
      <w:r w:rsidR="00AB07D2" w:rsidRPr="00CB58FC">
        <w:rPr>
          <w:rFonts w:cs="Arial"/>
        </w:rPr>
        <w:t>.</w:t>
      </w:r>
      <w:r w:rsidRPr="00CB58FC">
        <w:rPr>
          <w:rFonts w:cs="Arial"/>
        </w:rPr>
        <w:t xml:space="preserve"> reproduction and communication rights for visual artists, or for literary and artistic works more broadly?</w:t>
      </w:r>
    </w:p>
    <w:p w14:paraId="3A642076" w14:textId="77777777" w:rsidR="003D6031" w:rsidRPr="00CB58FC" w:rsidRDefault="003D6031" w:rsidP="003D6031">
      <w:pPr>
        <w:pStyle w:val="ListParagraph"/>
        <w:ind w:left="1080"/>
        <w:rPr>
          <w:rFonts w:cs="Arial"/>
        </w:rPr>
      </w:pPr>
    </w:p>
    <w:p w14:paraId="2E3E2EA1" w14:textId="7DD2BB01" w:rsidR="003D6031" w:rsidRPr="00CB58FC" w:rsidRDefault="003D6031" w:rsidP="003D6031">
      <w:pPr>
        <w:pStyle w:val="ListParagraph"/>
        <w:numPr>
          <w:ilvl w:val="0"/>
          <w:numId w:val="4"/>
        </w:numPr>
        <w:ind w:left="1080"/>
        <w:rPr>
          <w:rFonts w:cs="Arial"/>
        </w:rPr>
      </w:pPr>
      <w:r w:rsidRPr="00CB58FC">
        <w:rPr>
          <w:rFonts w:cs="Arial"/>
        </w:rPr>
        <w:t>How are rights acquired from artists for the purposes of administering your ARR scheme, e</w:t>
      </w:r>
      <w:r w:rsidR="00AB07D2" w:rsidRPr="00CB58FC">
        <w:rPr>
          <w:rFonts w:cs="Arial"/>
        </w:rPr>
        <w:t>.</w:t>
      </w:r>
      <w:r w:rsidRPr="00CB58FC">
        <w:rPr>
          <w:rFonts w:cs="Arial"/>
        </w:rPr>
        <w:t>g</w:t>
      </w:r>
      <w:r w:rsidR="00AB07D2" w:rsidRPr="00CB58FC">
        <w:rPr>
          <w:rFonts w:cs="Arial"/>
        </w:rPr>
        <w:t>.</w:t>
      </w:r>
      <w:r w:rsidRPr="00CB58FC">
        <w:rPr>
          <w:rFonts w:cs="Arial"/>
        </w:rPr>
        <w:t xml:space="preserve"> by way of assignment or exclusive </w:t>
      </w:r>
      <w:r w:rsidR="00AB07D2" w:rsidRPr="00CB58FC">
        <w:rPr>
          <w:rFonts w:cs="Arial"/>
        </w:rPr>
        <w:t>license</w:t>
      </w:r>
      <w:r w:rsidRPr="00CB58FC">
        <w:rPr>
          <w:rFonts w:cs="Arial"/>
        </w:rPr>
        <w:t xml:space="preserve">, or is this done on an agency basis, or is there mandatory collective management under your ARR scheme, that is, a positive legal provision imposing administration of the scheme through an (approved) CMO? </w:t>
      </w:r>
    </w:p>
    <w:p w14:paraId="228F8F36" w14:textId="77777777" w:rsidR="003D6031" w:rsidRPr="00CB58FC" w:rsidRDefault="003D6031" w:rsidP="003D6031">
      <w:pPr>
        <w:pStyle w:val="ListParagraph"/>
        <w:rPr>
          <w:rFonts w:cs="Arial"/>
        </w:rPr>
      </w:pPr>
    </w:p>
    <w:p w14:paraId="7875D159" w14:textId="77777777" w:rsidR="003D6031" w:rsidRPr="00CB58FC" w:rsidRDefault="003D6031" w:rsidP="003D6031">
      <w:pPr>
        <w:pStyle w:val="ListParagraph"/>
        <w:numPr>
          <w:ilvl w:val="0"/>
          <w:numId w:val="4"/>
        </w:numPr>
        <w:ind w:left="1080"/>
        <w:rPr>
          <w:rFonts w:cs="Arial"/>
        </w:rPr>
      </w:pPr>
      <w:r w:rsidRPr="00CB58FC">
        <w:rPr>
          <w:rFonts w:cs="Arial"/>
        </w:rPr>
        <w:t>More generally, what is the legal basis of your relationship with the artist? For example, can individual artists opt out of membership of your CMO, and in what circumstances can they do so?</w:t>
      </w:r>
    </w:p>
    <w:p w14:paraId="5AED2F27" w14:textId="77777777" w:rsidR="003D6031" w:rsidRPr="00CB58FC" w:rsidRDefault="003D6031" w:rsidP="003D6031"/>
    <w:p w14:paraId="5836D3B1" w14:textId="77777777" w:rsidR="003D6031" w:rsidRPr="00CB58FC" w:rsidRDefault="003D6031" w:rsidP="003D6031">
      <w:pPr>
        <w:pStyle w:val="ListParagraph"/>
        <w:numPr>
          <w:ilvl w:val="0"/>
          <w:numId w:val="4"/>
        </w:numPr>
        <w:ind w:left="1080"/>
        <w:rPr>
          <w:rFonts w:cs="Arial"/>
        </w:rPr>
      </w:pPr>
      <w:r w:rsidRPr="00CB58FC">
        <w:rPr>
          <w:rFonts w:cs="Arial"/>
        </w:rPr>
        <w:t xml:space="preserve">Is there legislative and/or other government support for your CMO? That is, does it receive legislative recognition or endorsement and how does this occur? </w:t>
      </w:r>
    </w:p>
    <w:p w14:paraId="4A64160D" w14:textId="77777777" w:rsidR="003D6031" w:rsidRPr="00CB58FC" w:rsidRDefault="003D6031" w:rsidP="003D6031">
      <w:pPr>
        <w:pStyle w:val="ListParagraph"/>
        <w:ind w:left="1080"/>
        <w:rPr>
          <w:rFonts w:cs="Arial"/>
        </w:rPr>
      </w:pPr>
    </w:p>
    <w:p w14:paraId="7CAEC803" w14:textId="77777777" w:rsidR="003D6031" w:rsidRPr="00CB58FC" w:rsidRDefault="003D6031" w:rsidP="003D6031">
      <w:pPr>
        <w:pStyle w:val="ListParagraph"/>
        <w:numPr>
          <w:ilvl w:val="0"/>
          <w:numId w:val="4"/>
        </w:numPr>
        <w:ind w:left="1080"/>
        <w:rPr>
          <w:rFonts w:cs="Arial"/>
        </w:rPr>
      </w:pPr>
      <w:r w:rsidRPr="00CB58FC">
        <w:rPr>
          <w:rFonts w:cs="Arial"/>
        </w:rPr>
        <w:t xml:space="preserve">How does your CMO identify artists and artworks that may be eligible for ARR? For example:  </w:t>
      </w:r>
    </w:p>
    <w:p w14:paraId="583C0C61" w14:textId="77777777" w:rsidR="003D6031" w:rsidRPr="00CB58FC" w:rsidRDefault="003D6031" w:rsidP="003D6031">
      <w:pPr>
        <w:pStyle w:val="ListParagraph"/>
        <w:rPr>
          <w:rFonts w:cs="Arial"/>
        </w:rPr>
      </w:pPr>
    </w:p>
    <w:p w14:paraId="12B3D7A8" w14:textId="77777777" w:rsidR="003D6031" w:rsidRPr="00CB58FC" w:rsidRDefault="003D6031" w:rsidP="003D6031">
      <w:pPr>
        <w:pStyle w:val="ListParagraph"/>
        <w:numPr>
          <w:ilvl w:val="0"/>
          <w:numId w:val="5"/>
        </w:numPr>
        <w:rPr>
          <w:rFonts w:cs="Arial"/>
        </w:rPr>
      </w:pPr>
      <w:r w:rsidRPr="00CB58FC">
        <w:rPr>
          <w:rFonts w:cs="Arial"/>
        </w:rPr>
        <w:t>Is it possible for artists to record or register their names, addresses, etc with your CMO in advance, or is there a general notification that can be used to identify the artist if and when an eligible resale occurs? Do artists then become members of your CMO and what does membership entail?</w:t>
      </w:r>
    </w:p>
    <w:p w14:paraId="18650985" w14:textId="7435C350" w:rsidR="003D6031" w:rsidRPr="00CB58FC" w:rsidRDefault="003D6031" w:rsidP="003D6031">
      <w:pPr>
        <w:pStyle w:val="ListParagraph"/>
        <w:numPr>
          <w:ilvl w:val="0"/>
          <w:numId w:val="5"/>
        </w:numPr>
        <w:rPr>
          <w:rFonts w:cs="Arial"/>
        </w:rPr>
      </w:pPr>
      <w:r w:rsidRPr="00CB58FC">
        <w:rPr>
          <w:rFonts w:cs="Arial"/>
        </w:rPr>
        <w:lastRenderedPageBreak/>
        <w:t>How is such recording or registration achieved, i</w:t>
      </w:r>
      <w:r w:rsidR="00AB07D2" w:rsidRPr="00CB58FC">
        <w:rPr>
          <w:rFonts w:cs="Arial"/>
        </w:rPr>
        <w:t>.</w:t>
      </w:r>
      <w:r w:rsidRPr="00CB58FC">
        <w:rPr>
          <w:rFonts w:cs="Arial"/>
        </w:rPr>
        <w:t>e</w:t>
      </w:r>
      <w:r w:rsidR="00AB07D2" w:rsidRPr="00CB58FC">
        <w:rPr>
          <w:rFonts w:cs="Arial"/>
        </w:rPr>
        <w:t>.</w:t>
      </w:r>
      <w:r w:rsidRPr="00CB58FC">
        <w:rPr>
          <w:rFonts w:cs="Arial"/>
        </w:rPr>
        <w:t xml:space="preserve"> is there a legislative requirement to do this in order to be eligible at a later stage, or is there just general encouragement to register through advertising and other promotions?</w:t>
      </w:r>
    </w:p>
    <w:p w14:paraId="772B03B6" w14:textId="4D92D071" w:rsidR="003D6031" w:rsidRPr="00CB58FC" w:rsidRDefault="003D6031" w:rsidP="003D6031">
      <w:pPr>
        <w:pStyle w:val="ListParagraph"/>
        <w:numPr>
          <w:ilvl w:val="0"/>
          <w:numId w:val="5"/>
        </w:numPr>
        <w:rPr>
          <w:rFonts w:cs="Arial"/>
        </w:rPr>
      </w:pPr>
      <w:r w:rsidRPr="00CB58FC">
        <w:rPr>
          <w:rFonts w:cs="Arial"/>
        </w:rPr>
        <w:t>Do artists need to identify particular artworks that might be eligible for ARR in advance or to give advice as to the broad medium in which they work, e</w:t>
      </w:r>
      <w:r w:rsidR="00AB07D2" w:rsidRPr="00CB58FC">
        <w:rPr>
          <w:rFonts w:cs="Arial"/>
        </w:rPr>
        <w:t>.</w:t>
      </w:r>
      <w:r w:rsidRPr="00CB58FC">
        <w:rPr>
          <w:rFonts w:cs="Arial"/>
        </w:rPr>
        <w:t>g</w:t>
      </w:r>
      <w:r w:rsidR="00AB07D2" w:rsidRPr="00CB58FC">
        <w:rPr>
          <w:rFonts w:cs="Arial"/>
        </w:rPr>
        <w:t>.</w:t>
      </w:r>
      <w:r w:rsidRPr="00CB58FC">
        <w:rPr>
          <w:rFonts w:cs="Arial"/>
        </w:rPr>
        <w:t xml:space="preserve"> painting, sculpture, etc? Is such an advance notification desirable in any event, and how can it be kept up to date?</w:t>
      </w:r>
    </w:p>
    <w:p w14:paraId="483A597F" w14:textId="77777777" w:rsidR="003D6031" w:rsidRPr="00CB58FC" w:rsidRDefault="003D6031" w:rsidP="003D6031">
      <w:pPr>
        <w:pStyle w:val="ListParagraph"/>
        <w:numPr>
          <w:ilvl w:val="0"/>
          <w:numId w:val="5"/>
        </w:numPr>
        <w:rPr>
          <w:rFonts w:cs="Arial"/>
        </w:rPr>
      </w:pPr>
      <w:r w:rsidRPr="00CB58FC">
        <w:rPr>
          <w:rFonts w:cs="Arial"/>
        </w:rPr>
        <w:t>Does your CMO deploy such technologies as Interested Party Information (IPI) and International Standard Content Code (ISCC) that can be used to identify artists and art works? More generally, is automated image recognition (AIR) technology something that your CMO is using or is investigating?</w:t>
      </w:r>
    </w:p>
    <w:p w14:paraId="01884B10" w14:textId="22A03859" w:rsidR="003D6031" w:rsidRPr="00CB58FC" w:rsidRDefault="003D6031" w:rsidP="003D6031">
      <w:pPr>
        <w:pStyle w:val="ListParagraph"/>
        <w:numPr>
          <w:ilvl w:val="0"/>
          <w:numId w:val="5"/>
        </w:numPr>
        <w:rPr>
          <w:rFonts w:cs="Arial"/>
        </w:rPr>
      </w:pPr>
      <w:r w:rsidRPr="00CB58FC">
        <w:rPr>
          <w:rFonts w:cs="Arial"/>
        </w:rPr>
        <w:t xml:space="preserve">Are there issues that arise with respect to particular categories of sales over which there may be uncertainty or difficulties as to whether these will be eligible resales, </w:t>
      </w:r>
      <w:r w:rsidR="00AB07D2" w:rsidRPr="00CB58FC">
        <w:rPr>
          <w:rFonts w:cs="Arial"/>
        </w:rPr>
        <w:t>e.g.,</w:t>
      </w:r>
      <w:r w:rsidRPr="00CB58FC">
        <w:rPr>
          <w:rFonts w:cs="Arial"/>
        </w:rPr>
        <w:t xml:space="preserve"> where a seller is represented by two AMPs (</w:t>
      </w:r>
      <w:r w:rsidR="00AB07D2" w:rsidRPr="00CB58FC">
        <w:rPr>
          <w:rFonts w:cs="Arial"/>
        </w:rPr>
        <w:t>e.g.</w:t>
      </w:r>
      <w:r w:rsidRPr="00CB58FC">
        <w:rPr>
          <w:rFonts w:cs="Arial"/>
        </w:rPr>
        <w:t xml:space="preserve"> an auction house, art dealer</w:t>
      </w:r>
      <w:r w:rsidR="00AB07D2" w:rsidRPr="00CB58FC">
        <w:rPr>
          <w:rFonts w:cs="Arial"/>
        </w:rPr>
        <w:t>,</w:t>
      </w:r>
      <w:r w:rsidRPr="00CB58FC">
        <w:rPr>
          <w:rFonts w:cs="Arial"/>
        </w:rPr>
        <w:t xml:space="preserve"> or gallery) or where an AMP has paid the artist an advance against a future sale, returned </w:t>
      </w:r>
      <w:r w:rsidR="00AB07D2" w:rsidRPr="00CB58FC">
        <w:rPr>
          <w:rFonts w:cs="Arial"/>
        </w:rPr>
        <w:t>artworks</w:t>
      </w:r>
      <w:r w:rsidRPr="00CB58FC">
        <w:rPr>
          <w:rFonts w:cs="Arial"/>
        </w:rPr>
        <w:t>, or where the AMP buys the work (there may be other situations that arise here)?</w:t>
      </w:r>
    </w:p>
    <w:p w14:paraId="64B443D5" w14:textId="77777777" w:rsidR="003D6031" w:rsidRPr="00CB58FC" w:rsidRDefault="003D6031" w:rsidP="003D6031">
      <w:pPr>
        <w:pStyle w:val="ListParagraph"/>
        <w:numPr>
          <w:ilvl w:val="0"/>
          <w:numId w:val="5"/>
        </w:numPr>
        <w:rPr>
          <w:rFonts w:cs="Arial"/>
        </w:rPr>
      </w:pPr>
      <w:r w:rsidRPr="00CB58FC">
        <w:rPr>
          <w:rFonts w:cs="Arial"/>
        </w:rPr>
        <w:t>Does your CMO apply the ARR to successive resales of Non-fungible Tokens or NFTs? If this is the case, what is the role of smart contracts in the application of the ARR?</w:t>
      </w:r>
    </w:p>
    <w:p w14:paraId="729B23DC" w14:textId="77777777" w:rsidR="003D6031" w:rsidRPr="00CB58FC" w:rsidRDefault="003D6031" w:rsidP="003D6031">
      <w:pPr>
        <w:pStyle w:val="ListParagraph"/>
        <w:ind w:left="1851"/>
        <w:rPr>
          <w:rFonts w:cs="Arial"/>
        </w:rPr>
      </w:pPr>
      <w:r w:rsidRPr="00CB58FC">
        <w:rPr>
          <w:rFonts w:cs="Arial"/>
        </w:rPr>
        <w:t xml:space="preserve"> </w:t>
      </w:r>
    </w:p>
    <w:p w14:paraId="44BBA04A" w14:textId="77777777" w:rsidR="003D6031" w:rsidRPr="00CB58FC" w:rsidRDefault="003D6031" w:rsidP="003D6031">
      <w:pPr>
        <w:pStyle w:val="ListParagraph"/>
        <w:numPr>
          <w:ilvl w:val="0"/>
          <w:numId w:val="4"/>
        </w:numPr>
        <w:ind w:left="1080"/>
        <w:rPr>
          <w:rFonts w:cs="Arial"/>
        </w:rPr>
      </w:pPr>
      <w:r w:rsidRPr="00CB58FC">
        <w:rPr>
          <w:rFonts w:cs="Arial"/>
        </w:rPr>
        <w:t xml:space="preserve">How does your CMO obtain information about resales from sellers and AMPs? What are the obligations of sellers and AMPs to report eligible resales and how are these obligations enforced? Are there specific legislative or regulatory requirements relating to the information about qualifying resales that these parties must provide to the CMO, and the manner in which this information must be provided?   </w:t>
      </w:r>
    </w:p>
    <w:p w14:paraId="6D0109FA" w14:textId="77777777" w:rsidR="003D6031" w:rsidRPr="00CB58FC" w:rsidRDefault="003D6031" w:rsidP="003D6031">
      <w:pPr>
        <w:pStyle w:val="ListParagraph"/>
        <w:ind w:left="1080"/>
        <w:rPr>
          <w:rFonts w:cs="Arial"/>
        </w:rPr>
      </w:pPr>
    </w:p>
    <w:p w14:paraId="5BE8A684" w14:textId="77777777" w:rsidR="003D6031" w:rsidRPr="00CB58FC" w:rsidRDefault="003D6031" w:rsidP="003D6031">
      <w:pPr>
        <w:pStyle w:val="ListParagraph"/>
        <w:numPr>
          <w:ilvl w:val="0"/>
          <w:numId w:val="4"/>
        </w:numPr>
        <w:ind w:left="1080"/>
        <w:rPr>
          <w:rFonts w:cs="Arial"/>
        </w:rPr>
      </w:pPr>
      <w:r w:rsidRPr="00CB58FC">
        <w:rPr>
          <w:rFonts w:cs="Arial"/>
        </w:rPr>
        <w:t>What separate monitoring of resales is done by your CMO? Does it have power to interrogate sellers and AMPs where it appears there have been relevant resales, but no reporting has occurred? What further powers or capacities would be desirable in this regard?</w:t>
      </w:r>
    </w:p>
    <w:p w14:paraId="074908F9" w14:textId="77777777" w:rsidR="003D6031" w:rsidRPr="00CB58FC" w:rsidRDefault="003D6031" w:rsidP="003D6031">
      <w:pPr>
        <w:pStyle w:val="ListParagraph"/>
        <w:rPr>
          <w:rFonts w:cs="Arial"/>
        </w:rPr>
      </w:pPr>
    </w:p>
    <w:p w14:paraId="17E9E4F8" w14:textId="77777777" w:rsidR="003D6031" w:rsidRPr="00CB58FC" w:rsidRDefault="003D6031" w:rsidP="003D6031">
      <w:pPr>
        <w:pStyle w:val="ListParagraph"/>
        <w:numPr>
          <w:ilvl w:val="0"/>
          <w:numId w:val="4"/>
        </w:numPr>
        <w:ind w:left="1080"/>
        <w:rPr>
          <w:rFonts w:cs="Arial"/>
        </w:rPr>
      </w:pPr>
      <w:r w:rsidRPr="00CB58FC">
        <w:rPr>
          <w:rFonts w:cs="Arial"/>
        </w:rPr>
        <w:t>How does your CMO use IT to enhance its existing data collection, to track resales, to calculate royalties and to facilitate online sales reporting? Can artificial intelligence (AI) systems and blockchain technologies be deployed here? (the questions here may overlap with those already raised and answered under 8 above).</w:t>
      </w:r>
    </w:p>
    <w:p w14:paraId="0301AD87" w14:textId="77777777" w:rsidR="003D6031" w:rsidRPr="00CB58FC" w:rsidRDefault="003D6031" w:rsidP="003D6031">
      <w:pPr>
        <w:pStyle w:val="ListParagraph"/>
        <w:rPr>
          <w:rFonts w:cs="Arial"/>
        </w:rPr>
      </w:pPr>
    </w:p>
    <w:p w14:paraId="726AC6B1" w14:textId="77777777" w:rsidR="003D6031" w:rsidRPr="00CB58FC" w:rsidRDefault="003D6031" w:rsidP="003D6031">
      <w:pPr>
        <w:pStyle w:val="ListParagraph"/>
        <w:numPr>
          <w:ilvl w:val="0"/>
          <w:numId w:val="4"/>
        </w:numPr>
        <w:ind w:left="1080"/>
        <w:rPr>
          <w:rFonts w:cs="Arial"/>
        </w:rPr>
      </w:pPr>
      <w:r w:rsidRPr="00CB58FC">
        <w:rPr>
          <w:rFonts w:cs="Arial"/>
        </w:rPr>
        <w:t>What guidance does your CMO provide to artists, sellers and AMPs on ARR, eg through information guides, model contracts, legal assistance, etc?</w:t>
      </w:r>
    </w:p>
    <w:p w14:paraId="05556C6B" w14:textId="77777777" w:rsidR="003D6031" w:rsidRPr="00CB58FC" w:rsidRDefault="003D6031" w:rsidP="003D6031">
      <w:pPr>
        <w:pStyle w:val="ListParagraph"/>
        <w:rPr>
          <w:rFonts w:cs="Arial"/>
        </w:rPr>
      </w:pPr>
    </w:p>
    <w:p w14:paraId="392CEF82" w14:textId="77777777" w:rsidR="003D6031" w:rsidRPr="00CB58FC" w:rsidRDefault="003D6031" w:rsidP="003D6031">
      <w:pPr>
        <w:pStyle w:val="ListParagraph"/>
        <w:numPr>
          <w:ilvl w:val="0"/>
          <w:numId w:val="4"/>
        </w:numPr>
        <w:ind w:left="1080"/>
        <w:rPr>
          <w:rFonts w:cs="Arial"/>
        </w:rPr>
      </w:pPr>
      <w:r w:rsidRPr="00CB58FC">
        <w:rPr>
          <w:rFonts w:cs="Arial"/>
        </w:rPr>
        <w:t>How does your CMO determine the ARR due on reported resales and collect the payments that are due? Are there legislative powers that assist, or could assist, the CMO in this process? Can you comment on the present level of compliance that your CMO has encountered in this regard and what steps might be taken to improve this?</w:t>
      </w:r>
    </w:p>
    <w:p w14:paraId="0BED0F45" w14:textId="77777777" w:rsidR="003D6031" w:rsidRPr="00CB58FC" w:rsidRDefault="003D6031" w:rsidP="003D6031">
      <w:pPr>
        <w:pStyle w:val="ListParagraph"/>
        <w:rPr>
          <w:rFonts w:cs="Arial"/>
        </w:rPr>
      </w:pPr>
    </w:p>
    <w:p w14:paraId="206F70A8" w14:textId="77777777" w:rsidR="003D6031" w:rsidRPr="00CB58FC" w:rsidRDefault="003D6031" w:rsidP="003D6031">
      <w:pPr>
        <w:pStyle w:val="ListParagraph"/>
        <w:numPr>
          <w:ilvl w:val="0"/>
          <w:numId w:val="4"/>
        </w:numPr>
        <w:ind w:left="1080"/>
        <w:rPr>
          <w:rFonts w:cs="Arial"/>
        </w:rPr>
      </w:pPr>
      <w:r w:rsidRPr="00CB58FC">
        <w:rPr>
          <w:rFonts w:cs="Arial"/>
        </w:rPr>
        <w:t xml:space="preserve">Does your ARR scheme provide for minimum thresholds and/or caps on ARR payments that make administration of the scheme easier/more difficult? Are there administrative advantages in having a fixed percentage of resale price or are there other ways of fixing the amount of ARR that are fairer to members while not compromising efficiency?   </w:t>
      </w:r>
    </w:p>
    <w:p w14:paraId="6E41A569" w14:textId="77777777" w:rsidR="003D6031" w:rsidRPr="00CB58FC" w:rsidRDefault="003D6031" w:rsidP="003D6031">
      <w:pPr>
        <w:pStyle w:val="ListParagraph"/>
        <w:rPr>
          <w:rFonts w:cs="Arial"/>
        </w:rPr>
      </w:pPr>
    </w:p>
    <w:p w14:paraId="677398D0" w14:textId="77777777" w:rsidR="003D6031" w:rsidRPr="00CB58FC" w:rsidRDefault="003D6031" w:rsidP="003D6031">
      <w:pPr>
        <w:pStyle w:val="ListParagraph"/>
        <w:numPr>
          <w:ilvl w:val="0"/>
          <w:numId w:val="4"/>
        </w:numPr>
        <w:ind w:left="1080"/>
        <w:rPr>
          <w:rFonts w:cs="Arial"/>
        </w:rPr>
      </w:pPr>
      <w:r w:rsidRPr="00CB58FC">
        <w:rPr>
          <w:rFonts w:cs="Arial"/>
        </w:rPr>
        <w:t xml:space="preserve">How are payments of ARR made to artists and when? Does your CMO distribute to non-members as well? What percentage of CMO administrative costs need to be deducted before ARR is paid and is this regulated through legislation or the internal </w:t>
      </w:r>
      <w:r w:rsidRPr="00CB58FC">
        <w:rPr>
          <w:rFonts w:cs="Arial"/>
        </w:rPr>
        <w:lastRenderedPageBreak/>
        <w:t xml:space="preserve">rules of your CMO? Is any deduction made, or allowable, for general social, cultural or educational purposes relating to members, that is, for the support of visual artists? </w:t>
      </w:r>
    </w:p>
    <w:p w14:paraId="58BA6483" w14:textId="77777777" w:rsidR="003D6031" w:rsidRPr="00CB58FC" w:rsidRDefault="003D6031" w:rsidP="003D6031">
      <w:pPr>
        <w:pStyle w:val="ListParagraph"/>
        <w:rPr>
          <w:rFonts w:cs="Arial"/>
        </w:rPr>
      </w:pPr>
    </w:p>
    <w:p w14:paraId="01AEE696" w14:textId="77777777" w:rsidR="003D6031" w:rsidRPr="00CB58FC" w:rsidRDefault="003D6031" w:rsidP="003D6031">
      <w:pPr>
        <w:pStyle w:val="ListParagraph"/>
        <w:numPr>
          <w:ilvl w:val="0"/>
          <w:numId w:val="4"/>
        </w:numPr>
        <w:ind w:left="1080"/>
        <w:rPr>
          <w:rFonts w:cs="Arial"/>
        </w:rPr>
      </w:pPr>
      <w:r w:rsidRPr="00CB58FC">
        <w:rPr>
          <w:rFonts w:cs="Arial"/>
        </w:rPr>
        <w:t xml:space="preserve">What happens to unallocated or undistributed ARR payments held by your CMO at the end of an accounting period? Are they carried over into successive periods and, if so, for how long are they are retained? What ultimately happens to such funds? Is there/should there be provision for such amounts to be paid to some general cultural support fund for artists, scholarships and fellowships, or similar purposes, and how should such provision be made?  </w:t>
      </w:r>
    </w:p>
    <w:p w14:paraId="2DD0B8AC" w14:textId="77777777" w:rsidR="003D6031" w:rsidRPr="00CB58FC" w:rsidRDefault="003D6031" w:rsidP="003D6031">
      <w:pPr>
        <w:pStyle w:val="ListParagraph"/>
        <w:rPr>
          <w:rFonts w:cs="Arial"/>
        </w:rPr>
      </w:pPr>
    </w:p>
    <w:p w14:paraId="3B497075" w14:textId="77777777" w:rsidR="003D6031" w:rsidRPr="00CB58FC" w:rsidRDefault="003D6031" w:rsidP="003D6031">
      <w:pPr>
        <w:pStyle w:val="ListParagraph"/>
        <w:numPr>
          <w:ilvl w:val="0"/>
          <w:numId w:val="4"/>
        </w:numPr>
        <w:ind w:left="1080"/>
        <w:rPr>
          <w:rFonts w:cs="Arial"/>
        </w:rPr>
      </w:pPr>
      <w:r w:rsidRPr="00CB58FC">
        <w:rPr>
          <w:rFonts w:cs="Arial"/>
        </w:rPr>
        <w:t>Is the ARR subject to VAT (Value Added Tax) in your country? Are there any specific taxation issues in your jurisdiction that affect the operation of your ARR scheme?</w:t>
      </w:r>
    </w:p>
    <w:p w14:paraId="0B6C1E69" w14:textId="77777777" w:rsidR="003D6031" w:rsidRPr="00CB58FC" w:rsidRDefault="003D6031" w:rsidP="003D6031">
      <w:pPr>
        <w:pStyle w:val="ListParagraph"/>
        <w:rPr>
          <w:rFonts w:cs="Arial"/>
        </w:rPr>
      </w:pPr>
    </w:p>
    <w:p w14:paraId="4DD756D2" w14:textId="77777777" w:rsidR="003D6031" w:rsidRPr="00CB58FC" w:rsidRDefault="003D6031" w:rsidP="003D6031">
      <w:pPr>
        <w:pStyle w:val="ListParagraph"/>
        <w:numPr>
          <w:ilvl w:val="0"/>
          <w:numId w:val="4"/>
        </w:numPr>
        <w:ind w:left="1080"/>
        <w:rPr>
          <w:rFonts w:cs="Arial"/>
        </w:rPr>
      </w:pPr>
      <w:r w:rsidRPr="00CB58FC">
        <w:rPr>
          <w:rFonts w:cs="Arial"/>
        </w:rPr>
        <w:t>Do you have any specific rules or regulations for your CMO that are particular to, or needed for, the operation of an ARR scheme (apart from the copyright law or regulations on CMO)?</w:t>
      </w:r>
    </w:p>
    <w:p w14:paraId="592A845D" w14:textId="77777777" w:rsidR="003D6031" w:rsidRPr="00CB58FC" w:rsidRDefault="003D6031" w:rsidP="003D6031">
      <w:pPr>
        <w:pStyle w:val="ListParagraph"/>
        <w:rPr>
          <w:rFonts w:cs="Arial"/>
        </w:rPr>
      </w:pPr>
    </w:p>
    <w:p w14:paraId="4F24C7F7" w14:textId="77777777" w:rsidR="003D6031" w:rsidRPr="00CB58FC" w:rsidRDefault="003D6031" w:rsidP="003D6031">
      <w:pPr>
        <w:pStyle w:val="ListParagraph"/>
        <w:numPr>
          <w:ilvl w:val="0"/>
          <w:numId w:val="4"/>
        </w:numPr>
        <w:ind w:left="1080"/>
        <w:rPr>
          <w:rFonts w:cs="Arial"/>
        </w:rPr>
      </w:pPr>
      <w:r w:rsidRPr="00CB58FC">
        <w:rPr>
          <w:rFonts w:cs="Arial"/>
        </w:rPr>
        <w:t>Are there any particular issues that arise for your CMO in the case of Indigenous or First Nations artists?</w:t>
      </w:r>
    </w:p>
    <w:p w14:paraId="511822F3" w14:textId="77777777" w:rsidR="003D6031" w:rsidRPr="00CB58FC" w:rsidRDefault="003D6031" w:rsidP="003D6031">
      <w:pPr>
        <w:pStyle w:val="ListParagraph"/>
        <w:ind w:left="720"/>
        <w:jc w:val="left"/>
        <w:rPr>
          <w:rFonts w:cs="Arial"/>
        </w:rPr>
      </w:pPr>
    </w:p>
    <w:p w14:paraId="2601A46A" w14:textId="77777777" w:rsidR="003D6031" w:rsidRPr="00CB58FC" w:rsidRDefault="003D6031" w:rsidP="003D6031">
      <w:pPr>
        <w:pStyle w:val="ListParagraph"/>
        <w:numPr>
          <w:ilvl w:val="0"/>
          <w:numId w:val="4"/>
        </w:numPr>
        <w:ind w:left="1080"/>
        <w:rPr>
          <w:rFonts w:cs="Arial"/>
        </w:rPr>
      </w:pPr>
      <w:r w:rsidRPr="00CB58FC">
        <w:rPr>
          <w:rFonts w:cs="Arial"/>
        </w:rPr>
        <w:t xml:space="preserve"> Do you have any other general comments with respect to the operations of a CMO in collecting and distributing ARR payments?</w:t>
      </w:r>
    </w:p>
    <w:p w14:paraId="280D2BB5" w14:textId="77777777" w:rsidR="003D6031" w:rsidRPr="00CB58FC" w:rsidRDefault="003D6031" w:rsidP="003D6031">
      <w:pPr>
        <w:pStyle w:val="ListParagraph"/>
        <w:ind w:left="720"/>
        <w:jc w:val="left"/>
        <w:rPr>
          <w:rFonts w:cs="Arial"/>
        </w:rPr>
      </w:pPr>
    </w:p>
    <w:p w14:paraId="1C52973F" w14:textId="77777777" w:rsidR="003D6031" w:rsidRPr="00CB58FC" w:rsidRDefault="003D6031" w:rsidP="003D6031">
      <w:r w:rsidRPr="00CB58FC">
        <w:br w:type="page"/>
      </w:r>
    </w:p>
    <w:p w14:paraId="27811338" w14:textId="77777777" w:rsidR="003D6031" w:rsidRPr="00CB58FC" w:rsidRDefault="003D6031" w:rsidP="003D6031">
      <w:pPr>
        <w:pStyle w:val="Heading1"/>
      </w:pPr>
      <w:r w:rsidRPr="00CB58FC">
        <w:lastRenderedPageBreak/>
        <w:t xml:space="preserve">APPENDIX 2  </w:t>
      </w:r>
    </w:p>
    <w:p w14:paraId="1DCB2230" w14:textId="77777777" w:rsidR="003D6031" w:rsidRPr="00CB58FC" w:rsidRDefault="003D6031" w:rsidP="003D6031"/>
    <w:p w14:paraId="14EB52EC" w14:textId="77777777" w:rsidR="003D6031" w:rsidRPr="00CB58FC" w:rsidRDefault="003D6031" w:rsidP="003D6031">
      <w:pPr>
        <w:pStyle w:val="Heading2"/>
        <w:rPr>
          <w:b/>
          <w:bCs w:val="0"/>
          <w:szCs w:val="22"/>
        </w:rPr>
      </w:pPr>
      <w:r w:rsidRPr="00CB58FC">
        <w:rPr>
          <w:b/>
          <w:bCs w:val="0"/>
          <w:szCs w:val="22"/>
        </w:rPr>
        <w:t>QUESTIONS FOR CMOS THAT DO NOT YET ADMINISTER ARR:</w:t>
      </w:r>
    </w:p>
    <w:p w14:paraId="22D8E627" w14:textId="77777777" w:rsidR="003D6031" w:rsidRPr="00CB58FC" w:rsidRDefault="003D6031" w:rsidP="003D6031"/>
    <w:p w14:paraId="76022568"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As a preliminary question, does your national law make provision for artist resale royalty (ARR) or droit de suite? Can you please provide details of the law. </w:t>
      </w:r>
    </w:p>
    <w:p w14:paraId="4B61EC4F" w14:textId="77777777" w:rsidR="003D6031" w:rsidRPr="00CB58FC" w:rsidRDefault="003D6031" w:rsidP="003D6031">
      <w:pPr>
        <w:pStyle w:val="ListParagraph"/>
        <w:rPr>
          <w:rFonts w:eastAsia="Times New Roman" w:cs="Arial"/>
          <w:sz w:val="20"/>
          <w:szCs w:val="20"/>
          <w:lang w:val="en-US" w:eastAsia="en-GB"/>
        </w:rPr>
      </w:pPr>
    </w:p>
    <w:p w14:paraId="06B37156"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If your national law recognizes ARR, is this administered by your CMO?  </w:t>
      </w:r>
    </w:p>
    <w:p w14:paraId="2D0FB387" w14:textId="77777777" w:rsidR="003D6031" w:rsidRPr="00CB58FC" w:rsidRDefault="003D6031" w:rsidP="003D6031">
      <w:pPr>
        <w:pStyle w:val="ListParagraph"/>
        <w:rPr>
          <w:rFonts w:eastAsia="Times New Roman" w:cs="Arial"/>
          <w:sz w:val="20"/>
          <w:szCs w:val="20"/>
          <w:lang w:val="en-US" w:eastAsia="en-GB"/>
        </w:rPr>
      </w:pPr>
    </w:p>
    <w:p w14:paraId="4E67203A"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If your CMO does not presently administer ARR, does your CMO have the power or mandate to do so, for example, under your national law or the existing rules of your association?</w:t>
      </w:r>
    </w:p>
    <w:p w14:paraId="654C3745" w14:textId="77777777" w:rsidR="003D6031" w:rsidRPr="00CB58FC" w:rsidRDefault="003D6031" w:rsidP="003D6031">
      <w:pPr>
        <w:pStyle w:val="ListParagraph"/>
        <w:rPr>
          <w:rFonts w:eastAsia="Times New Roman" w:cs="Arial"/>
          <w:sz w:val="20"/>
          <w:szCs w:val="20"/>
          <w:lang w:val="en-US" w:eastAsia="en-GB"/>
        </w:rPr>
      </w:pPr>
      <w:r w:rsidRPr="00CB58FC">
        <w:rPr>
          <w:rFonts w:eastAsia="Times New Roman" w:cs="Arial"/>
          <w:sz w:val="20"/>
          <w:szCs w:val="20"/>
          <w:lang w:val="en-US" w:eastAsia="en-GB"/>
        </w:rPr>
        <w:t xml:space="preserve"> </w:t>
      </w:r>
    </w:p>
    <w:p w14:paraId="37F148FA"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If your CMO does not have the necessary power or mandate, what changes in your law or internal rules would be required to obtain the necessary power or mandate?</w:t>
      </w:r>
    </w:p>
    <w:p w14:paraId="3E8982C6" w14:textId="77777777" w:rsidR="003D6031" w:rsidRPr="00CB58FC" w:rsidRDefault="003D6031" w:rsidP="003D6031">
      <w:pPr>
        <w:pStyle w:val="ListParagraph"/>
        <w:rPr>
          <w:rFonts w:eastAsia="Times New Roman" w:cs="Arial"/>
          <w:sz w:val="20"/>
          <w:szCs w:val="20"/>
          <w:lang w:val="en-US" w:eastAsia="en-GB"/>
        </w:rPr>
      </w:pPr>
    </w:p>
    <w:p w14:paraId="3C6ACB9C"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From a practical perspective, what are the problems that your CMO faces in implementing an ARR scheme in your country? Some of these might be external, such as the state of your art market, reluctance to participate on the part of art market professionals (galleries, agents, auction houses, etc), or lack of awareness and/or interest among right holders (visual artists). Others might be issues internal to your CMO, such as problems of staffing and IT infrastructure, lack of clarity in your CMO’s legal powers (see 1 and 2 above), and so on. </w:t>
      </w:r>
    </w:p>
    <w:p w14:paraId="6811E5CD" w14:textId="77777777" w:rsidR="003D6031" w:rsidRPr="00CB58FC" w:rsidRDefault="003D6031" w:rsidP="003D6031">
      <w:pPr>
        <w:pStyle w:val="ListParagraph"/>
        <w:rPr>
          <w:rFonts w:eastAsia="Times New Roman" w:cs="Arial"/>
          <w:sz w:val="20"/>
          <w:szCs w:val="20"/>
          <w:lang w:val="en-US" w:eastAsia="en-GB"/>
        </w:rPr>
      </w:pPr>
    </w:p>
    <w:p w14:paraId="11A9EA47" w14:textId="77777777" w:rsidR="003D6031" w:rsidRPr="00CB58FC" w:rsidRDefault="003D6031" w:rsidP="003D6031">
      <w:pPr>
        <w:pStyle w:val="ListParagraph"/>
        <w:ind w:left="720"/>
        <w:rPr>
          <w:rFonts w:eastAsia="Times New Roman" w:cs="Arial"/>
          <w:sz w:val="20"/>
          <w:szCs w:val="20"/>
          <w:lang w:val="en-US" w:eastAsia="en-GB"/>
        </w:rPr>
      </w:pPr>
      <w:r w:rsidRPr="00CB58FC">
        <w:rPr>
          <w:rFonts w:eastAsia="Times New Roman" w:cs="Arial"/>
          <w:sz w:val="20"/>
          <w:szCs w:val="20"/>
          <w:lang w:val="en-US" w:eastAsia="en-GB"/>
        </w:rPr>
        <w:t xml:space="preserve">Your comments on your experiences in relation to the matters raised here would be very helpful.   </w:t>
      </w:r>
    </w:p>
    <w:p w14:paraId="3E8D627C" w14:textId="77777777" w:rsidR="003D6031" w:rsidRPr="00CB58FC" w:rsidRDefault="003D6031" w:rsidP="003D6031">
      <w:pPr>
        <w:pStyle w:val="ListParagraph"/>
        <w:rPr>
          <w:rFonts w:eastAsia="Times New Roman" w:cs="Arial"/>
          <w:sz w:val="20"/>
          <w:szCs w:val="20"/>
          <w:lang w:val="en-US" w:eastAsia="en-GB"/>
        </w:rPr>
      </w:pPr>
    </w:p>
    <w:p w14:paraId="51080DD5"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Does your CMO intend to address these issues? And, if so, how?</w:t>
      </w:r>
    </w:p>
    <w:p w14:paraId="3D07759A" w14:textId="77777777" w:rsidR="003D6031" w:rsidRPr="00CB58FC" w:rsidRDefault="003D6031" w:rsidP="003D6031">
      <w:pPr>
        <w:pStyle w:val="ListParagraph"/>
        <w:rPr>
          <w:rFonts w:eastAsia="Times New Roman" w:cs="Arial"/>
          <w:sz w:val="20"/>
          <w:szCs w:val="20"/>
          <w:lang w:val="en-US" w:eastAsia="en-GB"/>
        </w:rPr>
      </w:pPr>
    </w:p>
    <w:p w14:paraId="62376AE3"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 xml:space="preserve">Does your CMO have links or relationships with CMOs administering ARR in in other countries? Could such links or relationships be of assistance in addressing effective implementation of ARR within your own country? </w:t>
      </w:r>
    </w:p>
    <w:p w14:paraId="030C6D6C" w14:textId="77777777" w:rsidR="003D6031" w:rsidRPr="00CB58FC" w:rsidRDefault="003D6031" w:rsidP="003D6031">
      <w:pPr>
        <w:pStyle w:val="ListParagraph"/>
        <w:rPr>
          <w:rFonts w:eastAsia="Times New Roman" w:cs="Arial"/>
          <w:sz w:val="20"/>
          <w:szCs w:val="20"/>
          <w:lang w:val="en-US" w:eastAsia="en-GB"/>
        </w:rPr>
      </w:pPr>
    </w:p>
    <w:p w14:paraId="0ECE6B61"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Does your CMO have links with other international organizations, governmental or non-governmental, that could likewise be of assistance in relation to the implementation of an ARR scheme in your country?</w:t>
      </w:r>
    </w:p>
    <w:p w14:paraId="1FFA22FD" w14:textId="77777777" w:rsidR="003D6031" w:rsidRPr="00CB58FC" w:rsidRDefault="003D6031" w:rsidP="003D6031">
      <w:pPr>
        <w:pStyle w:val="ListParagraph"/>
        <w:rPr>
          <w:rFonts w:eastAsia="Times New Roman" w:cs="Arial"/>
          <w:sz w:val="20"/>
          <w:szCs w:val="20"/>
          <w:lang w:val="en-US" w:eastAsia="en-GB"/>
        </w:rPr>
      </w:pPr>
    </w:p>
    <w:p w14:paraId="5A1CF79C"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How might WIPO be of assistance to you?</w:t>
      </w:r>
    </w:p>
    <w:p w14:paraId="24540240" w14:textId="77777777" w:rsidR="003D6031" w:rsidRPr="00CB58FC" w:rsidRDefault="003D6031" w:rsidP="003D6031">
      <w:pPr>
        <w:pStyle w:val="ListParagraph"/>
        <w:spacing w:line="259" w:lineRule="auto"/>
        <w:ind w:left="720"/>
        <w:jc w:val="left"/>
        <w:rPr>
          <w:rFonts w:eastAsia="Times New Roman" w:cs="Arial"/>
          <w:sz w:val="20"/>
          <w:szCs w:val="20"/>
          <w:lang w:val="en-US" w:eastAsia="en-GB"/>
        </w:rPr>
      </w:pPr>
    </w:p>
    <w:p w14:paraId="45E71E47" w14:textId="77777777" w:rsidR="003D6031" w:rsidRPr="00CB58FC" w:rsidRDefault="003D6031" w:rsidP="003D6031">
      <w:pPr>
        <w:pStyle w:val="ListParagraph"/>
        <w:numPr>
          <w:ilvl w:val="0"/>
          <w:numId w:val="15"/>
        </w:numPr>
        <w:spacing w:after="0"/>
        <w:rPr>
          <w:rFonts w:eastAsia="Times New Roman" w:cs="Arial"/>
          <w:sz w:val="20"/>
          <w:szCs w:val="20"/>
          <w:lang w:val="en-US" w:eastAsia="en-GB"/>
        </w:rPr>
      </w:pPr>
      <w:r w:rsidRPr="00CB58FC">
        <w:rPr>
          <w:rFonts w:eastAsia="Times New Roman" w:cs="Arial"/>
          <w:sz w:val="20"/>
          <w:szCs w:val="20"/>
          <w:lang w:val="en-US" w:eastAsia="en-GB"/>
        </w:rPr>
        <w:t>Do you have any general comments or observations about the implementation of ARR in your country?</w:t>
      </w:r>
    </w:p>
    <w:p w14:paraId="4E815924" w14:textId="77777777" w:rsidR="003D6031" w:rsidRPr="00CB58FC" w:rsidRDefault="003D6031" w:rsidP="003D6031">
      <w:pPr>
        <w:pStyle w:val="ListParagraph"/>
        <w:rPr>
          <w:rFonts w:eastAsia="Times New Roman" w:cs="Arial"/>
          <w:sz w:val="20"/>
          <w:szCs w:val="20"/>
          <w:lang w:val="en-US" w:eastAsia="en-GB"/>
        </w:rPr>
      </w:pPr>
    </w:p>
    <w:p w14:paraId="5345A1A1" w14:textId="77777777" w:rsidR="003D6031" w:rsidRPr="00CB58FC" w:rsidRDefault="003D6031" w:rsidP="003D6031">
      <w:r w:rsidRPr="00CB58FC">
        <w:br w:type="page"/>
      </w:r>
    </w:p>
    <w:p w14:paraId="5D54E160" w14:textId="72765B41" w:rsidR="003D6031" w:rsidRPr="00CB58FC" w:rsidRDefault="003D6031" w:rsidP="003D6031">
      <w:pPr>
        <w:pStyle w:val="Heading1"/>
      </w:pPr>
      <w:r w:rsidRPr="00CB58FC">
        <w:lastRenderedPageBreak/>
        <w:t>APPENDIX 3</w:t>
      </w:r>
    </w:p>
    <w:p w14:paraId="527F9314" w14:textId="07217CD0" w:rsidR="003D6031" w:rsidRPr="00CB58FC" w:rsidRDefault="003D6031" w:rsidP="003D6031">
      <w:pPr>
        <w:pStyle w:val="Heading2"/>
        <w:rPr>
          <w:b/>
          <w:bCs w:val="0"/>
          <w:szCs w:val="22"/>
        </w:rPr>
      </w:pPr>
      <w:bookmarkStart w:id="12" w:name="_Hlk163116909"/>
      <w:r w:rsidRPr="00CB58FC">
        <w:rPr>
          <w:b/>
          <w:bCs w:val="0"/>
          <w:szCs w:val="22"/>
        </w:rPr>
        <w:t xml:space="preserve">LIST OF CMOS AND OTHER ORGANIZATIONS CONSULTED </w:t>
      </w:r>
      <w:r w:rsidR="00CA13A3" w:rsidRPr="00CB58FC">
        <w:rPr>
          <w:b/>
          <w:bCs w:val="0"/>
          <w:szCs w:val="22"/>
        </w:rPr>
        <w:t xml:space="preserve">or contacted </w:t>
      </w:r>
      <w:r w:rsidRPr="00CB58FC">
        <w:rPr>
          <w:b/>
          <w:bCs w:val="0"/>
          <w:szCs w:val="22"/>
        </w:rPr>
        <w:t>DURING PREPARATION OF THIS REPORT</w:t>
      </w:r>
    </w:p>
    <w:p w14:paraId="033A4D72" w14:textId="77777777" w:rsidR="003D6031" w:rsidRPr="00CB58FC" w:rsidRDefault="003D6031" w:rsidP="003D6031">
      <w:pPr>
        <w:pStyle w:val="Heading3"/>
        <w:rPr>
          <w:b/>
          <w:bCs w:val="0"/>
          <w:szCs w:val="22"/>
        </w:rPr>
      </w:pPr>
      <w:r w:rsidRPr="00CB58FC">
        <w:rPr>
          <w:b/>
          <w:bCs w:val="0"/>
          <w:szCs w:val="22"/>
        </w:rPr>
        <w:t>NATIONAL:</w:t>
      </w:r>
    </w:p>
    <w:p w14:paraId="6EB9C675" w14:textId="77777777" w:rsidR="003D6031" w:rsidRPr="00CB58FC" w:rsidRDefault="003D6031" w:rsidP="003D6031"/>
    <w:p w14:paraId="50FE4202" w14:textId="7000D4B5" w:rsidR="00EC3C73" w:rsidRPr="00CB58FC" w:rsidRDefault="00EC3C73" w:rsidP="003D6031">
      <w:pPr>
        <w:rPr>
          <w:rFonts w:eastAsia="Times New Roman"/>
          <w:b/>
          <w:bCs/>
          <w:i/>
          <w:iCs/>
          <w:lang w:eastAsia="en-GB"/>
        </w:rPr>
      </w:pPr>
      <w:r w:rsidRPr="00CB58FC">
        <w:rPr>
          <w:rFonts w:eastAsia="Times New Roman"/>
          <w:b/>
          <w:bCs/>
          <w:i/>
          <w:iCs/>
          <w:lang w:eastAsia="en-GB"/>
        </w:rPr>
        <w:t xml:space="preserve">CMOs responding to questionnaires or communications with </w:t>
      </w:r>
      <w:r w:rsidR="00CF4B99" w:rsidRPr="00CB58FC">
        <w:rPr>
          <w:rFonts w:eastAsia="Times New Roman"/>
          <w:b/>
          <w:bCs/>
          <w:i/>
          <w:iCs/>
          <w:lang w:eastAsia="en-GB"/>
        </w:rPr>
        <w:t xml:space="preserve">the </w:t>
      </w:r>
      <w:r w:rsidRPr="00CB58FC">
        <w:rPr>
          <w:rFonts w:eastAsia="Times New Roman"/>
          <w:b/>
          <w:bCs/>
          <w:i/>
          <w:iCs/>
          <w:lang w:eastAsia="en-GB"/>
        </w:rPr>
        <w:t xml:space="preserve">author of </w:t>
      </w:r>
      <w:r w:rsidR="00CF4B99" w:rsidRPr="00CB58FC">
        <w:rPr>
          <w:rFonts w:eastAsia="Times New Roman"/>
          <w:b/>
          <w:bCs/>
          <w:i/>
          <w:iCs/>
          <w:lang w:eastAsia="en-GB"/>
        </w:rPr>
        <w:t xml:space="preserve">the </w:t>
      </w:r>
      <w:r w:rsidRPr="00CB58FC">
        <w:rPr>
          <w:rFonts w:eastAsia="Times New Roman"/>
          <w:b/>
          <w:bCs/>
          <w:i/>
          <w:iCs/>
          <w:lang w:eastAsia="en-GB"/>
        </w:rPr>
        <w:t>report</w:t>
      </w:r>
    </w:p>
    <w:p w14:paraId="7677F1DA" w14:textId="77777777" w:rsidR="00EC3C73" w:rsidRPr="00CB58FC" w:rsidRDefault="00EC3C73" w:rsidP="003D6031">
      <w:pPr>
        <w:rPr>
          <w:rFonts w:eastAsia="Times New Roman"/>
          <w:lang w:eastAsia="en-GB"/>
        </w:rPr>
      </w:pPr>
    </w:p>
    <w:p w14:paraId="67FF719C" w14:textId="419C2CFF" w:rsidR="003D6031" w:rsidRPr="00CB58FC" w:rsidRDefault="003D6031" w:rsidP="0015390C">
      <w:pPr>
        <w:spacing w:before="120" w:after="120"/>
        <w:rPr>
          <w:rFonts w:eastAsia="Times New Roman"/>
          <w:lang w:val="fr-CH" w:eastAsia="en-GB"/>
        </w:rPr>
      </w:pPr>
      <w:r w:rsidRPr="00CB58FC">
        <w:rPr>
          <w:rFonts w:eastAsia="Times New Roman"/>
          <w:lang w:val="fr-CH" w:eastAsia="en-GB"/>
        </w:rPr>
        <w:t>Algeria – ONDA (</w:t>
      </w:r>
      <w:r w:rsidRPr="00CB58FC">
        <w:rPr>
          <w:shd w:val="clear" w:color="auto" w:fill="FFFFFF"/>
          <w:lang w:val="fr-CH"/>
        </w:rPr>
        <w:t>Office National des Droits d'Auteur et droits voisins)</w:t>
      </w:r>
      <w:r w:rsidR="007C6C71" w:rsidRPr="00CB58FC">
        <w:rPr>
          <w:shd w:val="clear" w:color="auto" w:fill="FFFFFF"/>
          <w:lang w:val="fr-CH"/>
        </w:rPr>
        <w:t xml:space="preserve">: </w:t>
      </w:r>
      <w:hyperlink r:id="rId18" w:history="1">
        <w:r w:rsidR="007C6C71" w:rsidRPr="00CB58FC">
          <w:rPr>
            <w:rStyle w:val="Hyperlink"/>
            <w:shd w:val="clear" w:color="auto" w:fill="FFFFFF"/>
            <w:lang w:val="fr-CH"/>
          </w:rPr>
          <w:t>https://www.m-culture.gov.dz/index.php/fr/arts-vivants-et-spectacles/etablissements-sous-tutelletablissements-sous-tutelle/onda</w:t>
        </w:r>
      </w:hyperlink>
      <w:r w:rsidR="007C6C71" w:rsidRPr="00CB58FC">
        <w:rPr>
          <w:shd w:val="clear" w:color="auto" w:fill="FFFFFF"/>
          <w:lang w:val="fr-CH"/>
        </w:rPr>
        <w:t xml:space="preserve">  </w:t>
      </w:r>
    </w:p>
    <w:p w14:paraId="4DB66F39" w14:textId="34436036"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Australia – CA (Copyright Agency): </w:t>
      </w:r>
      <w:hyperlink r:id="rId19" w:history="1">
        <w:r w:rsidRPr="00CB58FC">
          <w:rPr>
            <w:rStyle w:val="Hyperlink"/>
            <w:rFonts w:eastAsia="Times New Roman"/>
            <w:color w:val="auto"/>
            <w:lang w:val="en-AU" w:eastAsia="en-GB"/>
          </w:rPr>
          <w:t>https://www.copyright.com.au/</w:t>
        </w:r>
      </w:hyperlink>
      <w:r w:rsidRPr="00CB58FC">
        <w:rPr>
          <w:rFonts w:eastAsia="Times New Roman"/>
          <w:lang w:val="en-AU" w:eastAsia="en-GB"/>
        </w:rPr>
        <w:t xml:space="preserve"> </w:t>
      </w:r>
    </w:p>
    <w:p w14:paraId="6AD5B9B7" w14:textId="714109F6" w:rsidR="003D6031" w:rsidRPr="00A5081E" w:rsidRDefault="003D6031" w:rsidP="0015390C">
      <w:pPr>
        <w:spacing w:before="120" w:after="120"/>
        <w:rPr>
          <w:rFonts w:eastAsia="Times New Roman"/>
          <w:lang w:val="de-DE" w:eastAsia="en-GB"/>
        </w:rPr>
      </w:pPr>
      <w:r w:rsidRPr="00A5081E">
        <w:rPr>
          <w:rFonts w:eastAsia="Times New Roman"/>
          <w:lang w:val="de-DE" w:eastAsia="en-GB"/>
        </w:rPr>
        <w:t xml:space="preserve">Austria – Bildrecht: </w:t>
      </w:r>
      <w:hyperlink r:id="rId20" w:history="1">
        <w:r w:rsidRPr="00A5081E">
          <w:rPr>
            <w:rStyle w:val="Hyperlink"/>
            <w:rFonts w:eastAsia="Times New Roman"/>
            <w:color w:val="auto"/>
            <w:lang w:val="de-DE" w:eastAsia="en-GB"/>
          </w:rPr>
          <w:t>https://www.bildrecht.at/</w:t>
        </w:r>
      </w:hyperlink>
      <w:r w:rsidRPr="00A5081E">
        <w:rPr>
          <w:rFonts w:eastAsia="Times New Roman"/>
          <w:lang w:val="de-DE" w:eastAsia="en-GB"/>
        </w:rPr>
        <w:t xml:space="preserve">  </w:t>
      </w:r>
    </w:p>
    <w:p w14:paraId="2442A3C8" w14:textId="09197458" w:rsidR="003D6031" w:rsidRPr="00CB58FC" w:rsidRDefault="003D6031" w:rsidP="0015390C">
      <w:pPr>
        <w:spacing w:before="120" w:after="120"/>
        <w:rPr>
          <w:rFonts w:eastAsia="Times New Roman"/>
          <w:lang w:val="en-AU" w:eastAsia="en-GB"/>
        </w:rPr>
      </w:pPr>
      <w:r w:rsidRPr="00CB58FC">
        <w:rPr>
          <w:rFonts w:eastAsia="Times New Roman"/>
          <w:lang w:val="en-AU" w:eastAsia="en-GB"/>
        </w:rPr>
        <w:t>Be</w:t>
      </w:r>
      <w:r w:rsidR="00CF4B99" w:rsidRPr="00CB58FC">
        <w:rPr>
          <w:rFonts w:eastAsia="Times New Roman"/>
          <w:lang w:val="en-AU" w:eastAsia="en-GB"/>
        </w:rPr>
        <w:t>l</w:t>
      </w:r>
      <w:r w:rsidRPr="00CB58FC">
        <w:rPr>
          <w:rFonts w:eastAsia="Times New Roman"/>
          <w:lang w:val="en-AU" w:eastAsia="en-GB"/>
        </w:rPr>
        <w:t xml:space="preserve">gium – SOFAM: </w:t>
      </w:r>
      <w:hyperlink r:id="rId21" w:history="1">
        <w:r w:rsidRPr="00CB58FC">
          <w:rPr>
            <w:rStyle w:val="Hyperlink"/>
            <w:rFonts w:eastAsia="Times New Roman"/>
            <w:color w:val="auto"/>
            <w:lang w:val="en-AU" w:eastAsia="en-GB"/>
          </w:rPr>
          <w:t>https://www.sofam.be/nl/</w:t>
        </w:r>
      </w:hyperlink>
      <w:r w:rsidRPr="00CB58FC">
        <w:rPr>
          <w:rFonts w:eastAsia="Times New Roman"/>
          <w:lang w:val="en-AU" w:eastAsia="en-GB"/>
        </w:rPr>
        <w:t xml:space="preserve">  </w:t>
      </w:r>
    </w:p>
    <w:p w14:paraId="2B9204B4" w14:textId="48B77C7D"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Botswana – COSBOTS (Copyright Society of Botswana): </w:t>
      </w:r>
      <w:hyperlink r:id="rId22" w:history="1">
        <w:r w:rsidRPr="00CB58FC">
          <w:rPr>
            <w:rStyle w:val="Hyperlink"/>
            <w:rFonts w:eastAsia="Times New Roman"/>
            <w:color w:val="auto"/>
            <w:lang w:val="en-AU" w:eastAsia="en-GB"/>
          </w:rPr>
          <w:t>https://cosbots.com/</w:t>
        </w:r>
      </w:hyperlink>
      <w:r w:rsidRPr="00CB58FC">
        <w:rPr>
          <w:rFonts w:eastAsia="Times New Roman"/>
          <w:lang w:val="en-AU" w:eastAsia="en-GB"/>
        </w:rPr>
        <w:t xml:space="preserve">  </w:t>
      </w:r>
    </w:p>
    <w:p w14:paraId="1BCB2717" w14:textId="3891C2B1" w:rsidR="003D6031" w:rsidRPr="00AE5EBA" w:rsidRDefault="003D6031" w:rsidP="0015390C">
      <w:pPr>
        <w:spacing w:before="120" w:after="120"/>
        <w:rPr>
          <w:rFonts w:eastAsia="Times New Roman"/>
          <w:lang w:val="pt-PT" w:eastAsia="en-GB"/>
        </w:rPr>
      </w:pPr>
      <w:r w:rsidRPr="00AE5EBA">
        <w:rPr>
          <w:rFonts w:eastAsia="Times New Roman"/>
          <w:lang w:val="pt-PT" w:eastAsia="en-GB"/>
        </w:rPr>
        <w:t>Brazil – AUTVIS (Associação Brasileira dos Direitos de Autores Visuais):</w:t>
      </w:r>
      <w:r w:rsidRPr="00AE5EBA">
        <w:rPr>
          <w:rStyle w:val="Strong"/>
          <w:bdr w:val="none" w:sz="0" w:space="0" w:color="auto" w:frame="1"/>
          <w:lang w:val="pt-PT"/>
        </w:rPr>
        <w:t xml:space="preserve"> </w:t>
      </w:r>
      <w:hyperlink r:id="rId23" w:history="1">
        <w:r w:rsidRPr="00AE5EBA">
          <w:rPr>
            <w:rStyle w:val="Hyperlink"/>
            <w:color w:val="auto"/>
            <w:bdr w:val="none" w:sz="0" w:space="0" w:color="auto" w:frame="1"/>
            <w:lang w:val="pt-PT"/>
          </w:rPr>
          <w:t>https://autvis.org.br</w:t>
        </w:r>
      </w:hyperlink>
      <w:r w:rsidRPr="00AE5EBA">
        <w:rPr>
          <w:rStyle w:val="Strong"/>
          <w:bdr w:val="none" w:sz="0" w:space="0" w:color="auto" w:frame="1"/>
          <w:lang w:val="pt-PT"/>
        </w:rPr>
        <w:t xml:space="preserve"> </w:t>
      </w:r>
    </w:p>
    <w:p w14:paraId="3C0B961B" w14:textId="114936EC" w:rsidR="003D6031" w:rsidRPr="00AE5EBA" w:rsidRDefault="003D6031" w:rsidP="0015390C">
      <w:pPr>
        <w:spacing w:before="120" w:after="120"/>
        <w:rPr>
          <w:rFonts w:eastAsia="Times New Roman"/>
          <w:lang w:val="en-AU" w:eastAsia="en-GB"/>
        </w:rPr>
      </w:pPr>
      <w:r w:rsidRPr="00AE5EBA">
        <w:rPr>
          <w:rFonts w:eastAsia="Times New Roman"/>
          <w:lang w:val="en-AU" w:eastAsia="en-GB"/>
        </w:rPr>
        <w:t xml:space="preserve">Canada – CARFARC (Canadian Artists’ Federation/Le Front des Artistes Canadiens: </w:t>
      </w:r>
      <w:r w:rsidR="007C6C71" w:rsidRPr="00AE5EBA">
        <w:rPr>
          <w:rFonts w:eastAsia="Times New Roman"/>
          <w:lang w:val="en-AU" w:eastAsia="en-GB"/>
        </w:rPr>
        <w:t xml:space="preserve"> </w:t>
      </w:r>
      <w:hyperlink r:id="rId24" w:history="1">
        <w:r w:rsidR="007C6C71" w:rsidRPr="00AE5EBA">
          <w:rPr>
            <w:rStyle w:val="Hyperlink"/>
            <w:rFonts w:eastAsia="Times New Roman"/>
            <w:lang w:val="en-AU" w:eastAsia="en-GB"/>
          </w:rPr>
          <w:t>https://www.carfac.ca</w:t>
        </w:r>
      </w:hyperlink>
      <w:r w:rsidR="007C6C71" w:rsidRPr="00AE5EBA">
        <w:rPr>
          <w:rFonts w:eastAsia="Times New Roman"/>
          <w:lang w:val="en-AU" w:eastAsia="en-GB"/>
        </w:rPr>
        <w:t xml:space="preserve">  </w:t>
      </w:r>
      <w:r w:rsidRPr="00AE5EBA">
        <w:rPr>
          <w:rFonts w:eastAsia="Times New Roman"/>
          <w:lang w:val="en-AU" w:eastAsia="en-GB"/>
        </w:rPr>
        <w:t xml:space="preserve">  </w:t>
      </w:r>
    </w:p>
    <w:p w14:paraId="238A50C5" w14:textId="095BC5EB" w:rsidR="003D6031" w:rsidRPr="00CB58FC" w:rsidRDefault="00BA79A3" w:rsidP="0015390C">
      <w:pPr>
        <w:spacing w:before="120" w:after="120"/>
        <w:rPr>
          <w:rFonts w:eastAsia="Times New Roman"/>
          <w:lang w:val="en-AU" w:eastAsia="en-GB"/>
        </w:rPr>
      </w:pPr>
      <w:r w:rsidRPr="00CB58FC">
        <w:rPr>
          <w:rFonts w:eastAsia="Times New Roman"/>
          <w:lang w:val="en-AU" w:eastAsia="en-GB"/>
        </w:rPr>
        <w:t xml:space="preserve">Czech Republic </w:t>
      </w:r>
      <w:r w:rsidR="003D6031" w:rsidRPr="00CB58FC">
        <w:rPr>
          <w:rFonts w:eastAsia="Times New Roman"/>
          <w:lang w:val="en-AU" w:eastAsia="en-GB"/>
        </w:rPr>
        <w:t>-GESTOR (</w:t>
      </w:r>
      <w:r w:rsidR="003D6031" w:rsidRPr="00CB58FC">
        <w:rPr>
          <w:shd w:val="clear" w:color="auto" w:fill="FFFFFF"/>
        </w:rPr>
        <w:t>The Union for the Protection of Authorship</w:t>
      </w:r>
      <w:r w:rsidR="003D6031" w:rsidRPr="00CB58FC">
        <w:rPr>
          <w:rStyle w:val="apple-converted-space"/>
          <w:shd w:val="clear" w:color="auto" w:fill="FFFFFF"/>
        </w:rPr>
        <w:t> </w:t>
      </w:r>
      <w:r w:rsidR="003D6031" w:rsidRPr="00CB58FC">
        <w:rPr>
          <w:rFonts w:eastAsia="Times New Roman"/>
          <w:lang w:val="en-AU" w:eastAsia="en-GB"/>
        </w:rPr>
        <w:t xml:space="preserve">): </w:t>
      </w:r>
      <w:hyperlink r:id="rId25" w:history="1">
        <w:r w:rsidR="003D6031" w:rsidRPr="00CB58FC">
          <w:rPr>
            <w:rStyle w:val="Hyperlink"/>
            <w:rFonts w:eastAsia="Times New Roman"/>
            <w:color w:val="auto"/>
            <w:lang w:val="en-AU" w:eastAsia="en-GB"/>
          </w:rPr>
          <w:t>http://www.gestor.cz/en/</w:t>
        </w:r>
      </w:hyperlink>
    </w:p>
    <w:p w14:paraId="0C494992" w14:textId="2F230ABC" w:rsidR="003D6031" w:rsidRPr="00A5081E" w:rsidRDefault="003D6031" w:rsidP="0015390C">
      <w:pPr>
        <w:spacing w:before="120" w:after="120"/>
        <w:rPr>
          <w:rFonts w:eastAsia="Times New Roman"/>
          <w:lang w:val="de-DE" w:eastAsia="en-GB"/>
        </w:rPr>
      </w:pPr>
      <w:r w:rsidRPr="00A5081E">
        <w:rPr>
          <w:rFonts w:eastAsia="Times New Roman"/>
          <w:lang w:val="de-DE" w:eastAsia="en-GB"/>
        </w:rPr>
        <w:t>Denmark – VISDA (</w:t>
      </w:r>
      <w:r w:rsidRPr="00A5081E">
        <w:rPr>
          <w:lang w:val="de-DE"/>
        </w:rPr>
        <w:t>Visuelle Rettigheder Danmark</w:t>
      </w:r>
      <w:r w:rsidRPr="00A5081E">
        <w:rPr>
          <w:rFonts w:eastAsia="Times New Roman"/>
          <w:lang w:val="de-DE" w:eastAsia="en-GB"/>
        </w:rPr>
        <w:t xml:space="preserve">): </w:t>
      </w:r>
      <w:hyperlink r:id="rId26" w:history="1">
        <w:r w:rsidRPr="00A5081E">
          <w:rPr>
            <w:rStyle w:val="Hyperlink"/>
            <w:rFonts w:eastAsia="Times New Roman"/>
            <w:color w:val="auto"/>
            <w:lang w:val="de-DE" w:eastAsia="en-GB"/>
          </w:rPr>
          <w:t>https://www.visda.dk</w:t>
        </w:r>
      </w:hyperlink>
      <w:r w:rsidRPr="00A5081E">
        <w:rPr>
          <w:rFonts w:eastAsia="Times New Roman"/>
          <w:lang w:val="de-DE" w:eastAsia="en-GB"/>
        </w:rPr>
        <w:t xml:space="preserve"> </w:t>
      </w:r>
    </w:p>
    <w:p w14:paraId="72981BC3" w14:textId="655508CF"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Estonia – EAU (Estonian Authors Society): </w:t>
      </w:r>
      <w:hyperlink r:id="rId27" w:history="1">
        <w:r w:rsidRPr="00CB58FC">
          <w:rPr>
            <w:rStyle w:val="Hyperlink"/>
            <w:rFonts w:eastAsia="Times New Roman"/>
            <w:color w:val="auto"/>
            <w:lang w:val="en-AU" w:eastAsia="en-GB"/>
          </w:rPr>
          <w:t>https://eau.org/en/</w:t>
        </w:r>
      </w:hyperlink>
    </w:p>
    <w:p w14:paraId="506DEABF" w14:textId="4F66F267"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France- ADAGP (Association des Auteurs des Arts Graphiques et Plastiques) </w:t>
      </w:r>
      <w:hyperlink r:id="rId28" w:history="1">
        <w:r w:rsidRPr="00CB58FC">
          <w:rPr>
            <w:rStyle w:val="Hyperlink"/>
            <w:rFonts w:eastAsia="Times New Roman"/>
            <w:color w:val="auto"/>
            <w:lang w:val="fr-CH" w:eastAsia="en-GB"/>
          </w:rPr>
          <w:t>https://www.adagp.fr/</w:t>
        </w:r>
      </w:hyperlink>
    </w:p>
    <w:p w14:paraId="23D3723D" w14:textId="0EBF707F" w:rsidR="003D6031" w:rsidRPr="00A5081E" w:rsidRDefault="003D6031" w:rsidP="0015390C">
      <w:pPr>
        <w:spacing w:before="120" w:after="120"/>
        <w:rPr>
          <w:rFonts w:eastAsia="Times New Roman"/>
          <w:lang w:val="de-DE" w:eastAsia="en-GB"/>
        </w:rPr>
      </w:pPr>
      <w:r w:rsidRPr="00A5081E">
        <w:rPr>
          <w:rFonts w:eastAsia="Times New Roman"/>
          <w:lang w:val="de-DE" w:eastAsia="en-GB"/>
        </w:rPr>
        <w:t xml:space="preserve">Germany – Bildkunst (VG- Bild Kunst): </w:t>
      </w:r>
      <w:hyperlink r:id="rId29" w:history="1">
        <w:r w:rsidRPr="00A5081E">
          <w:rPr>
            <w:rStyle w:val="Hyperlink"/>
            <w:rFonts w:eastAsia="Times New Roman"/>
            <w:color w:val="auto"/>
            <w:lang w:val="de-DE" w:eastAsia="en-GB"/>
          </w:rPr>
          <w:t>https://www.bildkunst.de/homepage</w:t>
        </w:r>
      </w:hyperlink>
      <w:r w:rsidRPr="00A5081E">
        <w:rPr>
          <w:rFonts w:eastAsia="Times New Roman"/>
          <w:lang w:val="de-DE" w:eastAsia="en-GB"/>
        </w:rPr>
        <w:t xml:space="preserve"> </w:t>
      </w:r>
    </w:p>
    <w:p w14:paraId="01D24144" w14:textId="24CB3EF4"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Hungary – HUNGART (Collecting Society of Hungarian Visual Artists): </w:t>
      </w:r>
      <w:hyperlink r:id="rId30" w:history="1">
        <w:r w:rsidRPr="00CB58FC">
          <w:rPr>
            <w:rStyle w:val="Hyperlink"/>
            <w:rFonts w:eastAsia="Times New Roman"/>
            <w:color w:val="auto"/>
            <w:lang w:val="en-AU" w:eastAsia="en-GB"/>
          </w:rPr>
          <w:t>http://www.hungart.org/en/</w:t>
        </w:r>
      </w:hyperlink>
      <w:r w:rsidRPr="00CB58FC">
        <w:rPr>
          <w:rFonts w:eastAsia="Times New Roman"/>
          <w:lang w:val="en-AU" w:eastAsia="en-GB"/>
        </w:rPr>
        <w:t xml:space="preserve"> </w:t>
      </w:r>
    </w:p>
    <w:p w14:paraId="7A1E7C88" w14:textId="7E6E724F"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Italy – SIAE (Società Italiana degli Autori ed Editori): </w:t>
      </w:r>
      <w:hyperlink r:id="rId31" w:history="1">
        <w:r w:rsidRPr="00AE5EBA">
          <w:rPr>
            <w:rStyle w:val="Hyperlink"/>
            <w:rFonts w:eastAsia="Times New Roman"/>
            <w:color w:val="auto"/>
            <w:lang w:val="es-ES" w:eastAsia="en-GB"/>
          </w:rPr>
          <w:t>https://www.siae.it/it/</w:t>
        </w:r>
      </w:hyperlink>
      <w:r w:rsidRPr="00AE5EBA">
        <w:rPr>
          <w:rFonts w:eastAsia="Times New Roman"/>
          <w:lang w:val="es-ES" w:eastAsia="en-GB"/>
        </w:rPr>
        <w:t xml:space="preserve"> </w:t>
      </w:r>
    </w:p>
    <w:p w14:paraId="7E9C5B66" w14:textId="7E8D3EAA" w:rsidR="003D6031" w:rsidRPr="00CB58FC" w:rsidRDefault="003D6031" w:rsidP="0015390C">
      <w:pPr>
        <w:spacing w:before="120" w:after="120"/>
      </w:pPr>
      <w:r w:rsidRPr="00CB58FC">
        <w:rPr>
          <w:rFonts w:eastAsia="Times New Roman"/>
          <w:lang w:val="en-AU" w:eastAsia="en-GB"/>
        </w:rPr>
        <w:t>Japan -  JASPAR  (Japanese Society for Protecting Artists’ Rights)</w:t>
      </w:r>
      <w:r w:rsidRPr="00CB58FC">
        <w:rPr>
          <w:rFonts w:eastAsia="Meiryo"/>
          <w:b/>
          <w:bCs/>
          <w:caps/>
          <w:spacing w:val="60"/>
          <w:shd w:val="clear" w:color="auto" w:fill="FFFFFF"/>
        </w:rPr>
        <w:t>:</w:t>
      </w:r>
      <w:r w:rsidR="00CA13A3" w:rsidRPr="00CB58FC" w:rsidDel="00CA13A3">
        <w:rPr>
          <w:rStyle w:val="apple-converted-space"/>
          <w:shd w:val="clear" w:color="auto" w:fill="FFFFFF"/>
        </w:rPr>
        <w:t xml:space="preserve"> </w:t>
      </w:r>
      <w:hyperlink r:id="rId32" w:history="1">
        <w:r w:rsidR="00B85B8C" w:rsidRPr="00CB58FC">
          <w:rPr>
            <w:rStyle w:val="Hyperlink"/>
            <w:shd w:val="clear" w:color="auto" w:fill="FFFFFF"/>
          </w:rPr>
          <w:t>http://jaspar.or.jp/en/history</w:t>
        </w:r>
      </w:hyperlink>
      <w:r w:rsidR="00B85B8C" w:rsidRPr="00CB58FC">
        <w:rPr>
          <w:rStyle w:val="apple-converted-space"/>
          <w:shd w:val="clear" w:color="auto" w:fill="FFFFFF"/>
        </w:rPr>
        <w:t xml:space="preserve"> </w:t>
      </w:r>
    </w:p>
    <w:p w14:paraId="4F6B61D9" w14:textId="11B0EA6E"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Latvia – AKKA/LAA (Copyright and Communication Consulting Agency/Latvian Authors’ Association): </w:t>
      </w:r>
      <w:hyperlink r:id="rId33" w:history="1">
        <w:r w:rsidRPr="00CB58FC">
          <w:rPr>
            <w:rStyle w:val="Hyperlink"/>
            <w:rFonts w:eastAsia="Times New Roman"/>
            <w:color w:val="auto"/>
            <w:lang w:val="en-AU" w:eastAsia="en-GB"/>
          </w:rPr>
          <w:t>https://www.akka-laa.lv/en</w:t>
        </w:r>
      </w:hyperlink>
      <w:r w:rsidRPr="00CB58FC">
        <w:rPr>
          <w:rFonts w:eastAsia="Times New Roman"/>
          <w:lang w:val="en-AU" w:eastAsia="en-GB"/>
        </w:rPr>
        <w:t xml:space="preserve"> </w:t>
      </w:r>
    </w:p>
    <w:p w14:paraId="65959D2B" w14:textId="6274EF2C" w:rsidR="003D6031" w:rsidRPr="00AE5EBA" w:rsidRDefault="003D6031" w:rsidP="0015390C">
      <w:pPr>
        <w:spacing w:before="120" w:after="120"/>
        <w:rPr>
          <w:rFonts w:eastAsia="Times New Roman"/>
          <w:lang w:val="es-ES" w:eastAsia="en-GB"/>
        </w:rPr>
      </w:pPr>
      <w:r w:rsidRPr="00AE5EBA">
        <w:rPr>
          <w:rFonts w:eastAsia="Times New Roman"/>
          <w:lang w:val="es-ES" w:eastAsia="en-GB"/>
        </w:rPr>
        <w:t>Mexico – SOMAAP (Sociedad Mexicana de Autores de las Artes Plásticas):</w:t>
      </w:r>
      <w:hyperlink r:id="rId34" w:history="1">
        <w:r w:rsidRPr="00AE5EBA">
          <w:rPr>
            <w:rStyle w:val="Hyperlink"/>
            <w:rFonts w:eastAsia="Times New Roman"/>
            <w:color w:val="auto"/>
            <w:lang w:val="es-ES" w:eastAsia="en-GB"/>
          </w:rPr>
          <w:t>https://www.somaap.mx</w:t>
        </w:r>
      </w:hyperlink>
      <w:r w:rsidRPr="00AE5EBA">
        <w:rPr>
          <w:rFonts w:eastAsia="Times New Roman"/>
          <w:lang w:val="es-ES" w:eastAsia="en-GB"/>
        </w:rPr>
        <w:t xml:space="preserve"> </w:t>
      </w:r>
    </w:p>
    <w:p w14:paraId="37BB6492" w14:textId="4C7248B4" w:rsidR="003D6031" w:rsidRPr="00CB58FC" w:rsidRDefault="003D6031" w:rsidP="0015390C">
      <w:pPr>
        <w:spacing w:before="120" w:after="120"/>
        <w:rPr>
          <w:rFonts w:eastAsia="Times New Roman"/>
          <w:lang w:val="fr-CH" w:eastAsia="en-GB"/>
        </w:rPr>
      </w:pPr>
      <w:r w:rsidRPr="00CB58FC">
        <w:rPr>
          <w:rFonts w:eastAsia="Times New Roman"/>
          <w:lang w:val="fr-CH" w:eastAsia="en-GB"/>
        </w:rPr>
        <w:t>Morocco- BMDAV (Le Bureau Marocain des Droits d’Auteur et Droits Voisins) :</w:t>
      </w:r>
      <w:r w:rsidRPr="00CB58FC">
        <w:rPr>
          <w:lang w:val="fr-CH"/>
        </w:rPr>
        <w:t xml:space="preserve"> </w:t>
      </w:r>
      <w:hyperlink r:id="rId35" w:history="1">
        <w:r w:rsidRPr="00CB58FC">
          <w:rPr>
            <w:rStyle w:val="Hyperlink"/>
            <w:rFonts w:eastAsia="Times New Roman"/>
            <w:color w:val="auto"/>
            <w:lang w:val="fr-CH" w:eastAsia="en-GB"/>
          </w:rPr>
          <w:t>https://bmda.ma/</w:t>
        </w:r>
      </w:hyperlink>
      <w:r w:rsidRPr="00CB58FC">
        <w:rPr>
          <w:rFonts w:eastAsia="Times New Roman"/>
          <w:lang w:val="fr-CH" w:eastAsia="en-GB"/>
        </w:rPr>
        <w:t xml:space="preserve"> </w:t>
      </w:r>
    </w:p>
    <w:p w14:paraId="5471EA04" w14:textId="0170D933"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Netherlands – Pictoright: </w:t>
      </w:r>
      <w:hyperlink r:id="rId36" w:history="1">
        <w:r w:rsidRPr="00CB58FC">
          <w:rPr>
            <w:rStyle w:val="Hyperlink"/>
            <w:rFonts w:eastAsia="Times New Roman"/>
            <w:color w:val="auto"/>
            <w:lang w:val="en-AU" w:eastAsia="en-GB"/>
          </w:rPr>
          <w:t>https://pictoright.nl/en/</w:t>
        </w:r>
      </w:hyperlink>
      <w:r w:rsidRPr="00CB58FC">
        <w:rPr>
          <w:rFonts w:eastAsia="Times New Roman"/>
          <w:lang w:val="en-AU" w:eastAsia="en-GB"/>
        </w:rPr>
        <w:t xml:space="preserve"> </w:t>
      </w:r>
    </w:p>
    <w:p w14:paraId="169D51D2" w14:textId="511F1C37" w:rsidR="00B85B8C" w:rsidRPr="00AE5EBA" w:rsidDel="00CA13A3" w:rsidRDefault="00B85B8C" w:rsidP="0015390C">
      <w:pPr>
        <w:spacing w:before="120" w:after="120"/>
        <w:rPr>
          <w:rFonts w:eastAsia="Times New Roman"/>
          <w:lang w:val="pt-PT" w:eastAsia="en-GB"/>
        </w:rPr>
      </w:pPr>
      <w:r w:rsidRPr="00AE5EBA">
        <w:rPr>
          <w:rFonts w:eastAsia="Times New Roman"/>
          <w:lang w:val="pt-PT" w:eastAsia="en-GB"/>
        </w:rPr>
        <w:t xml:space="preserve">Portugal : </w:t>
      </w:r>
      <w:r w:rsidR="003E7B7F" w:rsidRPr="00AE5EBA">
        <w:rPr>
          <w:rFonts w:eastAsia="Times New Roman"/>
          <w:lang w:val="pt-PT" w:eastAsia="en-GB"/>
        </w:rPr>
        <w:t>SPAUTORES (</w:t>
      </w:r>
      <w:r w:rsidR="003E7B7F" w:rsidRPr="00AE5EBA">
        <w:rPr>
          <w:color w:val="000000"/>
          <w:szCs w:val="22"/>
          <w:shd w:val="clear" w:color="auto" w:fill="F1F1F1"/>
          <w:lang w:val="pt-PT"/>
        </w:rPr>
        <w:t xml:space="preserve">Sociedade Portuguesa de Autores): </w:t>
      </w:r>
      <w:r w:rsidR="003653F6" w:rsidRPr="00AE5EBA">
        <w:rPr>
          <w:rFonts w:eastAsia="Times New Roman"/>
          <w:lang w:val="pt-PT" w:eastAsia="en-GB"/>
        </w:rPr>
        <w:t xml:space="preserve"> </w:t>
      </w:r>
      <w:hyperlink r:id="rId37" w:history="1">
        <w:r w:rsidR="003653F6" w:rsidRPr="00AE5EBA">
          <w:rPr>
            <w:rStyle w:val="Hyperlink"/>
            <w:rFonts w:eastAsia="Times New Roman"/>
            <w:lang w:val="pt-PT" w:eastAsia="en-GB"/>
          </w:rPr>
          <w:t>https://www.spautores.pt/en/home-page-en-2/</w:t>
        </w:r>
      </w:hyperlink>
      <w:r w:rsidR="003653F6" w:rsidRPr="00AE5EBA">
        <w:rPr>
          <w:rFonts w:eastAsia="Times New Roman"/>
          <w:lang w:val="pt-PT" w:eastAsia="en-GB"/>
        </w:rPr>
        <w:t xml:space="preserve"> </w:t>
      </w:r>
    </w:p>
    <w:p w14:paraId="6A149D5E" w14:textId="204D217B"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Romania – SGDA/VISARTA (Society for Collective Management of Copyrights in the Field of Visual Arts): </w:t>
      </w:r>
      <w:hyperlink r:id="rId38" w:history="1">
        <w:r w:rsidRPr="00CB58FC">
          <w:rPr>
            <w:rStyle w:val="Hyperlink"/>
            <w:rFonts w:eastAsia="Times New Roman"/>
            <w:color w:val="auto"/>
            <w:lang w:val="en-AU" w:eastAsia="en-GB"/>
          </w:rPr>
          <w:t>https://www.visarta.ro/</w:t>
        </w:r>
      </w:hyperlink>
      <w:r w:rsidRPr="00CB58FC">
        <w:rPr>
          <w:rFonts w:eastAsia="Times New Roman"/>
          <w:lang w:val="en-AU" w:eastAsia="en-GB"/>
        </w:rPr>
        <w:t xml:space="preserve"> </w:t>
      </w:r>
    </w:p>
    <w:p w14:paraId="33E5FF22" w14:textId="77777777" w:rsidR="003D6031" w:rsidRPr="00CB58FC" w:rsidRDefault="003D6031" w:rsidP="0015390C">
      <w:pPr>
        <w:spacing w:before="120" w:after="120"/>
        <w:rPr>
          <w:rFonts w:eastAsia="Times New Roman"/>
          <w:lang w:val="en-AU" w:eastAsia="en-GB"/>
        </w:rPr>
      </w:pPr>
      <w:r w:rsidRPr="00CB58FC">
        <w:rPr>
          <w:rFonts w:eastAsia="Times New Roman"/>
          <w:lang w:val="en-AU" w:eastAsia="en-GB"/>
        </w:rPr>
        <w:t>Serbia – OFA (Organization of Photography Authors): does not manage ARR</w:t>
      </w:r>
    </w:p>
    <w:p w14:paraId="197988FB" w14:textId="03C15DE5"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Sénégal La SODAV (Société Sénégalaise du droit d'auteur et des droits voisins) : </w:t>
      </w:r>
      <w:hyperlink r:id="rId39" w:history="1">
        <w:r w:rsidRPr="00CB58FC">
          <w:rPr>
            <w:rStyle w:val="Hyperlink"/>
            <w:rFonts w:eastAsia="Times New Roman"/>
            <w:color w:val="auto"/>
            <w:lang w:val="fr-CH" w:eastAsia="en-GB"/>
          </w:rPr>
          <w:t>https://www.lasodav.sn/web/</w:t>
        </w:r>
      </w:hyperlink>
      <w:r w:rsidRPr="00CB58FC">
        <w:rPr>
          <w:rFonts w:eastAsia="Times New Roman"/>
          <w:lang w:val="fr-CH" w:eastAsia="en-GB"/>
        </w:rPr>
        <w:t xml:space="preserve"> </w:t>
      </w:r>
    </w:p>
    <w:p w14:paraId="6688BF8D" w14:textId="0D4DEACC" w:rsidR="003D6031" w:rsidRPr="00CB58FC" w:rsidRDefault="003D6031" w:rsidP="0015390C">
      <w:pPr>
        <w:spacing w:before="120" w:after="120"/>
        <w:rPr>
          <w:rFonts w:eastAsia="Times New Roman"/>
          <w:lang w:val="en-AU" w:eastAsia="en-GB"/>
        </w:rPr>
      </w:pPr>
      <w:r w:rsidRPr="00CB58FC">
        <w:rPr>
          <w:rFonts w:eastAsia="Times New Roman"/>
          <w:lang w:val="en-AU" w:eastAsia="en-GB"/>
        </w:rPr>
        <w:lastRenderedPageBreak/>
        <w:t xml:space="preserve">Slovakia – LITA (Society of Authors ): </w:t>
      </w:r>
      <w:hyperlink r:id="rId40" w:history="1">
        <w:r w:rsidRPr="00CB58FC">
          <w:rPr>
            <w:rStyle w:val="Hyperlink"/>
            <w:rFonts w:eastAsia="Times New Roman"/>
            <w:color w:val="auto"/>
            <w:lang w:val="en-AU" w:eastAsia="en-GB"/>
          </w:rPr>
          <w:t>https://www.lita.sk</w:t>
        </w:r>
      </w:hyperlink>
      <w:r w:rsidRPr="00CB58FC">
        <w:rPr>
          <w:rFonts w:eastAsia="Times New Roman"/>
          <w:lang w:val="en-AU" w:eastAsia="en-GB"/>
        </w:rPr>
        <w:t xml:space="preserve"> </w:t>
      </w:r>
    </w:p>
    <w:p w14:paraId="2729712C" w14:textId="19F069D4"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South Africa – DALRO (Dramatic, Artistic and Literary Rights </w:t>
      </w:r>
      <w:r w:rsidR="00BA79A3" w:rsidRPr="00CB58FC">
        <w:rPr>
          <w:rFonts w:eastAsia="Times New Roman"/>
          <w:lang w:val="en-AU" w:eastAsia="en-GB"/>
        </w:rPr>
        <w:t>Organisation</w:t>
      </w:r>
      <w:r w:rsidRPr="00CB58FC">
        <w:rPr>
          <w:rFonts w:eastAsia="Times New Roman"/>
          <w:lang w:val="en-AU" w:eastAsia="en-GB"/>
        </w:rPr>
        <w:t>):</w:t>
      </w:r>
      <w:r w:rsidR="00BA79A3" w:rsidRPr="00CB58FC">
        <w:t xml:space="preserve"> </w:t>
      </w:r>
      <w:r w:rsidR="00BA79A3" w:rsidRPr="00CB58FC">
        <w:rPr>
          <w:rFonts w:eastAsia="Times New Roman"/>
          <w:lang w:val="en-AU" w:eastAsia="en-GB"/>
        </w:rPr>
        <w:t>https://dalro.co.za</w:t>
      </w:r>
      <w:r w:rsidRPr="00CB58FC">
        <w:rPr>
          <w:rFonts w:eastAsia="Times New Roman"/>
          <w:lang w:val="en-AU" w:eastAsia="en-GB"/>
        </w:rPr>
        <w:t xml:space="preserve"> </w:t>
      </w:r>
    </w:p>
    <w:p w14:paraId="7BE75C81" w14:textId="73F6D7F0"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Spain – VEGAP (Visual Entidad de Gestión de Artistas Plásticos): </w:t>
      </w:r>
      <w:hyperlink r:id="rId41" w:history="1">
        <w:r w:rsidRPr="00AE5EBA">
          <w:rPr>
            <w:rStyle w:val="Hyperlink"/>
            <w:rFonts w:eastAsia="Times New Roman"/>
            <w:color w:val="auto"/>
            <w:lang w:val="es-ES" w:eastAsia="en-GB"/>
          </w:rPr>
          <w:t>https://vegap.es</w:t>
        </w:r>
      </w:hyperlink>
      <w:r w:rsidRPr="00AE5EBA">
        <w:rPr>
          <w:rFonts w:eastAsia="Times New Roman"/>
          <w:lang w:val="es-ES" w:eastAsia="en-GB"/>
        </w:rPr>
        <w:t xml:space="preserve"> </w:t>
      </w:r>
    </w:p>
    <w:p w14:paraId="75D4B18D" w14:textId="70FCFBED" w:rsidR="003D6031" w:rsidRPr="00AE5EBA" w:rsidRDefault="003D6031" w:rsidP="0015390C">
      <w:pPr>
        <w:spacing w:before="120" w:after="120"/>
        <w:rPr>
          <w:rFonts w:eastAsia="Times New Roman"/>
          <w:lang w:eastAsia="en-GB"/>
        </w:rPr>
      </w:pPr>
      <w:r w:rsidRPr="00AE5EBA">
        <w:rPr>
          <w:rFonts w:eastAsia="Times New Roman"/>
          <w:lang w:eastAsia="en-GB"/>
        </w:rPr>
        <w:t>Sweden –</w:t>
      </w:r>
      <w:r w:rsidR="007F3796" w:rsidRPr="00AE5EBA">
        <w:rPr>
          <w:rFonts w:eastAsia="Times New Roman"/>
          <w:lang w:eastAsia="en-GB"/>
        </w:rPr>
        <w:t xml:space="preserve"> </w:t>
      </w:r>
      <w:r w:rsidRPr="00AE5EBA">
        <w:rPr>
          <w:rFonts w:eastAsia="Times New Roman"/>
          <w:lang w:eastAsia="en-GB"/>
        </w:rPr>
        <w:t xml:space="preserve">Bildupphovsrätt (Image Copyright): </w:t>
      </w:r>
      <w:hyperlink r:id="rId42" w:history="1">
        <w:r w:rsidRPr="00AE5EBA">
          <w:rPr>
            <w:rStyle w:val="Hyperlink"/>
            <w:rFonts w:eastAsia="Times New Roman"/>
            <w:color w:val="auto"/>
            <w:lang w:eastAsia="en-GB"/>
          </w:rPr>
          <w:t>https://bildupphovsratt.se/english</w:t>
        </w:r>
      </w:hyperlink>
      <w:r w:rsidRPr="00AE5EBA">
        <w:rPr>
          <w:rFonts w:eastAsia="Times New Roman"/>
          <w:lang w:eastAsia="en-GB"/>
        </w:rPr>
        <w:t xml:space="preserve"> </w:t>
      </w:r>
    </w:p>
    <w:p w14:paraId="7BAC759D" w14:textId="6C71EE7C" w:rsidR="003D6031" w:rsidRPr="00CB58FC" w:rsidRDefault="003D6031" w:rsidP="0015390C">
      <w:pPr>
        <w:spacing w:before="120" w:after="120"/>
        <w:rPr>
          <w:rFonts w:eastAsia="Times New Roman"/>
          <w:lang w:val="fr-CH" w:eastAsia="en-GB"/>
        </w:rPr>
      </w:pPr>
      <w:r w:rsidRPr="00CB58FC">
        <w:rPr>
          <w:rFonts w:eastAsia="Times New Roman"/>
          <w:lang w:val="fr-CH" w:eastAsia="en-GB"/>
        </w:rPr>
        <w:t xml:space="preserve">Tunisia- OTDAV (Organisme Tunisien du Droit d’Auteur et des Droits Voisins) : </w:t>
      </w:r>
      <w:hyperlink r:id="rId43" w:history="1">
        <w:r w:rsidRPr="00CB58FC">
          <w:rPr>
            <w:rStyle w:val="Hyperlink"/>
            <w:rFonts w:eastAsia="Times New Roman"/>
            <w:color w:val="auto"/>
            <w:lang w:val="fr-CH" w:eastAsia="en-GB"/>
          </w:rPr>
          <w:t>http://www.otdav.tn/index.php/fr/</w:t>
        </w:r>
      </w:hyperlink>
      <w:r w:rsidRPr="00CB58FC">
        <w:rPr>
          <w:rFonts w:eastAsia="Times New Roman"/>
          <w:lang w:val="fr-CH" w:eastAsia="en-GB"/>
        </w:rPr>
        <w:t xml:space="preserve"> </w:t>
      </w:r>
    </w:p>
    <w:p w14:paraId="222910EE" w14:textId="766AAF83" w:rsidR="003D6031" w:rsidRPr="00CB58FC" w:rsidRDefault="003D6031" w:rsidP="0015390C">
      <w:pPr>
        <w:spacing w:before="120" w:after="120"/>
        <w:rPr>
          <w:rStyle w:val="Hyperlink"/>
          <w:rFonts w:eastAsia="Times New Roman"/>
          <w:color w:val="auto"/>
          <w:lang w:val="en-AU" w:eastAsia="en-GB"/>
        </w:rPr>
      </w:pPr>
      <w:r w:rsidRPr="00CB58FC">
        <w:rPr>
          <w:rFonts w:eastAsia="Times New Roman"/>
          <w:lang w:val="en-AU" w:eastAsia="en-GB"/>
        </w:rPr>
        <w:t xml:space="preserve">UK – DACS (Design &amp; Artists Copyright Society): </w:t>
      </w:r>
      <w:hyperlink r:id="rId44" w:history="1">
        <w:r w:rsidRPr="00CB58FC">
          <w:rPr>
            <w:rStyle w:val="Hyperlink"/>
            <w:rFonts w:eastAsia="Times New Roman"/>
            <w:color w:val="auto"/>
            <w:lang w:val="en-AU" w:eastAsia="en-GB"/>
          </w:rPr>
          <w:t>https://www.dacs.org.uk/</w:t>
        </w:r>
      </w:hyperlink>
      <w:r w:rsidRPr="00CB58FC">
        <w:rPr>
          <w:rFonts w:eastAsia="Times New Roman"/>
          <w:lang w:val="en-AU" w:eastAsia="en-GB"/>
        </w:rPr>
        <w:t xml:space="preserve">  </w:t>
      </w:r>
    </w:p>
    <w:p w14:paraId="1C7B4EE8" w14:textId="57DC3EC6" w:rsidR="003D6031" w:rsidRPr="00AE5EBA" w:rsidRDefault="003D6031" w:rsidP="0015390C">
      <w:pPr>
        <w:spacing w:before="120" w:after="120"/>
        <w:rPr>
          <w:rFonts w:eastAsia="Times New Roman"/>
          <w:lang w:val="es-ES" w:eastAsia="en-GB"/>
        </w:rPr>
      </w:pPr>
      <w:r w:rsidRPr="00AE5EBA">
        <w:rPr>
          <w:lang w:val="es-ES"/>
        </w:rPr>
        <w:t>Uruguay</w:t>
      </w:r>
      <w:r w:rsidRPr="00AE5EBA">
        <w:rPr>
          <w:rStyle w:val="Hyperlink"/>
          <w:rFonts w:eastAsia="Times New Roman"/>
          <w:color w:val="auto"/>
          <w:lang w:val="es-ES" w:eastAsia="en-GB"/>
        </w:rPr>
        <w:t xml:space="preserve"> – AGADU (Asociación General de Autores del Uruguay</w:t>
      </w:r>
      <w:r w:rsidR="00BD6067" w:rsidRPr="00AE5EBA">
        <w:rPr>
          <w:rStyle w:val="Hyperlink"/>
          <w:rFonts w:eastAsia="Times New Roman"/>
          <w:color w:val="auto"/>
          <w:lang w:val="es-ES" w:eastAsia="en-GB"/>
        </w:rPr>
        <w:t>):</w:t>
      </w:r>
      <w:r w:rsidRPr="00AE5EBA">
        <w:rPr>
          <w:rStyle w:val="Hyperlink"/>
          <w:rFonts w:eastAsia="Times New Roman"/>
          <w:color w:val="auto"/>
          <w:lang w:val="es-ES" w:eastAsia="en-GB"/>
        </w:rPr>
        <w:t xml:space="preserve"> https://www.agadu.org</w:t>
      </w:r>
    </w:p>
    <w:p w14:paraId="418EE8F5" w14:textId="1C8BB9F1" w:rsidR="003D6031" w:rsidRPr="00CB58FC" w:rsidRDefault="003D6031" w:rsidP="0015390C">
      <w:pPr>
        <w:spacing w:before="120" w:after="120"/>
        <w:rPr>
          <w:rFonts w:eastAsia="Times New Roman"/>
          <w:lang w:val="en-AU" w:eastAsia="en-GB"/>
        </w:rPr>
      </w:pPr>
      <w:r w:rsidRPr="00CB58FC">
        <w:rPr>
          <w:rFonts w:eastAsia="Times New Roman"/>
          <w:lang w:val="en-AU" w:eastAsia="en-GB"/>
        </w:rPr>
        <w:t xml:space="preserve">US – ARS (Artists Right Society): </w:t>
      </w:r>
      <w:hyperlink r:id="rId45" w:history="1">
        <w:r w:rsidRPr="00CB58FC">
          <w:rPr>
            <w:rStyle w:val="Hyperlink"/>
            <w:rFonts w:eastAsia="Times New Roman"/>
            <w:color w:val="auto"/>
            <w:lang w:val="en-AU" w:eastAsia="en-GB"/>
          </w:rPr>
          <w:t>https://www.dacs.org.uk/</w:t>
        </w:r>
      </w:hyperlink>
      <w:r w:rsidRPr="00CB58FC">
        <w:rPr>
          <w:rFonts w:eastAsia="Times New Roman"/>
          <w:lang w:val="en-AU" w:eastAsia="en-GB"/>
        </w:rPr>
        <w:t xml:space="preserve"> </w:t>
      </w:r>
    </w:p>
    <w:p w14:paraId="17847B61" w14:textId="77777777" w:rsidR="00EC3C73" w:rsidRPr="00CB58FC" w:rsidRDefault="00EC3C73" w:rsidP="003D6031">
      <w:pPr>
        <w:rPr>
          <w:rFonts w:eastAsia="Times New Roman"/>
          <w:lang w:val="en-AU" w:eastAsia="en-GB"/>
        </w:rPr>
      </w:pPr>
    </w:p>
    <w:p w14:paraId="5B83A40B" w14:textId="56FF3441" w:rsidR="00CA13A3" w:rsidRPr="00CB58FC" w:rsidRDefault="00CA13A3" w:rsidP="003D6031">
      <w:pPr>
        <w:rPr>
          <w:rFonts w:eastAsia="Times New Roman"/>
          <w:b/>
          <w:bCs/>
          <w:i/>
          <w:iCs/>
          <w:lang w:val="en-AU" w:eastAsia="en-GB"/>
        </w:rPr>
      </w:pPr>
      <w:r w:rsidRPr="00CB58FC">
        <w:rPr>
          <w:rFonts w:eastAsia="Times New Roman"/>
          <w:b/>
          <w:bCs/>
          <w:i/>
          <w:iCs/>
          <w:lang w:val="en-AU" w:eastAsia="en-GB"/>
        </w:rPr>
        <w:t>Other CMOs and organizations</w:t>
      </w:r>
      <w:r w:rsidR="00EC3C73" w:rsidRPr="00CB58FC">
        <w:rPr>
          <w:rFonts w:eastAsia="Times New Roman"/>
          <w:b/>
          <w:bCs/>
          <w:i/>
          <w:iCs/>
          <w:lang w:val="en-AU" w:eastAsia="en-GB"/>
        </w:rPr>
        <w:t xml:space="preserve"> concerned with ARR:</w:t>
      </w:r>
    </w:p>
    <w:p w14:paraId="2652B637" w14:textId="77777777" w:rsidR="00CA13A3" w:rsidRPr="00CB58FC" w:rsidRDefault="00CA13A3" w:rsidP="003D6031">
      <w:pPr>
        <w:rPr>
          <w:rFonts w:eastAsia="Times New Roman"/>
          <w:lang w:val="en-AU" w:eastAsia="en-GB"/>
        </w:rPr>
      </w:pPr>
    </w:p>
    <w:p w14:paraId="7DEA75B9" w14:textId="5E17535C" w:rsidR="00CA13A3" w:rsidRPr="00CB58FC" w:rsidRDefault="00CA13A3" w:rsidP="0015390C">
      <w:pPr>
        <w:spacing w:before="120" w:after="120"/>
        <w:rPr>
          <w:szCs w:val="22"/>
        </w:rPr>
      </w:pPr>
      <w:r w:rsidRPr="00CB58FC">
        <w:rPr>
          <w:rFonts w:eastAsia="Times New Roman"/>
          <w:szCs w:val="22"/>
          <w:lang w:val="en-AU" w:eastAsia="en-GB"/>
        </w:rPr>
        <w:t>New Zealand – CLNZ (</w:t>
      </w:r>
      <w:r w:rsidR="00424B83" w:rsidRPr="00CB58FC">
        <w:rPr>
          <w:rFonts w:eastAsia="Times New Roman"/>
          <w:szCs w:val="22"/>
          <w:lang w:val="en-AU" w:eastAsia="en-GB"/>
        </w:rPr>
        <w:t>Copyright</w:t>
      </w:r>
      <w:r w:rsidRPr="00CB58FC">
        <w:rPr>
          <w:rFonts w:eastAsia="Times New Roman"/>
          <w:szCs w:val="22"/>
          <w:lang w:val="en-AU" w:eastAsia="en-GB"/>
        </w:rPr>
        <w:t xml:space="preserve"> Licensing New Zealand):  </w:t>
      </w:r>
      <w:hyperlink r:id="rId46" w:history="1">
        <w:r w:rsidRPr="00CB58FC">
          <w:rPr>
            <w:rStyle w:val="Hyperlink"/>
            <w:rFonts w:eastAsia="Times New Roman"/>
            <w:color w:val="auto"/>
            <w:szCs w:val="22"/>
            <w:lang w:val="en-AU" w:eastAsia="en-GB"/>
          </w:rPr>
          <w:t>https://www.copyright.co.nz</w:t>
        </w:r>
      </w:hyperlink>
      <w:r w:rsidRPr="00CB58FC">
        <w:rPr>
          <w:rFonts w:eastAsia="Times New Roman"/>
          <w:szCs w:val="22"/>
          <w:lang w:val="en-AU" w:eastAsia="en-GB"/>
        </w:rPr>
        <w:t xml:space="preserve"> and see also the website of the relevant government department responsible for implementing ARR under the new NZ legislation: </w:t>
      </w:r>
      <w:hyperlink r:id="rId47" w:history="1">
        <w:r w:rsidRPr="00CB58FC">
          <w:rPr>
            <w:rStyle w:val="Hyperlink"/>
            <w:rFonts w:eastAsia="Times New Roman"/>
            <w:color w:val="auto"/>
            <w:szCs w:val="22"/>
            <w:lang w:val="en-AU" w:eastAsia="en-GB"/>
          </w:rPr>
          <w:t>https://www.mch.govt.nz/our-work/arts-sector/artist-resale-royalty-scheme</w:t>
        </w:r>
      </w:hyperlink>
    </w:p>
    <w:p w14:paraId="573DA5CE" w14:textId="16712612" w:rsidR="00CA13A3" w:rsidRPr="00AE5EBA" w:rsidRDefault="00CA13A3" w:rsidP="0015390C">
      <w:pPr>
        <w:spacing w:before="120" w:after="120"/>
        <w:rPr>
          <w:rFonts w:eastAsia="Times New Roman"/>
          <w:szCs w:val="22"/>
          <w:lang w:val="es-ES" w:eastAsia="en-GB"/>
        </w:rPr>
      </w:pPr>
      <w:r w:rsidRPr="00AE5EBA">
        <w:rPr>
          <w:rFonts w:eastAsia="Times New Roman"/>
          <w:szCs w:val="22"/>
          <w:lang w:val="es-ES" w:eastAsia="en-GB"/>
        </w:rPr>
        <w:t xml:space="preserve">Peru: APSAV (Asociación Peruana de Artistas Visuales): </w:t>
      </w:r>
      <w:hyperlink r:id="rId48" w:history="1">
        <w:r w:rsidRPr="00AE5EBA">
          <w:rPr>
            <w:rStyle w:val="Hyperlink"/>
            <w:rFonts w:eastAsia="Times New Roman"/>
            <w:color w:val="auto"/>
            <w:szCs w:val="22"/>
            <w:lang w:val="es-ES" w:eastAsia="en-GB"/>
          </w:rPr>
          <w:t>https://www.apsav.org.pe/</w:t>
        </w:r>
      </w:hyperlink>
      <w:r w:rsidRPr="00AE5EBA">
        <w:rPr>
          <w:rFonts w:eastAsia="Times New Roman"/>
          <w:szCs w:val="22"/>
          <w:lang w:val="es-ES" w:eastAsia="en-GB"/>
        </w:rPr>
        <w:t xml:space="preserve"> </w:t>
      </w:r>
    </w:p>
    <w:p w14:paraId="400A8F98" w14:textId="49673C71" w:rsidR="00CA13A3" w:rsidRPr="00CB58FC" w:rsidRDefault="00CA13A3" w:rsidP="0015390C">
      <w:pPr>
        <w:spacing w:before="120" w:after="120"/>
        <w:rPr>
          <w:rFonts w:eastAsia="Times New Roman"/>
          <w:szCs w:val="22"/>
          <w:lang w:eastAsia="en-GB"/>
        </w:rPr>
      </w:pPr>
      <w:r w:rsidRPr="00CB58FC">
        <w:rPr>
          <w:rFonts w:eastAsia="Times New Roman"/>
          <w:szCs w:val="22"/>
          <w:lang w:val="en-AU" w:eastAsia="en-GB"/>
        </w:rPr>
        <w:t xml:space="preserve">UK-ACS (Artists’ Collecting Society): </w:t>
      </w:r>
      <w:hyperlink r:id="rId49" w:history="1">
        <w:r w:rsidRPr="00CB58FC">
          <w:rPr>
            <w:rStyle w:val="Hyperlink"/>
            <w:rFonts w:eastAsia="Times New Roman"/>
            <w:color w:val="auto"/>
            <w:szCs w:val="22"/>
            <w:lang w:val="en-AU" w:eastAsia="en-GB"/>
          </w:rPr>
          <w:t>https://artistscollectingsociety.org</w:t>
        </w:r>
      </w:hyperlink>
    </w:p>
    <w:p w14:paraId="0D57D115" w14:textId="02815304" w:rsidR="00CA13A3" w:rsidRPr="00CB58FC" w:rsidRDefault="00CA13A3" w:rsidP="0015390C">
      <w:pPr>
        <w:pStyle w:val="Default"/>
        <w:spacing w:before="120" w:after="120"/>
        <w:rPr>
          <w:rFonts w:ascii="Times New Roman" w:eastAsia="Times New Roman" w:hAnsi="Times New Roman" w:cs="Times New Roman"/>
          <w:color w:val="0000FF"/>
          <w:sz w:val="22"/>
          <w:szCs w:val="22"/>
          <w:lang w:eastAsia="fr-CH"/>
        </w:rPr>
      </w:pPr>
      <w:r w:rsidRPr="00CB58FC">
        <w:rPr>
          <w:sz w:val="22"/>
          <w:szCs w:val="22"/>
        </w:rPr>
        <w:t xml:space="preserve">Greece:  </w:t>
      </w:r>
      <w:r w:rsidRPr="00CB58FC">
        <w:rPr>
          <w:rFonts w:eastAsia="Times New Roman"/>
          <w:sz w:val="22"/>
          <w:szCs w:val="22"/>
          <w:lang w:eastAsia="fr-CH"/>
        </w:rPr>
        <w:t>OSDEETE (</w:t>
      </w:r>
      <w:r w:rsidRPr="00CB58FC">
        <w:rPr>
          <w:sz w:val="22"/>
          <w:szCs w:val="22"/>
        </w:rPr>
        <w:t>Greek Collecting Society for Works of Visual Art):</w:t>
      </w:r>
      <w:r w:rsidRPr="00CB58FC">
        <w:rPr>
          <w:rFonts w:eastAsia="Times New Roman"/>
          <w:sz w:val="22"/>
          <w:szCs w:val="22"/>
          <w:lang w:eastAsia="fr-CH"/>
        </w:rPr>
        <w:t xml:space="preserve"> </w:t>
      </w:r>
      <w:r w:rsidRPr="00CB58FC">
        <w:rPr>
          <w:rFonts w:eastAsia="Times New Roman"/>
          <w:color w:val="0000FF"/>
          <w:sz w:val="22"/>
          <w:szCs w:val="22"/>
          <w:lang w:eastAsia="fr-CH"/>
        </w:rPr>
        <w:t>osdeete.gr</w:t>
      </w:r>
    </w:p>
    <w:p w14:paraId="0894603C" w14:textId="4263A0B4" w:rsidR="00CA13A3" w:rsidRPr="00CB58FC" w:rsidRDefault="00CA13A3" w:rsidP="003D6031"/>
    <w:p w14:paraId="228BCE35" w14:textId="77777777" w:rsidR="003D6031" w:rsidRPr="00CB58FC" w:rsidRDefault="003D6031" w:rsidP="003D6031">
      <w:pPr>
        <w:rPr>
          <w:rFonts w:eastAsia="Times New Roman"/>
          <w:lang w:val="en-AU" w:eastAsia="en-GB"/>
        </w:rPr>
      </w:pPr>
    </w:p>
    <w:p w14:paraId="68727A81" w14:textId="77777777" w:rsidR="003D6031" w:rsidRPr="00CB58FC" w:rsidRDefault="003D6031" w:rsidP="003D6031">
      <w:pPr>
        <w:pStyle w:val="Heading3"/>
        <w:rPr>
          <w:b/>
          <w:bCs w:val="0"/>
          <w:szCs w:val="22"/>
          <w:lang w:val="en-AU" w:eastAsia="en-GB"/>
        </w:rPr>
      </w:pPr>
      <w:r w:rsidRPr="00CB58FC">
        <w:rPr>
          <w:b/>
          <w:bCs w:val="0"/>
          <w:szCs w:val="22"/>
          <w:lang w:val="en-AU" w:eastAsia="en-GB"/>
        </w:rPr>
        <w:t>INTERNATIONAL AND REGIONAL:</w:t>
      </w:r>
    </w:p>
    <w:p w14:paraId="0AD289FF" w14:textId="77777777" w:rsidR="003D6031" w:rsidRPr="00CB58FC" w:rsidRDefault="003D6031" w:rsidP="003D6031">
      <w:pPr>
        <w:rPr>
          <w:lang w:val="en-AU" w:eastAsia="en-GB"/>
        </w:rPr>
      </w:pPr>
    </w:p>
    <w:p w14:paraId="4A04BB07" w14:textId="7BAF1BA8" w:rsidR="003D6031" w:rsidRPr="00CB58FC" w:rsidRDefault="003D6031" w:rsidP="0015390C">
      <w:pPr>
        <w:spacing w:before="120" w:after="120"/>
        <w:rPr>
          <w:sz w:val="21"/>
          <w:szCs w:val="21"/>
          <w:shd w:val="clear" w:color="auto" w:fill="FFFFFF"/>
        </w:rPr>
      </w:pPr>
      <w:r w:rsidRPr="00CB58FC">
        <w:rPr>
          <w:sz w:val="21"/>
          <w:szCs w:val="21"/>
          <w:shd w:val="clear" w:color="auto" w:fill="FFFFFF"/>
        </w:rPr>
        <w:t xml:space="preserve">WIPO (World intellectual Property Organizaton): </w:t>
      </w:r>
      <w:hyperlink r:id="rId50" w:history="1">
        <w:r w:rsidRPr="00CB58FC">
          <w:rPr>
            <w:rStyle w:val="Hyperlink"/>
            <w:color w:val="auto"/>
            <w:sz w:val="21"/>
            <w:szCs w:val="21"/>
            <w:shd w:val="clear" w:color="auto" w:fill="FFFFFF"/>
          </w:rPr>
          <w:t>https://www.wipo.int</w:t>
        </w:r>
      </w:hyperlink>
      <w:r w:rsidRPr="00CB58FC">
        <w:rPr>
          <w:sz w:val="21"/>
          <w:szCs w:val="21"/>
          <w:shd w:val="clear" w:color="auto" w:fill="FFFFFF"/>
        </w:rPr>
        <w:t xml:space="preserve"> </w:t>
      </w:r>
    </w:p>
    <w:p w14:paraId="3287C8A5" w14:textId="2872798D" w:rsidR="003D6031" w:rsidRPr="00CB58FC" w:rsidRDefault="003D6031" w:rsidP="0015390C">
      <w:pPr>
        <w:spacing w:before="120" w:after="120"/>
        <w:rPr>
          <w:rFonts w:eastAsia="Times New Roman"/>
          <w:lang w:val="fr-CH" w:eastAsia="en-GB"/>
        </w:rPr>
      </w:pPr>
      <w:r w:rsidRPr="00CB58FC">
        <w:rPr>
          <w:sz w:val="21"/>
          <w:szCs w:val="21"/>
          <w:shd w:val="clear" w:color="auto" w:fill="FFFFFF"/>
          <w:lang w:val="fr-CH"/>
        </w:rPr>
        <w:t>CISAC</w:t>
      </w:r>
      <w:r w:rsidRPr="00CB58FC">
        <w:rPr>
          <w:rStyle w:val="apple-converted-space"/>
          <w:sz w:val="21"/>
          <w:szCs w:val="21"/>
          <w:shd w:val="clear" w:color="auto" w:fill="FFFFFF"/>
          <w:lang w:val="fr-CH"/>
        </w:rPr>
        <w:t> </w:t>
      </w:r>
      <w:r w:rsidRPr="00CB58FC">
        <w:rPr>
          <w:sz w:val="21"/>
          <w:szCs w:val="21"/>
          <w:shd w:val="clear" w:color="auto" w:fill="FFFFFF"/>
          <w:lang w:val="fr-CH"/>
        </w:rPr>
        <w:t>(</w:t>
      </w:r>
      <w:r w:rsidRPr="00CB58FC">
        <w:rPr>
          <w:sz w:val="21"/>
          <w:szCs w:val="21"/>
          <w:lang w:val="fr-FR"/>
        </w:rPr>
        <w:t>Confédération Internationale des Sociétés d'Auteurs et Comp</w:t>
      </w:r>
      <w:r w:rsidRPr="00CB58FC">
        <w:rPr>
          <w:lang w:val="fr-FR"/>
        </w:rPr>
        <w:t xml:space="preserve">ositeurs/ </w:t>
      </w:r>
      <w:r w:rsidRPr="00CB58FC">
        <w:rPr>
          <w:lang w:val="fr-CH"/>
        </w:rPr>
        <w:t>International Confederation of Societies of Authors and Composers):</w:t>
      </w:r>
      <w:r w:rsidRPr="00CB58FC">
        <w:rPr>
          <w:rFonts w:eastAsia="Times New Roman"/>
          <w:lang w:val="fr-CH" w:eastAsia="en-GB"/>
        </w:rPr>
        <w:t> </w:t>
      </w:r>
      <w:hyperlink r:id="rId51" w:history="1">
        <w:r w:rsidRPr="00CB58FC">
          <w:rPr>
            <w:rStyle w:val="Hyperlink"/>
            <w:rFonts w:eastAsia="Times New Roman"/>
            <w:color w:val="auto"/>
            <w:lang w:val="fr-CH" w:eastAsia="en-GB"/>
          </w:rPr>
          <w:t>https://www.cisac.org</w:t>
        </w:r>
      </w:hyperlink>
      <w:r w:rsidRPr="00CB58FC">
        <w:rPr>
          <w:rFonts w:eastAsia="Times New Roman"/>
          <w:lang w:val="fr-CH" w:eastAsia="en-GB"/>
        </w:rPr>
        <w:t xml:space="preserve"> </w:t>
      </w:r>
    </w:p>
    <w:p w14:paraId="1E293843" w14:textId="08A6C3A0" w:rsidR="003D6031" w:rsidRPr="00AE5EBA" w:rsidRDefault="003D6031" w:rsidP="0015390C">
      <w:pPr>
        <w:spacing w:before="120" w:after="120"/>
        <w:rPr>
          <w:rFonts w:eastAsia="Times New Roman"/>
          <w:lang w:val="es-ES" w:eastAsia="en-GB"/>
        </w:rPr>
      </w:pPr>
      <w:r w:rsidRPr="00AE5EBA">
        <w:rPr>
          <w:rFonts w:eastAsia="Times New Roman"/>
          <w:lang w:val="es-ES" w:eastAsia="en-GB"/>
        </w:rPr>
        <w:t xml:space="preserve">EVA (European Visual Artists): </w:t>
      </w:r>
      <w:hyperlink r:id="rId52" w:history="1">
        <w:r w:rsidRPr="00AE5EBA">
          <w:rPr>
            <w:rStyle w:val="Hyperlink"/>
            <w:rFonts w:eastAsia="Times New Roman"/>
            <w:color w:val="auto"/>
            <w:lang w:val="es-ES" w:eastAsia="en-GB"/>
          </w:rPr>
          <w:t>https://www.evartists.org</w:t>
        </w:r>
      </w:hyperlink>
      <w:r w:rsidRPr="00AE5EBA">
        <w:rPr>
          <w:rFonts w:eastAsia="Times New Roman"/>
          <w:lang w:val="es-ES" w:eastAsia="en-GB"/>
        </w:rPr>
        <w:t xml:space="preserve"> </w:t>
      </w:r>
    </w:p>
    <w:bookmarkEnd w:id="12"/>
    <w:p w14:paraId="2E601F68" w14:textId="77777777" w:rsidR="003D6031" w:rsidRPr="00AE5EBA" w:rsidRDefault="003D6031" w:rsidP="003D6031">
      <w:pPr>
        <w:rPr>
          <w:lang w:val="es-ES"/>
        </w:rPr>
      </w:pPr>
    </w:p>
    <w:p w14:paraId="38A1B40B" w14:textId="77777777" w:rsidR="003D6031" w:rsidRPr="00AE5EBA" w:rsidRDefault="003D6031" w:rsidP="003D6031">
      <w:pPr>
        <w:rPr>
          <w:szCs w:val="22"/>
          <w:lang w:val="es-ES"/>
        </w:rPr>
      </w:pPr>
      <w:bookmarkStart w:id="13" w:name="_Hlk163143905"/>
    </w:p>
    <w:p w14:paraId="36FFB1FB" w14:textId="77777777" w:rsidR="0074698C" w:rsidRPr="00AE5EBA" w:rsidRDefault="0074698C" w:rsidP="003D6031">
      <w:pPr>
        <w:rPr>
          <w:szCs w:val="22"/>
          <w:lang w:val="es-ES"/>
        </w:rPr>
      </w:pPr>
    </w:p>
    <w:p w14:paraId="2E84ECFA" w14:textId="77777777" w:rsidR="003D6031" w:rsidRPr="00216972" w:rsidRDefault="003D6031" w:rsidP="003D6031">
      <w:pPr>
        <w:ind w:left="5400"/>
        <w:rPr>
          <w:szCs w:val="22"/>
        </w:rPr>
      </w:pPr>
      <w:r w:rsidRPr="00CB58FC">
        <w:rPr>
          <w:szCs w:val="22"/>
        </w:rPr>
        <w:t>[End of document]</w:t>
      </w:r>
    </w:p>
    <w:p w14:paraId="3C840AA3" w14:textId="77777777" w:rsidR="003D6031" w:rsidRDefault="003D6031" w:rsidP="003D6031">
      <w:pPr>
        <w:spacing w:after="220"/>
      </w:pPr>
    </w:p>
    <w:p w14:paraId="3098E48F" w14:textId="77777777" w:rsidR="003D6031" w:rsidRPr="0058575E" w:rsidRDefault="003D6031" w:rsidP="003D6031"/>
    <w:bookmarkEnd w:id="13"/>
    <w:p w14:paraId="2CAB2A78" w14:textId="77777777" w:rsidR="002928D3" w:rsidRDefault="002928D3" w:rsidP="003D352A">
      <w:pPr>
        <w:spacing w:after="220"/>
      </w:pPr>
    </w:p>
    <w:sectPr w:rsidR="002928D3" w:rsidSect="00132AC0">
      <w:headerReference w:type="even" r:id="rId53"/>
      <w:headerReference w:type="default" r:id="rId54"/>
      <w:footerReference w:type="even" r:id="rId55"/>
      <w:footerReference w:type="default" r:id="rId56"/>
      <w:headerReference w:type="first" r:id="rId57"/>
      <w:footerReference w:type="first" r:id="rId58"/>
      <w:endnotePr>
        <w:numFmt w:val="decimal"/>
      </w:endnotePr>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UTHERLAND Hannah" w:date="2026-04-16T14:16:00Z" w:initials="HS">
    <w:p w14:paraId="39F8EC91" w14:textId="77777777" w:rsidR="00244F42" w:rsidRDefault="00244F42" w:rsidP="00244F42">
      <w:pPr>
        <w:pStyle w:val="CommentText"/>
      </w:pPr>
      <w:r>
        <w:rPr>
          <w:rStyle w:val="CommentReference"/>
        </w:rPr>
        <w:annotationRef/>
      </w:r>
      <w:r>
        <w:t>I propose deleting the second space after the comma.</w:t>
      </w:r>
    </w:p>
  </w:comment>
  <w:comment w:id="7" w:author="LANGER Christina" w:date="2026-04-16T15:30:00Z" w:initials="CL">
    <w:p w14:paraId="25A7701C" w14:textId="77777777" w:rsidR="007F3796" w:rsidRDefault="007F3796" w:rsidP="007F3796">
      <w:pPr>
        <w:pStyle w:val="CommentText"/>
      </w:pPr>
      <w:r>
        <w:rPr>
          <w:rStyle w:val="CommentReference"/>
        </w:rPr>
        <w:annotationRef/>
      </w:r>
      <w:r>
        <w:t>Yes, please do. Thanks!</w:t>
      </w:r>
    </w:p>
  </w:comment>
  <w:comment w:id="8" w:author="SUTHERLAND Hannah" w:date="2026-04-16T14:15:00Z" w:initials="HS">
    <w:p w14:paraId="722A0073" w14:textId="27D68507" w:rsidR="00244F42" w:rsidRDefault="00244F42" w:rsidP="00244F42">
      <w:pPr>
        <w:pStyle w:val="CommentText"/>
      </w:pPr>
      <w:r>
        <w:rPr>
          <w:rStyle w:val="CommentReference"/>
        </w:rPr>
        <w:annotationRef/>
      </w:r>
      <w:r>
        <w:t>I suspect it was a glitch, but I propose deleting the second instance of “11” in the footnote, as I have done so below.</w:t>
      </w:r>
    </w:p>
  </w:comment>
  <w:comment w:id="9" w:author="LANGER Christina" w:date="2026-04-16T15:30:00Z" w:initials="CL">
    <w:p w14:paraId="5F097D4E" w14:textId="77777777" w:rsidR="007F3796" w:rsidRDefault="007F3796" w:rsidP="007F3796">
      <w:pPr>
        <w:pStyle w:val="CommentText"/>
      </w:pPr>
      <w:r>
        <w:rPr>
          <w:rStyle w:val="CommentReference"/>
        </w:rPr>
        <w:annotationRef/>
      </w:r>
      <w:r>
        <w:t>Yes, please do.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8EC91" w15:done="0"/>
  <w15:commentEx w15:paraId="25A7701C" w15:paraIdParent="39F8EC91" w15:done="0"/>
  <w15:commentEx w15:paraId="722A0073" w15:done="0"/>
  <w15:commentEx w15:paraId="5F097D4E" w15:paraIdParent="722A0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16A4F" w16cex:dateUtc="2026-04-16T12:16:00Z"/>
  <w16cex:commentExtensible w16cex:durableId="167FD09B" w16cex:dateUtc="2026-04-16T13:30:00Z"/>
  <w16cex:commentExtensible w16cex:durableId="77433260" w16cex:dateUtc="2026-04-16T12:15:00Z"/>
  <w16cex:commentExtensible w16cex:durableId="4BEA686F" w16cex:dateUtc="2026-04-16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8EC91" w16cid:durableId="58016A4F"/>
  <w16cid:commentId w16cid:paraId="25A7701C" w16cid:durableId="167FD09B"/>
  <w16cid:commentId w16cid:paraId="722A0073" w16cid:durableId="77433260"/>
  <w16cid:commentId w16cid:paraId="5F097D4E" w16cid:durableId="4BEA6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1B98" w14:textId="77777777" w:rsidR="0079795E" w:rsidRDefault="0079795E">
      <w:r>
        <w:separator/>
      </w:r>
    </w:p>
  </w:endnote>
  <w:endnote w:type="continuationSeparator" w:id="0">
    <w:p w14:paraId="490726AF" w14:textId="77777777" w:rsidR="0079795E" w:rsidRDefault="0079795E" w:rsidP="003B38C1">
      <w:r>
        <w:separator/>
      </w:r>
    </w:p>
    <w:p w14:paraId="3263D25B" w14:textId="77777777" w:rsidR="0079795E" w:rsidRPr="003B38C1" w:rsidRDefault="0079795E" w:rsidP="003B38C1">
      <w:pPr>
        <w:spacing w:after="60"/>
        <w:rPr>
          <w:sz w:val="17"/>
        </w:rPr>
      </w:pPr>
      <w:r>
        <w:rPr>
          <w:sz w:val="17"/>
        </w:rPr>
        <w:t>[Endnote continued from previous page]</w:t>
      </w:r>
    </w:p>
  </w:endnote>
  <w:endnote w:type="continuationNotice" w:id="1">
    <w:p w14:paraId="4E78A714" w14:textId="77777777" w:rsidR="0079795E" w:rsidRPr="003B38C1" w:rsidRDefault="007979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811" w14:textId="77777777" w:rsidR="0011738E" w:rsidRDefault="0011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DB19" w14:textId="77777777" w:rsidR="0011738E" w:rsidRDefault="00117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5A1E" w14:textId="77777777" w:rsidR="0011738E" w:rsidRDefault="0011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4270" w14:textId="77777777" w:rsidR="0079795E" w:rsidRDefault="0079795E">
      <w:r>
        <w:separator/>
      </w:r>
    </w:p>
  </w:footnote>
  <w:footnote w:type="continuationSeparator" w:id="0">
    <w:p w14:paraId="025D9FE3" w14:textId="77777777" w:rsidR="0079795E" w:rsidRDefault="0079795E" w:rsidP="008B60B2">
      <w:r>
        <w:separator/>
      </w:r>
    </w:p>
    <w:p w14:paraId="5CCB88E0" w14:textId="77777777" w:rsidR="0079795E" w:rsidRPr="00ED77FB" w:rsidRDefault="0079795E" w:rsidP="008B60B2">
      <w:pPr>
        <w:spacing w:after="60"/>
        <w:rPr>
          <w:sz w:val="17"/>
          <w:szCs w:val="17"/>
        </w:rPr>
      </w:pPr>
      <w:r w:rsidRPr="00ED77FB">
        <w:rPr>
          <w:sz w:val="17"/>
          <w:szCs w:val="17"/>
        </w:rPr>
        <w:t>[Footnote continued from previous page]</w:t>
      </w:r>
    </w:p>
  </w:footnote>
  <w:footnote w:type="continuationNotice" w:id="1">
    <w:p w14:paraId="795407C2" w14:textId="77777777" w:rsidR="0079795E" w:rsidRPr="00ED77FB" w:rsidRDefault="0079795E" w:rsidP="008B60B2">
      <w:pPr>
        <w:spacing w:before="60"/>
        <w:jc w:val="right"/>
        <w:rPr>
          <w:sz w:val="17"/>
          <w:szCs w:val="17"/>
        </w:rPr>
      </w:pPr>
      <w:r w:rsidRPr="00ED77FB">
        <w:rPr>
          <w:sz w:val="17"/>
          <w:szCs w:val="17"/>
        </w:rPr>
        <w:t>[Footnote continued on next page]</w:t>
      </w:r>
    </w:p>
  </w:footnote>
  <w:footnote w:id="2">
    <w:p w14:paraId="74851784"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In some jurisdictions, such as Australia, the term ‘collecting society' is used to indicate collective management organisations, but, for the purpose of this Toolkit and consistency with the general usage in other WIPO documentation, the term CMO is used throughout. </w:t>
      </w:r>
    </w:p>
  </w:footnote>
  <w:footnote w:id="3">
    <w:p w14:paraId="33ABA078" w14:textId="47EFA181" w:rsidR="006B08BE" w:rsidRPr="0015390C" w:rsidRDefault="006B08BE">
      <w:pPr>
        <w:pStyle w:val="FootnoteText"/>
        <w:rPr>
          <w:lang w:val="en-AU"/>
        </w:rPr>
      </w:pPr>
      <w:r>
        <w:rPr>
          <w:rStyle w:val="FootnoteReference"/>
        </w:rPr>
        <w:footnoteRef/>
      </w:r>
      <w:r>
        <w:t xml:space="preserve"> Further responses to follow-up inquiries were also received as this Part was being prepared and are recorded in footnotes at the appropriate place in the text below.</w:t>
      </w:r>
    </w:p>
  </w:footnote>
  <w:footnote w:id="4">
    <w:p w14:paraId="66BB8272" w14:textId="139224A6" w:rsidR="001A2165" w:rsidRPr="0015390C" w:rsidRDefault="001A2165" w:rsidP="0015390C">
      <w:pPr>
        <w:pStyle w:val="FootnoteText"/>
        <w:spacing w:before="120" w:after="120"/>
        <w:rPr>
          <w:lang w:val="en-AU"/>
        </w:rPr>
      </w:pPr>
      <w:r>
        <w:rPr>
          <w:rStyle w:val="FootnoteReference"/>
        </w:rPr>
        <w:footnoteRef/>
      </w:r>
      <w:r>
        <w:t xml:space="preserve"> </w:t>
      </w:r>
      <w:r>
        <w:rPr>
          <w:lang w:val="en-AU"/>
        </w:rPr>
        <w:t xml:space="preserve">See further Appendix 3 which includes CMOs from 33 Berne member countries, noting that the present membership of the Berne Union stands at 181 (as at </w:t>
      </w:r>
      <w:r w:rsidR="002373DE">
        <w:rPr>
          <w:lang w:val="en-AU"/>
        </w:rPr>
        <w:t xml:space="preserve">16 October 2024, see at </w:t>
      </w:r>
      <w:hyperlink r:id="rId1" w:history="1">
        <w:r w:rsidR="002373DE" w:rsidRPr="00220EC9">
          <w:rPr>
            <w:rStyle w:val="Hyperlink"/>
            <w:lang w:val="en-AU"/>
          </w:rPr>
          <w:t>https://www.wipo.int/export/sites/www/treaties/en/docs/pdf/berne.pdf</w:t>
        </w:r>
      </w:hyperlink>
      <w:r w:rsidR="002373DE">
        <w:rPr>
          <w:lang w:val="en-AU"/>
        </w:rPr>
        <w:t xml:space="preserve">), while there are now 193 members states of WIPO (as at 1 August 2023: see at </w:t>
      </w:r>
      <w:hyperlink r:id="rId2" w:history="1">
        <w:r w:rsidR="002373DE" w:rsidRPr="00220EC9">
          <w:rPr>
            <w:rStyle w:val="Hyperlink"/>
            <w:lang w:val="en-AU"/>
          </w:rPr>
          <w:t>https://www.wipo.int/export/sites/www/treaties/en/docs/pdf/wipo_convention.pdf</w:t>
        </w:r>
      </w:hyperlink>
      <w:r w:rsidR="002373DE">
        <w:rPr>
          <w:lang w:val="en-AU"/>
        </w:rPr>
        <w:t xml:space="preserve">)  </w:t>
      </w:r>
      <w:r>
        <w:rPr>
          <w:lang w:val="en-AU"/>
        </w:rPr>
        <w:t xml:space="preserve"> </w:t>
      </w:r>
    </w:p>
  </w:footnote>
  <w:footnote w:id="5">
    <w:p w14:paraId="179BF761" w14:textId="6B8AFC64" w:rsidR="002E0632" w:rsidRPr="0015390C" w:rsidRDefault="002E0632" w:rsidP="0015390C">
      <w:pPr>
        <w:pStyle w:val="FootnoteText"/>
        <w:spacing w:before="120" w:after="120"/>
        <w:jc w:val="both"/>
        <w:rPr>
          <w:lang w:val="en-AU"/>
        </w:rPr>
      </w:pPr>
      <w:r>
        <w:rPr>
          <w:rStyle w:val="FootnoteReference"/>
        </w:rPr>
        <w:footnoteRef/>
      </w:r>
      <w:r>
        <w:t xml:space="preserve"> </w:t>
      </w:r>
      <w:r>
        <w:rPr>
          <w:lang w:val="en-AU"/>
        </w:rPr>
        <w:t>‘Royalty’, rather the ‘remuneration’, seems the more appropriate term to use here to describe the author’s interest in subsequent sales of her work, so as to distinguish this from other provisions of Berne in which ‘remuneration’ is used in relation to rights to ‘equitable remuneration’ under articles 11</w:t>
      </w:r>
      <w:r w:rsidRPr="00B22A62">
        <w:rPr>
          <w:lang w:val="en-AU"/>
        </w:rPr>
        <w:t>bis</w:t>
      </w:r>
      <w:r>
        <w:rPr>
          <w:lang w:val="en-AU"/>
        </w:rPr>
        <w:t>(2) and 13(1). It may be noted that there is no requirement under article 14</w:t>
      </w:r>
      <w:r w:rsidRPr="0015390C">
        <w:rPr>
          <w:i/>
          <w:iCs/>
          <w:lang w:val="en-AU"/>
        </w:rPr>
        <w:t>ter</w:t>
      </w:r>
      <w:r>
        <w:rPr>
          <w:lang w:val="en-AU"/>
        </w:rPr>
        <w:t xml:space="preserve">(1) that any interest that is recognized </w:t>
      </w:r>
      <w:r w:rsidR="00B22A62">
        <w:rPr>
          <w:lang w:val="en-AU"/>
        </w:rPr>
        <w:t xml:space="preserve">should be </w:t>
      </w:r>
      <w:r>
        <w:rPr>
          <w:lang w:val="en-AU"/>
        </w:rPr>
        <w:t xml:space="preserve">‘equitable’ in character.  </w:t>
      </w:r>
    </w:p>
  </w:footnote>
  <w:footnote w:id="6">
    <w:p w14:paraId="30E40D6D" w14:textId="77777777" w:rsidR="003D6031" w:rsidRPr="00E53B80" w:rsidRDefault="003D6031" w:rsidP="0015390C">
      <w:pPr>
        <w:pStyle w:val="FootnoteText"/>
        <w:spacing w:before="120" w:after="120"/>
        <w:rPr>
          <w:rFonts w:eastAsiaTheme="minorHAnsi"/>
          <w:szCs w:val="18"/>
          <w14:ligatures w14:val="standardContextual"/>
        </w:rPr>
      </w:pPr>
      <w:r w:rsidRPr="00E53B80">
        <w:rPr>
          <w:rStyle w:val="FootnoteReference"/>
          <w:szCs w:val="18"/>
        </w:rPr>
        <w:footnoteRef/>
      </w:r>
      <w:r w:rsidRPr="00E53B80">
        <w:rPr>
          <w:szCs w:val="18"/>
        </w:rPr>
        <w:t xml:space="preserve"> </w:t>
      </w:r>
      <w:r w:rsidRPr="00E53B80">
        <w:rPr>
          <w:szCs w:val="18"/>
          <w:lang w:val="en-AU"/>
        </w:rPr>
        <w:t xml:space="preserve">WIPO </w:t>
      </w:r>
      <w:r w:rsidRPr="00E53B80">
        <w:rPr>
          <w:i/>
          <w:iCs/>
          <w:szCs w:val="18"/>
          <w:lang w:val="en-AU"/>
        </w:rPr>
        <w:t>Guide to the Copyright and Related Rights Treaties Administered by WIPO and Glossary of Copyright, and Related Rights Terms</w:t>
      </w:r>
      <w:r w:rsidRPr="00E53B80">
        <w:rPr>
          <w:szCs w:val="18"/>
          <w:lang w:val="en-AU"/>
        </w:rPr>
        <w:t xml:space="preserve">, EWIOPO Publication No 899(E), 2003, p 275. Available at: https://www.wipo.int/publications/en/details.jsp?id=4645&amp;plang=EN </w:t>
      </w:r>
    </w:p>
  </w:footnote>
  <w:footnote w:id="7">
    <w:p w14:paraId="53CB751A" w14:textId="6D666396" w:rsidR="0088203B" w:rsidRPr="0015390C" w:rsidRDefault="0088203B" w:rsidP="0015390C">
      <w:pPr>
        <w:pStyle w:val="FootnoteText"/>
        <w:spacing w:before="120" w:after="120"/>
        <w:rPr>
          <w:lang w:val="en-AU"/>
        </w:rPr>
      </w:pPr>
      <w:r>
        <w:rPr>
          <w:rStyle w:val="FootnoteReference"/>
        </w:rPr>
        <w:footnoteRef/>
      </w:r>
      <w:r>
        <w:t xml:space="preserve"> </w:t>
      </w:r>
      <w:r>
        <w:rPr>
          <w:lang w:val="en-AU"/>
        </w:rPr>
        <w:t xml:space="preserve">Meaning here the authors or, after their death, their successors in title as determined by national law.  </w:t>
      </w:r>
    </w:p>
  </w:footnote>
  <w:footnote w:id="8">
    <w:p w14:paraId="37E3ECC9" w14:textId="77777777" w:rsidR="003D6031" w:rsidRPr="00E53B80" w:rsidRDefault="003D6031" w:rsidP="0015390C">
      <w:pPr>
        <w:pStyle w:val="FootnoteText"/>
        <w:spacing w:before="120" w:after="120"/>
        <w:rPr>
          <w:i/>
          <w:iCs/>
          <w:szCs w:val="18"/>
          <w:lang w:val="en-AU"/>
        </w:rPr>
      </w:pPr>
      <w:r w:rsidRPr="00E53B80">
        <w:rPr>
          <w:rStyle w:val="FootnoteReference"/>
          <w:szCs w:val="18"/>
        </w:rPr>
        <w:footnoteRef/>
      </w:r>
      <w:r w:rsidRPr="00E53B80">
        <w:rPr>
          <w:szCs w:val="18"/>
        </w:rPr>
        <w:t xml:space="preserve"> </w:t>
      </w:r>
      <w:r w:rsidRPr="00E53B80">
        <w:rPr>
          <w:szCs w:val="18"/>
          <w:lang w:val="en-AU"/>
        </w:rPr>
        <w:t xml:space="preserve">For fuller descriptions of various forms of extended collective management that may be adopted, see further M Ficsor, </w:t>
      </w:r>
      <w:r w:rsidRPr="00E53B80">
        <w:rPr>
          <w:i/>
          <w:iCs/>
          <w:szCs w:val="18"/>
          <w:lang w:val="en-AU"/>
        </w:rPr>
        <w:t>Collective Management of Copyright and Related Rights</w:t>
      </w:r>
      <w:r w:rsidRPr="00E53B80">
        <w:rPr>
          <w:szCs w:val="18"/>
          <w:lang w:val="en-AU"/>
        </w:rPr>
        <w:t xml:space="preserve">, WIPO Publication No 855/22, Third ed 2022, Chap 5 (‘Voluntary, presumption-based, extended and mandatory collective management’). </w:t>
      </w:r>
      <w:r w:rsidRPr="00E53B80">
        <w:rPr>
          <w:i/>
          <w:iCs/>
          <w:szCs w:val="18"/>
          <w:lang w:val="en-AU"/>
        </w:rPr>
        <w:t xml:space="preserve"> </w:t>
      </w:r>
    </w:p>
  </w:footnote>
  <w:footnote w:id="9">
    <w:p w14:paraId="74DD3C17" w14:textId="3B119734" w:rsidR="00E7234F" w:rsidRPr="0015390C" w:rsidRDefault="00E7234F" w:rsidP="0015390C">
      <w:pPr>
        <w:pStyle w:val="FootnoteText"/>
        <w:spacing w:before="120" w:after="120"/>
        <w:jc w:val="both"/>
        <w:rPr>
          <w:lang w:val="en-AU"/>
        </w:rPr>
      </w:pPr>
      <w:r>
        <w:rPr>
          <w:rStyle w:val="FootnoteReference"/>
        </w:rPr>
        <w:footnoteRef/>
      </w:r>
      <w:r>
        <w:t xml:space="preserve"> </w:t>
      </w:r>
      <w:r w:rsidR="00653DFD">
        <w:t>In France, where both individual and collective management are allowed, the principal CMO (AGADP) nonetheless represent</w:t>
      </w:r>
      <w:r w:rsidR="005410FA">
        <w:t>s</w:t>
      </w:r>
      <w:r w:rsidR="00653DFD">
        <w:t xml:space="preserve"> most artists but will provide information on eligible resales to non-ADAGP members. It appears that few artists actually o</w:t>
      </w:r>
      <w:r w:rsidR="00A5081E">
        <w:t>p</w:t>
      </w:r>
      <w:r w:rsidR="00653DFD">
        <w:t xml:space="preserve">t to collect ARR themselves: see further Table 19, column 3.  </w:t>
      </w:r>
      <w:r>
        <w:t xml:space="preserve">The author has not </w:t>
      </w:r>
      <w:r w:rsidR="00653DFD">
        <w:t xml:space="preserve">otherwise </w:t>
      </w:r>
      <w:r>
        <w:t xml:space="preserve">obtained </w:t>
      </w:r>
      <w:r>
        <w:rPr>
          <w:lang w:val="en-AU"/>
        </w:rPr>
        <w:t xml:space="preserve">evidence on individual enforcement of ARR in countries where there is no provision for collective management and the only recourse for right holders is to enforce the right themselves. </w:t>
      </w:r>
      <w:r w:rsidR="004E030D">
        <w:rPr>
          <w:lang w:val="en-AU"/>
        </w:rPr>
        <w:t xml:space="preserve">Practical barriers to individual enforcement will include the identification of eligible resales and identification of the relevant party from whom to collect ARR. Thus, in Australia, this made a collective management solution attractive </w:t>
      </w:r>
      <w:r w:rsidR="00653DFD">
        <w:rPr>
          <w:lang w:val="en-AU"/>
        </w:rPr>
        <w:t>for</w:t>
      </w:r>
      <w:r w:rsidR="004E030D">
        <w:rPr>
          <w:lang w:val="en-AU"/>
        </w:rPr>
        <w:t xml:space="preserve"> some groups of artists, particularly those in remote indigenous communities. However, </w:t>
      </w:r>
      <w:r>
        <w:rPr>
          <w:lang w:val="en-AU"/>
        </w:rPr>
        <w:t>under the Australian legislation there is provision for right holders to</w:t>
      </w:r>
      <w:r w:rsidR="002D0063">
        <w:rPr>
          <w:lang w:val="en-AU"/>
        </w:rPr>
        <w:t xml:space="preserve"> notify </w:t>
      </w:r>
      <w:r w:rsidR="004E030D">
        <w:rPr>
          <w:lang w:val="en-AU"/>
        </w:rPr>
        <w:t xml:space="preserve">the </w:t>
      </w:r>
      <w:r w:rsidR="002D0063">
        <w:rPr>
          <w:lang w:val="en-AU"/>
        </w:rPr>
        <w:t>Copyright Agency</w:t>
      </w:r>
      <w:r w:rsidR="004E030D">
        <w:rPr>
          <w:lang w:val="en-AU"/>
        </w:rPr>
        <w:t xml:space="preserve"> (CA)</w:t>
      </w:r>
      <w:r w:rsidR="002D0063">
        <w:rPr>
          <w:lang w:val="en-AU"/>
        </w:rPr>
        <w:t xml:space="preserve">, the relevant CMO, that CA is not to collect ARR on a specific resale, allowing the right holder to do so him- or herself. This only applies to specific resales that are reported by CA and cannot be given generally for future resales that occur: see </w:t>
      </w:r>
      <w:r w:rsidR="002D0063" w:rsidRPr="0015390C">
        <w:rPr>
          <w:rFonts w:eastAsia="Times New Roman"/>
          <w:color w:val="000000"/>
          <w:szCs w:val="18"/>
          <w:lang w:val="en-GB" w:eastAsia="fr-CH"/>
        </w:rPr>
        <w:t>Resale Royalty Right for Visual Artists Act 2009</w:t>
      </w:r>
      <w:r w:rsidR="004E030D">
        <w:rPr>
          <w:rFonts w:eastAsia="Times New Roman"/>
          <w:color w:val="000000"/>
          <w:szCs w:val="18"/>
          <w:lang w:val="en-GB" w:eastAsia="fr-CH"/>
        </w:rPr>
        <w:t>, s 23(1).</w:t>
      </w:r>
      <w:r w:rsidR="002D0063" w:rsidRPr="002D0063">
        <w:rPr>
          <w:rFonts w:ascii="Times New Roman" w:eastAsia="Times New Roman" w:hAnsi="Times New Roman" w:cs="Times New Roman"/>
          <w:b/>
          <w:bCs/>
          <w:color w:val="000000"/>
          <w:sz w:val="40"/>
          <w:szCs w:val="40"/>
          <w:lang w:val="en-GB" w:eastAsia="fr-CH"/>
        </w:rPr>
        <w:t xml:space="preserve"> </w:t>
      </w:r>
      <w:r w:rsidR="002D0063">
        <w:rPr>
          <w:lang w:val="en-AU"/>
        </w:rPr>
        <w:t xml:space="preserve">  </w:t>
      </w:r>
      <w:r>
        <w:rPr>
          <w:lang w:val="en-AU"/>
        </w:rPr>
        <w:t xml:space="preserve">   </w:t>
      </w:r>
    </w:p>
  </w:footnote>
  <w:footnote w:id="10">
    <w:p w14:paraId="436DFDE1" w14:textId="1D5797CE" w:rsidR="0002233E" w:rsidRPr="0015390C" w:rsidRDefault="0002233E" w:rsidP="0015390C">
      <w:pPr>
        <w:pStyle w:val="FootnoteText"/>
        <w:spacing w:before="120" w:after="120"/>
        <w:rPr>
          <w:lang w:val="en-AU"/>
        </w:rPr>
      </w:pPr>
      <w:r>
        <w:rPr>
          <w:rStyle w:val="FootnoteReference"/>
        </w:rPr>
        <w:footnoteRef/>
      </w:r>
      <w:r>
        <w:t xml:space="preserve"> </w:t>
      </w:r>
      <w:r>
        <w:rPr>
          <w:lang w:val="en-AU"/>
        </w:rPr>
        <w:t>National laws differ widely here, and must also have regard to the relevant provisions of the Berne Convention, for example, articles 9(3), 11</w:t>
      </w:r>
      <w:r w:rsidRPr="0015390C">
        <w:rPr>
          <w:i/>
          <w:iCs/>
          <w:lang w:val="en-AU"/>
        </w:rPr>
        <w:t>bis</w:t>
      </w:r>
      <w:r>
        <w:rPr>
          <w:lang w:val="en-AU"/>
        </w:rPr>
        <w:t xml:space="preserve">(2) and 13(2), and the WCT. The simple point, however, is that ARR attaches to a specific transaction and ceases to be of relevance until the next resale of that work occurs. </w:t>
      </w:r>
    </w:p>
  </w:footnote>
  <w:footnote w:id="11">
    <w:p w14:paraId="744DF45B" w14:textId="2CE26D13" w:rsidR="0002233E" w:rsidRPr="0015390C" w:rsidRDefault="0002233E" w:rsidP="0015390C">
      <w:pPr>
        <w:pStyle w:val="FootnoteText"/>
        <w:spacing w:before="120" w:after="120"/>
        <w:jc w:val="both"/>
        <w:rPr>
          <w:lang w:val="en-AU"/>
        </w:rPr>
      </w:pPr>
      <w:r>
        <w:rPr>
          <w:rStyle w:val="FootnoteReference"/>
        </w:rPr>
        <w:footnoteRef/>
      </w:r>
      <w:r>
        <w:t xml:space="preserve"> </w:t>
      </w:r>
      <w:r w:rsidR="00201C86">
        <w:rPr>
          <w:lang w:val="en-AU"/>
        </w:rPr>
        <w:t xml:space="preserve">This has been the case in Australia where there is an important market for indigenous artists who often live in remote communities. There has been strong support among these groups for ARR and for collective management of the right by CA. In the latest figures provided by CA, $15 million had been collected in ARR between 2010 and 2024, and 65% were Aboriginal and Torres Strait Islander artists who received 41% of the royalties: see further </w:t>
      </w:r>
      <w:hyperlink r:id="rId3" w:history="1">
        <w:r w:rsidR="00201C86" w:rsidRPr="00220EC9">
          <w:rPr>
            <w:rStyle w:val="Hyperlink"/>
            <w:lang w:val="en-AU"/>
          </w:rPr>
          <w:t>https://www.copyright.com.au/2024/08/the-resale-royalty-right-for-visual-artists-2010-to-2024/</w:t>
        </w:r>
      </w:hyperlink>
      <w:r w:rsidR="00DA0AE6">
        <w:rPr>
          <w:lang w:val="en-AU"/>
        </w:rPr>
        <w:t>.</w:t>
      </w:r>
    </w:p>
  </w:footnote>
  <w:footnote w:id="12">
    <w:p w14:paraId="3DFF9ADC" w14:textId="7CFFE6EB" w:rsidR="003D6031" w:rsidRPr="00E53B80" w:rsidRDefault="003D6031" w:rsidP="0015390C">
      <w:pPr>
        <w:pStyle w:val="FootnoteText"/>
        <w:spacing w:before="120" w:after="120"/>
        <w:rPr>
          <w:szCs w:val="18"/>
        </w:rPr>
      </w:pPr>
      <w:r w:rsidRPr="00E53B80">
        <w:rPr>
          <w:rStyle w:val="FootnoteReference"/>
          <w:szCs w:val="18"/>
        </w:rPr>
        <w:footnoteRef/>
      </w:r>
      <w:r w:rsidRPr="00E53B80">
        <w:rPr>
          <w:szCs w:val="18"/>
        </w:rPr>
        <w:t>See</w:t>
      </w:r>
      <w:r>
        <w:rPr>
          <w:szCs w:val="18"/>
        </w:rPr>
        <w:t xml:space="preserve"> here </w:t>
      </w:r>
      <w:r w:rsidRPr="00E53B80">
        <w:rPr>
          <w:rFonts w:eastAsiaTheme="minorEastAsia"/>
          <w:color w:val="19161B"/>
          <w:szCs w:val="18"/>
          <w14:ligatures w14:val="standardContextual"/>
        </w:rPr>
        <w:t xml:space="preserve">DIRECTIVE 2014/26/EU OF THE EUROPEAN PARLIAMENT AND OF THE COUNCIL </w:t>
      </w:r>
      <w:r>
        <w:rPr>
          <w:rFonts w:eastAsiaTheme="minorEastAsia"/>
          <w:color w:val="19161B"/>
          <w:szCs w:val="18"/>
          <w14:ligatures w14:val="standardContextual"/>
        </w:rPr>
        <w:t>of</w:t>
      </w:r>
      <w:r w:rsidRPr="00E53B80">
        <w:rPr>
          <w:rFonts w:eastAsiaTheme="minorEastAsia"/>
          <w:color w:val="19161B"/>
          <w:szCs w:val="18"/>
          <w14:ligatures w14:val="standardContextual"/>
        </w:rPr>
        <w:t xml:space="preserve"> 26 February 2014 on collective management of copyright and related rights and multi-territorial licensing of rights in musical works for online use in the internal market</w:t>
      </w:r>
      <w:r>
        <w:rPr>
          <w:rFonts w:eastAsiaTheme="minorEastAsia"/>
          <w:color w:val="19161B"/>
          <w:szCs w:val="18"/>
          <w14:ligatures w14:val="standardContextual"/>
        </w:rPr>
        <w:t>.</w:t>
      </w:r>
    </w:p>
  </w:footnote>
  <w:footnote w:id="13">
    <w:p w14:paraId="39E8058A" w14:textId="40FF3327" w:rsidR="00AB2BB9" w:rsidRPr="0015390C" w:rsidRDefault="00AB2BB9" w:rsidP="0015390C">
      <w:pPr>
        <w:pStyle w:val="FootnoteText"/>
        <w:spacing w:before="120" w:after="120"/>
        <w:jc w:val="both"/>
        <w:rPr>
          <w:lang w:val="en-AU"/>
        </w:rPr>
      </w:pPr>
      <w:r>
        <w:rPr>
          <w:rStyle w:val="FootnoteReference"/>
        </w:rPr>
        <w:footnoteRef/>
      </w:r>
      <w:r>
        <w:t xml:space="preserve"> </w:t>
      </w:r>
      <w:r>
        <w:rPr>
          <w:lang w:val="en-AU"/>
        </w:rPr>
        <w:t>In the UK, there i</w:t>
      </w:r>
      <w:r w:rsidRPr="00424B98">
        <w:rPr>
          <w:szCs w:val="18"/>
          <w:lang w:val="en-AU"/>
        </w:rPr>
        <w:t xml:space="preserve">s a </w:t>
      </w:r>
      <w:r w:rsidR="00424B98" w:rsidRPr="00424B98">
        <w:rPr>
          <w:szCs w:val="18"/>
          <w:lang w:val="en-AU"/>
        </w:rPr>
        <w:t xml:space="preserve">general </w:t>
      </w:r>
      <w:r w:rsidRPr="00424B98">
        <w:rPr>
          <w:szCs w:val="18"/>
          <w:lang w:val="en-AU"/>
        </w:rPr>
        <w:t>requirement under the</w:t>
      </w:r>
      <w:r w:rsidR="00424B98" w:rsidRPr="00424B98">
        <w:rPr>
          <w:szCs w:val="18"/>
          <w:lang w:val="en-AU"/>
        </w:rPr>
        <w:t xml:space="preserve"> CMO Regulations that deductions for cost should </w:t>
      </w:r>
      <w:r w:rsidR="000642B5" w:rsidRPr="00424B98">
        <w:rPr>
          <w:szCs w:val="18"/>
          <w:lang w:val="en-AU"/>
        </w:rPr>
        <w:t>be</w:t>
      </w:r>
      <w:r w:rsidR="00424B98" w:rsidRPr="00424B98">
        <w:rPr>
          <w:szCs w:val="18"/>
          <w:lang w:val="en-AU"/>
        </w:rPr>
        <w:t xml:space="preserve"> ‘reasonable’ and, in practice, the two CMOs, DACS and ACS, limit these to 15%: </w:t>
      </w:r>
      <w:r w:rsidR="00424B98" w:rsidRPr="0015390C">
        <w:rPr>
          <w:szCs w:val="18"/>
        </w:rPr>
        <w:t>information provided by DACS and, as to ASC, s</w:t>
      </w:r>
      <w:r w:rsidR="00424B98" w:rsidRPr="00AE5EBA">
        <w:rPr>
          <w:szCs w:val="18"/>
        </w:rPr>
        <w:t>ee</w:t>
      </w:r>
      <w:r w:rsidR="00424B98">
        <w:rPr>
          <w:sz w:val="20"/>
        </w:rPr>
        <w:t xml:space="preserve">  </w:t>
      </w:r>
      <w:hyperlink r:id="rId4" w:history="1">
        <w:r w:rsidR="00424B98" w:rsidRPr="00220EC9">
          <w:rPr>
            <w:rStyle w:val="Hyperlink"/>
            <w:lang w:val="en-AU"/>
          </w:rPr>
          <w:t>https://artistscollectingsociety.org/faq/</w:t>
        </w:r>
      </w:hyperlink>
      <w:r w:rsidR="00424B98">
        <w:rPr>
          <w:lang w:val="en-AU"/>
        </w:rPr>
        <w:t xml:space="preserve"> See </w:t>
      </w:r>
      <w:r w:rsidR="00424B98" w:rsidRPr="005410FA">
        <w:rPr>
          <w:lang w:val="en-AU"/>
        </w:rPr>
        <w:t>further</w:t>
      </w:r>
      <w:r w:rsidR="00653DFD" w:rsidRPr="005410FA">
        <w:rPr>
          <w:lang w:val="en-AU"/>
        </w:rPr>
        <w:t xml:space="preserve"> Table 27</w:t>
      </w:r>
      <w:r w:rsidR="00424B98" w:rsidRPr="005410FA">
        <w:rPr>
          <w:lang w:val="en-AU"/>
        </w:rPr>
        <w:t xml:space="preserve"> below.</w:t>
      </w:r>
    </w:p>
  </w:footnote>
  <w:footnote w:id="14">
    <w:p w14:paraId="11E4BA79"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See, for example, article 38, Brazil, Law No. 9610 of February 19, 1998, on Copyright and Related Rights.  </w:t>
      </w:r>
    </w:p>
  </w:footnote>
  <w:footnote w:id="15">
    <w:p w14:paraId="11CF3919" w14:textId="4C88F9C7" w:rsidR="00430876" w:rsidRPr="0015390C" w:rsidRDefault="00430876">
      <w:pPr>
        <w:pStyle w:val="FootnoteText"/>
        <w:rPr>
          <w:lang w:val="en-AU"/>
        </w:rPr>
      </w:pPr>
      <w:r>
        <w:rPr>
          <w:rStyle w:val="FootnoteReference"/>
        </w:rPr>
        <w:footnoteRef/>
      </w:r>
      <w:r>
        <w:t xml:space="preserve"> </w:t>
      </w:r>
      <w:r>
        <w:rPr>
          <w:lang w:val="en-AU"/>
        </w:rPr>
        <w:t xml:space="preserve"> </w:t>
      </w:r>
      <w:r w:rsidRPr="0015390C">
        <w:rPr>
          <w:szCs w:val="18"/>
        </w:rPr>
        <w:t>Swedish Copyright Law, 1960, art 26</w:t>
      </w:r>
      <w:r w:rsidRPr="00430876">
        <w:rPr>
          <w:szCs w:val="18"/>
        </w:rPr>
        <w:t>p.</w:t>
      </w:r>
    </w:p>
  </w:footnote>
  <w:footnote w:id="16">
    <w:p w14:paraId="0ED2718D"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UK, Artists Resale Right Regulation, </w:t>
      </w:r>
      <w:r>
        <w:rPr>
          <w:rFonts w:ascii="Arial" w:hAnsi="Arial" w:cs="Arial"/>
          <w:sz w:val="18"/>
          <w:szCs w:val="18"/>
        </w:rPr>
        <w:t>reg</w:t>
      </w:r>
      <w:r w:rsidRPr="00AB74D2">
        <w:rPr>
          <w:rFonts w:ascii="Arial" w:hAnsi="Arial" w:cs="Arial"/>
          <w:sz w:val="18"/>
          <w:szCs w:val="18"/>
        </w:rPr>
        <w:t xml:space="preserve"> 14.</w:t>
      </w:r>
    </w:p>
  </w:footnote>
  <w:footnote w:id="17">
    <w:p w14:paraId="3A5AED8A"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Following section 23, Resale Royalty</w:t>
      </w:r>
      <w:r>
        <w:rPr>
          <w:rFonts w:ascii="Arial" w:hAnsi="Arial" w:cs="Arial"/>
          <w:sz w:val="18"/>
          <w:szCs w:val="18"/>
        </w:rPr>
        <w:t xml:space="preserve"> Right for Visual Artists </w:t>
      </w:r>
      <w:r w:rsidRPr="00AB74D2">
        <w:rPr>
          <w:rFonts w:ascii="Arial" w:hAnsi="Arial" w:cs="Arial"/>
          <w:sz w:val="18"/>
          <w:szCs w:val="18"/>
        </w:rPr>
        <w:t>Act 2009</w:t>
      </w:r>
      <w:r>
        <w:rPr>
          <w:rFonts w:ascii="Arial" w:hAnsi="Arial" w:cs="Arial"/>
          <w:sz w:val="18"/>
          <w:szCs w:val="18"/>
        </w:rPr>
        <w:t xml:space="preserve"> (Australia)</w:t>
      </w:r>
      <w:r w:rsidRPr="00AB74D2">
        <w:rPr>
          <w:rFonts w:ascii="Arial" w:hAnsi="Arial" w:cs="Arial"/>
          <w:sz w:val="18"/>
          <w:szCs w:val="18"/>
        </w:rPr>
        <w:t xml:space="preserve">. Other provisions of the Act provide for the appointment of the collecting society and oblige the collecting society to publish on its website details of commercial resales of artworks of which it becomes aware. The society is given further powers of collection and enforcement of ARR.  </w:t>
      </w:r>
    </w:p>
  </w:footnote>
  <w:footnote w:id="18">
    <w:p w14:paraId="4D578D44" w14:textId="30F1887B" w:rsidR="003D6031" w:rsidRPr="00E53B80" w:rsidRDefault="003D6031" w:rsidP="0015390C">
      <w:pPr>
        <w:pStyle w:val="FootnoteText"/>
        <w:spacing w:before="120" w:after="120"/>
        <w:rPr>
          <w:szCs w:val="18"/>
          <w:lang w:val="en-AU"/>
        </w:rPr>
      </w:pPr>
      <w:r>
        <w:rPr>
          <w:rStyle w:val="FootnoteReference"/>
        </w:rPr>
        <w:footnoteRef/>
      </w:r>
      <w:r>
        <w:t xml:space="preserve"> </w:t>
      </w:r>
      <w:r>
        <w:rPr>
          <w:szCs w:val="18"/>
          <w:lang w:val="en-AU"/>
        </w:rPr>
        <w:t>France, Intellectual Property Code, art</w:t>
      </w:r>
      <w:r w:rsidR="008D34BA">
        <w:rPr>
          <w:szCs w:val="18"/>
          <w:lang w:val="en-AU"/>
        </w:rPr>
        <w:t>icle</w:t>
      </w:r>
      <w:r>
        <w:rPr>
          <w:szCs w:val="18"/>
          <w:lang w:val="en-AU"/>
        </w:rPr>
        <w:t xml:space="preserve"> L 122-8 al 4.</w:t>
      </w:r>
    </w:p>
  </w:footnote>
  <w:footnote w:id="19">
    <w:p w14:paraId="0BAB4AAC" w14:textId="1CE607E4" w:rsidR="008D34BA" w:rsidRPr="0015390C" w:rsidRDefault="008D34BA">
      <w:pPr>
        <w:pStyle w:val="FootnoteText"/>
        <w:rPr>
          <w:lang w:val="en-AU"/>
        </w:rPr>
      </w:pPr>
      <w:r>
        <w:rPr>
          <w:rStyle w:val="FootnoteReference"/>
        </w:rPr>
        <w:footnoteRef/>
      </w:r>
      <w:r>
        <w:t xml:space="preserve"> </w:t>
      </w:r>
      <w:r>
        <w:rPr>
          <w:lang w:val="en-AU"/>
        </w:rPr>
        <w:t>France, Intellectual Property Code, article R122-7.</w:t>
      </w:r>
    </w:p>
  </w:footnote>
  <w:footnote w:id="20">
    <w:p w14:paraId="5BA4F589" w14:textId="71EE9562" w:rsidR="00B56815" w:rsidRPr="0015390C" w:rsidRDefault="00B56815" w:rsidP="0015390C">
      <w:pPr>
        <w:pStyle w:val="FootnoteText"/>
        <w:spacing w:before="120" w:after="120"/>
        <w:rPr>
          <w:lang w:val="en-AU"/>
        </w:rPr>
      </w:pPr>
      <w:r>
        <w:rPr>
          <w:rStyle w:val="FootnoteReference"/>
        </w:rPr>
        <w:footnoteRef/>
      </w:r>
      <w:r>
        <w:t xml:space="preserve"> </w:t>
      </w:r>
      <w:r>
        <w:rPr>
          <w:lang w:val="en-AU"/>
        </w:rPr>
        <w:t>Information provided by AGADP in communications to the author.</w:t>
      </w:r>
    </w:p>
  </w:footnote>
  <w:footnote w:id="21">
    <w:p w14:paraId="32D34425" w14:textId="574D336D"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the Algerian </w:t>
      </w:r>
      <w:r w:rsidRPr="00E53B80">
        <w:rPr>
          <w:rFonts w:eastAsiaTheme="minorEastAsia"/>
          <w:color w:val="000000"/>
          <w:szCs w:val="18"/>
          <w14:ligatures w14:val="standardContextual"/>
        </w:rPr>
        <w:t xml:space="preserve">Executive Decree number 05-358 of 21 </w:t>
      </w:r>
      <w:r w:rsidR="005D1989">
        <w:rPr>
          <w:rFonts w:eastAsiaTheme="minorEastAsia"/>
          <w:color w:val="000000"/>
          <w:szCs w:val="18"/>
          <w14:ligatures w14:val="standardContextual"/>
        </w:rPr>
        <w:t>September</w:t>
      </w:r>
      <w:r w:rsidRPr="00E53B80">
        <w:rPr>
          <w:rFonts w:eastAsiaTheme="minorEastAsia"/>
          <w:color w:val="000000"/>
          <w:szCs w:val="18"/>
          <w14:ligatures w14:val="standardContextual"/>
        </w:rPr>
        <w:t xml:space="preserve"> 2005 (article 5)</w:t>
      </w:r>
    </w:p>
  </w:footnote>
  <w:footnote w:id="22">
    <w:p w14:paraId="0A79D293" w14:textId="24BF9415" w:rsidR="00A84F73" w:rsidRPr="0015390C" w:rsidRDefault="00A84F73">
      <w:pPr>
        <w:pStyle w:val="FootnoteText"/>
        <w:rPr>
          <w:lang w:val="en-AU"/>
        </w:rPr>
      </w:pPr>
      <w:r>
        <w:rPr>
          <w:rStyle w:val="FootnoteReference"/>
        </w:rPr>
        <w:footnoteRef/>
      </w:r>
      <w:r>
        <w:t xml:space="preserve"> </w:t>
      </w:r>
      <w:r w:rsidRPr="0058575E">
        <w:rPr>
          <w:i/>
          <w:iCs/>
        </w:rPr>
        <w:t>,</w:t>
      </w:r>
      <w:r w:rsidRPr="0058575E">
        <w:t xml:space="preserve"> WIPO Pub 855-22-en, 2022.</w:t>
      </w:r>
    </w:p>
  </w:footnote>
  <w:footnote w:id="23">
    <w:p w14:paraId="6DE9FC21" w14:textId="528D76A0"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Further useful guidance on the establishment, promotion, operation, and governance of CMOs in the area of related or related rights is to be found in WIPO, </w:t>
      </w:r>
      <w:r w:rsidRPr="00E53B80">
        <w:rPr>
          <w:i/>
          <w:iCs/>
          <w:szCs w:val="18"/>
          <w:lang w:val="en-AU"/>
        </w:rPr>
        <w:t>Collective Management organizations – Toolkit: Related Rights</w:t>
      </w:r>
      <w:r w:rsidRPr="00E53B80">
        <w:rPr>
          <w:szCs w:val="18"/>
          <w:lang w:val="en-AU"/>
        </w:rPr>
        <w:t>, Rober</w:t>
      </w:r>
      <w:r w:rsidR="005B642D">
        <w:rPr>
          <w:szCs w:val="18"/>
          <w:lang w:val="en-AU"/>
        </w:rPr>
        <w:t>t</w:t>
      </w:r>
      <w:r w:rsidRPr="00E53B80">
        <w:rPr>
          <w:szCs w:val="18"/>
          <w:lang w:val="en-AU"/>
        </w:rPr>
        <w:t xml:space="preserve"> Hooijer and J Joel Baloyi, Feb 2016. </w:t>
      </w:r>
    </w:p>
  </w:footnote>
  <w:footnote w:id="24">
    <w:p w14:paraId="4DDDECBC" w14:textId="73A89790" w:rsidR="0091214E" w:rsidRPr="0015390C" w:rsidRDefault="0091214E" w:rsidP="0015390C">
      <w:pPr>
        <w:pStyle w:val="FootnoteText"/>
        <w:spacing w:before="120" w:after="120"/>
        <w:rPr>
          <w:lang w:val="en-AU"/>
        </w:rPr>
      </w:pPr>
      <w:r>
        <w:rPr>
          <w:rStyle w:val="FootnoteReference"/>
        </w:rPr>
        <w:footnoteRef/>
      </w:r>
      <w:r>
        <w:t xml:space="preserve"> </w:t>
      </w:r>
      <w:r w:rsidRPr="0015390C">
        <w:t>CMO Toolkit</w:t>
      </w:r>
      <w:r w:rsidRPr="0058575E">
        <w:t>, at par 1.1.2.1,</w:t>
      </w:r>
    </w:p>
  </w:footnote>
  <w:footnote w:id="25">
    <w:p w14:paraId="447A8323"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In France, ADAGP is a civil society governed by dispositions of general French law (articles 1832 and subsequent, 1845 and subsequent of the Civil Code, but subject also to the specific provisions of the Intellectual Property Code (arts L.321-1 and subsequent).</w:t>
      </w:r>
    </w:p>
  </w:footnote>
  <w:footnote w:id="26">
    <w:p w14:paraId="5EC8EE3A" w14:textId="23DCA4E3" w:rsidR="00441858" w:rsidRPr="0015390C" w:rsidRDefault="00441858" w:rsidP="0015390C">
      <w:pPr>
        <w:pStyle w:val="FootnoteText"/>
        <w:spacing w:before="120" w:after="120"/>
        <w:rPr>
          <w:lang w:val="en-AU"/>
        </w:rPr>
      </w:pPr>
      <w:r>
        <w:rPr>
          <w:rStyle w:val="FootnoteReference"/>
        </w:rPr>
        <w:footnoteRef/>
      </w:r>
      <w:r>
        <w:t xml:space="preserve"> </w:t>
      </w:r>
      <w:r>
        <w:rPr>
          <w:lang w:val="en-AU"/>
        </w:rPr>
        <w:t xml:space="preserve">In terms of regular reporting to members of their operations. </w:t>
      </w:r>
    </w:p>
  </w:footnote>
  <w:footnote w:id="27">
    <w:p w14:paraId="2B05A703" w14:textId="152737D9" w:rsidR="003D6031" w:rsidRPr="00E53B80" w:rsidRDefault="003D6031" w:rsidP="0015390C">
      <w:pPr>
        <w:pStyle w:val="FootnoteText"/>
        <w:spacing w:before="120" w:after="120"/>
        <w:jc w:val="both"/>
        <w:rPr>
          <w:szCs w:val="18"/>
          <w:lang w:val="en-AU"/>
        </w:rPr>
      </w:pPr>
      <w:r w:rsidRPr="0036145D">
        <w:rPr>
          <w:rStyle w:val="FootnoteReference"/>
          <w:szCs w:val="18"/>
        </w:rPr>
        <w:footnoteRef/>
      </w:r>
      <w:r w:rsidRPr="0036145D">
        <w:rPr>
          <w:szCs w:val="18"/>
        </w:rPr>
        <w:t xml:space="preserve"> </w:t>
      </w:r>
      <w:r w:rsidRPr="0036145D">
        <w:rPr>
          <w:szCs w:val="18"/>
          <w:lang w:val="en-AU"/>
        </w:rPr>
        <w:t xml:space="preserve">The CMO here is GESTOR; other rights relating to the visual arts in the </w:t>
      </w:r>
      <w:r w:rsidR="005B642D" w:rsidRPr="0036145D">
        <w:rPr>
          <w:szCs w:val="18"/>
          <w:lang w:val="en-AU"/>
        </w:rPr>
        <w:t>Czech</w:t>
      </w:r>
      <w:r w:rsidRPr="0036145D">
        <w:rPr>
          <w:szCs w:val="18"/>
          <w:lang w:val="en-AU"/>
        </w:rPr>
        <w:t xml:space="preserve"> Republic are administered by OOAS. It appears previously that there was a single CMO administering ARR in the Russian Federation (UPRAVIS).</w:t>
      </w:r>
      <w:r>
        <w:rPr>
          <w:szCs w:val="18"/>
          <w:lang w:val="en-AU"/>
        </w:rPr>
        <w:t xml:space="preserve"> </w:t>
      </w:r>
    </w:p>
  </w:footnote>
  <w:footnote w:id="28">
    <w:p w14:paraId="24C4DE00" w14:textId="34723D19" w:rsidR="00C260A6" w:rsidRPr="0015390C" w:rsidRDefault="00C260A6" w:rsidP="0015390C">
      <w:pPr>
        <w:pStyle w:val="FootnoteText"/>
        <w:spacing w:before="120" w:after="120"/>
        <w:jc w:val="both"/>
        <w:rPr>
          <w:lang w:val="en-AU"/>
        </w:rPr>
      </w:pPr>
      <w:r>
        <w:rPr>
          <w:rStyle w:val="FootnoteReference"/>
        </w:rPr>
        <w:footnoteRef/>
      </w:r>
      <w:r>
        <w:t xml:space="preserve"> </w:t>
      </w:r>
      <w:r>
        <w:rPr>
          <w:lang w:val="en-AU"/>
        </w:rPr>
        <w:t xml:space="preserve">The Artists’ Collecting Society (ACS) was established for this specific purpose in 2006: see further at </w:t>
      </w:r>
      <w:hyperlink r:id="rId5" w:history="1">
        <w:r w:rsidRPr="00D80610">
          <w:rPr>
            <w:rStyle w:val="Hyperlink"/>
            <w:lang w:val="en-AU"/>
          </w:rPr>
          <w:t>https://artistscollectingsociety.org/about-acs/</w:t>
        </w:r>
      </w:hyperlink>
      <w:r>
        <w:rPr>
          <w:lang w:val="en-AU"/>
        </w:rPr>
        <w:t xml:space="preserve"> The other UK CMO (DACS) administers other rights for visual artists in addition to ARR. </w:t>
      </w:r>
    </w:p>
  </w:footnote>
  <w:footnote w:id="29">
    <w:p w14:paraId="28527D23" w14:textId="6DEF073B" w:rsidR="002B10D4" w:rsidRPr="0015390C" w:rsidRDefault="002B10D4" w:rsidP="0015390C">
      <w:pPr>
        <w:pStyle w:val="FootnoteText"/>
        <w:spacing w:before="120" w:after="120"/>
        <w:rPr>
          <w:lang w:val="en-AU"/>
        </w:rPr>
      </w:pPr>
      <w:r>
        <w:rPr>
          <w:rStyle w:val="FootnoteReference"/>
        </w:rPr>
        <w:footnoteRef/>
      </w:r>
      <w:r>
        <w:t xml:space="preserve"> </w:t>
      </w:r>
      <w:r w:rsidRPr="0015390C">
        <w:rPr>
          <w:szCs w:val="18"/>
        </w:rPr>
        <w:t>Resale Royalty Right for Visual Artists Act 2009, s 35.</w:t>
      </w:r>
    </w:p>
  </w:footnote>
  <w:footnote w:id="30">
    <w:p w14:paraId="072DF6E4" w14:textId="6900AFFE" w:rsidR="00D46383" w:rsidRPr="0015390C" w:rsidRDefault="00D46383" w:rsidP="0015390C">
      <w:pPr>
        <w:pStyle w:val="FootnoteText"/>
        <w:spacing w:before="120" w:after="120"/>
        <w:rPr>
          <w:lang w:val="en-AU"/>
        </w:rPr>
      </w:pPr>
      <w:r>
        <w:rPr>
          <w:rStyle w:val="FootnoteReference"/>
        </w:rPr>
        <w:footnoteRef/>
      </w:r>
      <w:r>
        <w:t xml:space="preserve"> </w:t>
      </w:r>
      <w:r w:rsidRPr="0015390C">
        <w:rPr>
          <w:szCs w:val="18"/>
        </w:rPr>
        <w:t>Intellectual Property Code, Art R122-7.</w:t>
      </w:r>
    </w:p>
  </w:footnote>
  <w:footnote w:id="31">
    <w:p w14:paraId="3180771E" w14:textId="3AA579C7" w:rsidR="00D46383" w:rsidRPr="0015390C" w:rsidRDefault="00D46383" w:rsidP="0015390C">
      <w:pPr>
        <w:pStyle w:val="FootnoteText"/>
        <w:spacing w:before="120" w:after="120"/>
        <w:rPr>
          <w:lang w:val="en-AU"/>
        </w:rPr>
      </w:pPr>
      <w:r>
        <w:rPr>
          <w:rStyle w:val="FootnoteReference"/>
        </w:rPr>
        <w:footnoteRef/>
      </w:r>
      <w:r>
        <w:t xml:space="preserve"> </w:t>
      </w:r>
      <w:r w:rsidRPr="0015390C">
        <w:rPr>
          <w:szCs w:val="18"/>
        </w:rPr>
        <w:t>Resale Right for Visual Artists Act 2023, s 22.</w:t>
      </w:r>
      <w:r w:rsidR="00EE0AB1" w:rsidRPr="00EE0AB1">
        <w:rPr>
          <w:szCs w:val="18"/>
        </w:rPr>
        <w:t xml:space="preserve"> See also </w:t>
      </w:r>
      <w:r w:rsidR="00EE0AB1" w:rsidRPr="0015390C">
        <w:rPr>
          <w:rFonts w:eastAsia="Times New Roman"/>
          <w:szCs w:val="18"/>
          <w:lang w:val="en-GB" w:eastAsia="fr-CH"/>
        </w:rPr>
        <w:t>Resale Right for Visual Artists Regulations 2024.</w:t>
      </w:r>
    </w:p>
  </w:footnote>
  <w:footnote w:id="32">
    <w:p w14:paraId="187F60CD" w14:textId="5D7F9E03" w:rsidR="005B6905" w:rsidRPr="0015390C" w:rsidRDefault="005B6905">
      <w:pPr>
        <w:pStyle w:val="FootnoteText"/>
        <w:rPr>
          <w:lang w:val="en-AU"/>
        </w:rPr>
      </w:pPr>
      <w:r>
        <w:rPr>
          <w:rStyle w:val="FootnoteReference"/>
        </w:rPr>
        <w:footnoteRef/>
      </w:r>
      <w:r>
        <w:t xml:space="preserve"> </w:t>
      </w:r>
      <w:r w:rsidRPr="0015390C">
        <w:t>The Artists Resale Right Regulation 2006</w:t>
      </w:r>
      <w:r>
        <w:t>, reg 14(1)</w:t>
      </w:r>
      <w:r w:rsidRPr="0058575E">
        <w:t xml:space="preserve"> which is set out in Table 19 above</w:t>
      </w:r>
    </w:p>
  </w:footnote>
  <w:footnote w:id="33">
    <w:p w14:paraId="1645548F" w14:textId="740671E7" w:rsidR="00E76DEF" w:rsidRPr="0015390C" w:rsidRDefault="00E76DEF" w:rsidP="0015390C">
      <w:pPr>
        <w:pStyle w:val="FootnoteText"/>
        <w:spacing w:before="120" w:after="120"/>
        <w:rPr>
          <w:lang w:val="en-AU"/>
        </w:rPr>
      </w:pPr>
      <w:r>
        <w:rPr>
          <w:rStyle w:val="FootnoteReference"/>
        </w:rPr>
        <w:footnoteRef/>
      </w:r>
      <w:r>
        <w:t xml:space="preserve"> </w:t>
      </w:r>
      <w:r w:rsidRPr="0015390C">
        <w:t>Artists Resale Right Regulation 2006</w:t>
      </w:r>
      <w:r>
        <w:t xml:space="preserve">, reg 14(2). For the full text of this regulation, see Table 19, p 7, above. </w:t>
      </w:r>
    </w:p>
  </w:footnote>
  <w:footnote w:id="34">
    <w:p w14:paraId="12E4FB01" w14:textId="6EC4696E"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Some limitation of this on the part of individual right holders is possible with respect to other rights, where a limited mandate may be adopted or even terminated: see further at </w:t>
      </w:r>
      <w:hyperlink r:id="rId6" w:history="1">
        <w:r w:rsidRPr="00E53B80">
          <w:rPr>
            <w:rStyle w:val="Hyperlink"/>
            <w:szCs w:val="18"/>
            <w:lang w:val="en-AU"/>
          </w:rPr>
          <w:t>http://www.hungart.org/en/information-about-collective-rights-management/</w:t>
        </w:r>
      </w:hyperlink>
      <w:r w:rsidRPr="00E53B80">
        <w:rPr>
          <w:szCs w:val="18"/>
          <w:lang w:val="en-AU"/>
        </w:rPr>
        <w:t xml:space="preserve"> </w:t>
      </w:r>
    </w:p>
  </w:footnote>
  <w:footnote w:id="35">
    <w:p w14:paraId="757E11D4" w14:textId="77777777" w:rsidR="003D6031" w:rsidRPr="00E53B80" w:rsidRDefault="003D6031"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Art. 144, Italian Copyright Law No 1369/1942 as amended. </w:t>
      </w:r>
    </w:p>
  </w:footnote>
  <w:footnote w:id="36">
    <w:p w14:paraId="007EE243" w14:textId="77777777" w:rsidR="003D6031" w:rsidRPr="00945207" w:rsidRDefault="003D6031" w:rsidP="0015390C">
      <w:pPr>
        <w:spacing w:before="120" w:after="120"/>
        <w:jc w:val="both"/>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 xml:space="preserve">Information available on the VEGAP website (Spain), which also lists the following non-EC countries as having similar regimes (although the art markets </w:t>
      </w:r>
      <w:r w:rsidRPr="00945207">
        <w:rPr>
          <w:sz w:val="18"/>
          <w:szCs w:val="18"/>
          <w:lang w:val="en-AU"/>
        </w:rPr>
        <w:t xml:space="preserve">in some of these countries may be different from those in EC and information on implementation of ARR in some countries is not readily available):  </w:t>
      </w:r>
      <w:r w:rsidRPr="00945207">
        <w:rPr>
          <w:rFonts w:eastAsia="Times New Roman"/>
          <w:sz w:val="18"/>
          <w:szCs w:val="18"/>
          <w:lang w:eastAsia="en-GB"/>
        </w:rPr>
        <w:t xml:space="preserve">Algeria, Australia, Bosnia Herzegovina, Burkina Faso, Georgia, United Kingdom, Honduras, Iceland, Ivory Coast, Moldova, Norway, Panama, Russia and Venezuela See further at </w:t>
      </w:r>
    </w:p>
    <w:p w14:paraId="1EBADBB7" w14:textId="232699E0" w:rsidR="003D6031" w:rsidRPr="00E53B80" w:rsidRDefault="003D6031" w:rsidP="0015390C">
      <w:pPr>
        <w:pStyle w:val="FootnoteText"/>
        <w:spacing w:before="120" w:after="120"/>
        <w:rPr>
          <w:szCs w:val="18"/>
          <w:lang w:val="en-AU"/>
        </w:rPr>
      </w:pPr>
      <w:hyperlink r:id="rId7" w:history="1">
        <w:r w:rsidRPr="00E53B80">
          <w:rPr>
            <w:rStyle w:val="Hyperlink"/>
            <w:szCs w:val="18"/>
          </w:rPr>
          <w:t>https://vegap.es/area-de-derechos-liquidacion-del-derecho-de-participacion/</w:t>
        </w:r>
      </w:hyperlink>
      <w:r w:rsidRPr="00E53B80">
        <w:rPr>
          <w:szCs w:val="18"/>
        </w:rPr>
        <w:t xml:space="preserve"> (accessed 28 February 2024) </w:t>
      </w:r>
    </w:p>
  </w:footnote>
  <w:footnote w:id="37">
    <w:p w14:paraId="3B55C07C" w14:textId="77777777" w:rsidR="00B519EA" w:rsidRPr="00193D7C" w:rsidRDefault="00B519EA" w:rsidP="0015390C">
      <w:pPr>
        <w:pStyle w:val="FootnoteText"/>
        <w:spacing w:before="120" w:after="120"/>
        <w:rPr>
          <w:lang w:val="en-AU"/>
        </w:rPr>
      </w:pPr>
      <w:r>
        <w:rPr>
          <w:rStyle w:val="FootnoteReference"/>
        </w:rPr>
        <w:footnoteRef/>
      </w:r>
      <w:r>
        <w:t xml:space="preserve"> </w:t>
      </w:r>
      <w:r w:rsidRPr="0015390C">
        <w:rPr>
          <w:szCs w:val="18"/>
        </w:rPr>
        <w:t>Copyright Act 2014</w:t>
      </w:r>
      <w:r w:rsidRPr="00193D7C">
        <w:rPr>
          <w:szCs w:val="18"/>
        </w:rPr>
        <w:t>, s 38(5)(Demark).</w:t>
      </w:r>
    </w:p>
  </w:footnote>
  <w:footnote w:id="38">
    <w:p w14:paraId="03E018C2" w14:textId="77777777" w:rsidR="00B519EA" w:rsidRPr="00193D7C" w:rsidRDefault="00B519EA" w:rsidP="0015390C">
      <w:pPr>
        <w:pStyle w:val="FootnoteText"/>
        <w:spacing w:before="120" w:after="120"/>
        <w:rPr>
          <w:lang w:val="en-AU"/>
        </w:rPr>
      </w:pPr>
      <w:r>
        <w:rPr>
          <w:rStyle w:val="FootnoteReference"/>
        </w:rPr>
        <w:footnoteRef/>
      </w:r>
      <w:r>
        <w:t xml:space="preserve"> </w:t>
      </w:r>
      <w:r w:rsidRPr="0015390C">
        <w:rPr>
          <w:szCs w:val="18"/>
        </w:rPr>
        <w:t>Resale Royalty Right for Visual Artists Act 2009, s 23 (Australia)</w:t>
      </w:r>
      <w:r>
        <w:rPr>
          <w:sz w:val="20"/>
        </w:rPr>
        <w:t>.</w:t>
      </w:r>
    </w:p>
  </w:footnote>
  <w:footnote w:id="39">
    <w:p w14:paraId="11124BB0" w14:textId="1B56DCFA" w:rsidR="00DB0BB0" w:rsidRPr="00E53B80" w:rsidRDefault="00DB0BB0" w:rsidP="00DB0BB0">
      <w:pPr>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See at</w:t>
      </w:r>
      <w:r w:rsidRPr="00E53B80">
        <w:rPr>
          <w:sz w:val="18"/>
          <w:szCs w:val="18"/>
        </w:rPr>
        <w:t xml:space="preserve">: </w:t>
      </w:r>
      <w:hyperlink r:id="rId8" w:history="1">
        <w:r w:rsidRPr="00E53B80">
          <w:rPr>
            <w:rStyle w:val="Hyperlink"/>
            <w:sz w:val="18"/>
            <w:szCs w:val="18"/>
          </w:rPr>
          <w:t>https://res.cloudinary.com/void-sarl/image/upload/v1665648844/2022-adhesion-DroitsCollectifs-EN.pdf</w:t>
        </w:r>
      </w:hyperlink>
    </w:p>
  </w:footnote>
  <w:footnote w:id="40">
    <w:p w14:paraId="32A9F6F8" w14:textId="2C45BB19" w:rsidR="00DB0BB0" w:rsidRPr="00E53B80" w:rsidRDefault="00DB0BB0" w:rsidP="0015390C">
      <w:pPr>
        <w:pStyle w:val="FootnoteText"/>
        <w:spacing w:before="120" w:after="120"/>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at </w:t>
      </w:r>
      <w:hyperlink r:id="rId9" w:history="1">
        <w:r w:rsidRPr="00E53B80">
          <w:rPr>
            <w:rStyle w:val="Hyperlink"/>
            <w:szCs w:val="18"/>
            <w:lang w:val="en-AU"/>
          </w:rPr>
          <w:t>https://www.bildkunst.de/fileadmin/user_upload/downloads/Wahrnehmungsvertrag/Wahrnehmungsvertrag_BG_I_II_Urheber_VGBK_2211_Web.pdf</w:t>
        </w:r>
      </w:hyperlink>
      <w:r w:rsidRPr="00E53B80">
        <w:rPr>
          <w:szCs w:val="18"/>
          <w:lang w:val="en-AU"/>
        </w:rPr>
        <w:t xml:space="preserve"> (Google translate 8 Dec 2023).</w:t>
      </w:r>
    </w:p>
    <w:p w14:paraId="3D7467C7" w14:textId="77777777" w:rsidR="00DB0BB0" w:rsidRPr="00E53B80" w:rsidRDefault="00DB0BB0" w:rsidP="0015390C">
      <w:pPr>
        <w:pStyle w:val="FootnoteText"/>
        <w:spacing w:before="120" w:after="120"/>
        <w:rPr>
          <w:szCs w:val="18"/>
          <w:lang w:val="en-AU"/>
        </w:rPr>
      </w:pPr>
    </w:p>
  </w:footnote>
  <w:footnote w:id="41">
    <w:p w14:paraId="4557478B" w14:textId="6F26B0E1" w:rsidR="00DB0BB0" w:rsidRPr="007B375A" w:rsidRDefault="00DB0BB0" w:rsidP="0015390C">
      <w:pPr>
        <w:pStyle w:val="FootnoteText"/>
        <w:spacing w:before="120" w:after="120"/>
        <w:rPr>
          <w:szCs w:val="18"/>
          <w:lang w:val="en-AU"/>
        </w:rPr>
      </w:pPr>
      <w:r w:rsidRPr="007B375A">
        <w:rPr>
          <w:rStyle w:val="FootnoteReference"/>
          <w:szCs w:val="18"/>
        </w:rPr>
        <w:footnoteRef/>
      </w:r>
      <w:r w:rsidRPr="007B375A">
        <w:rPr>
          <w:szCs w:val="18"/>
        </w:rPr>
        <w:t xml:space="preserve"> </w:t>
      </w:r>
      <w:r w:rsidR="00C911E5" w:rsidRPr="00C911E5">
        <w:rPr>
          <w:szCs w:val="18"/>
          <w:lang w:val="en-AU"/>
        </w:rPr>
        <w:t xml:space="preserve">See further New Zealand, </w:t>
      </w:r>
      <w:r w:rsidR="00C911E5" w:rsidRPr="0015390C">
        <w:rPr>
          <w:rFonts w:eastAsia="Times New Roman"/>
          <w:szCs w:val="18"/>
          <w:lang w:val="en-GB" w:eastAsia="fr-CH"/>
        </w:rPr>
        <w:t>Resale Right for Visual Artists Regulations 2024</w:t>
      </w:r>
      <w:r w:rsidR="00C911E5">
        <w:rPr>
          <w:rFonts w:eastAsia="Times New Roman"/>
          <w:szCs w:val="18"/>
          <w:lang w:val="en-GB" w:eastAsia="fr-CH"/>
        </w:rPr>
        <w:t>, regs 12-14.</w:t>
      </w:r>
      <w:r w:rsidRPr="007B375A">
        <w:rPr>
          <w:szCs w:val="18"/>
          <w:lang w:val="en-AU"/>
        </w:rPr>
        <w:t>.</w:t>
      </w:r>
    </w:p>
  </w:footnote>
  <w:footnote w:id="42">
    <w:p w14:paraId="0F6826A9" w14:textId="57CBE74F" w:rsidR="00BE452A" w:rsidRPr="0015390C" w:rsidRDefault="00BE452A" w:rsidP="0015390C">
      <w:pPr>
        <w:pStyle w:val="FootnoteText"/>
        <w:spacing w:before="120" w:after="120"/>
        <w:rPr>
          <w:lang w:val="en-AU"/>
        </w:rPr>
      </w:pPr>
      <w:r>
        <w:rPr>
          <w:rStyle w:val="FootnoteReference"/>
        </w:rPr>
        <w:footnoteRef/>
      </w:r>
      <w:r>
        <w:t xml:space="preserve"> </w:t>
      </w:r>
      <w:r w:rsidRPr="0015390C">
        <w:rPr>
          <w:szCs w:val="18"/>
        </w:rPr>
        <w:t>Resale Right for Visual Artists Act 2023</w:t>
      </w:r>
      <w:r w:rsidRPr="0015390C">
        <w:rPr>
          <w:i/>
          <w:iCs/>
          <w:szCs w:val="18"/>
        </w:rPr>
        <w:t xml:space="preserve">, </w:t>
      </w:r>
      <w:r>
        <w:rPr>
          <w:szCs w:val="18"/>
        </w:rPr>
        <w:t>ss 17-19.</w:t>
      </w:r>
    </w:p>
  </w:footnote>
  <w:footnote w:id="43">
    <w:p w14:paraId="0A8999D4" w14:textId="290680E0" w:rsidR="005F27F7" w:rsidRPr="00A32F4C" w:rsidRDefault="005F27F7" w:rsidP="0015390C">
      <w:pPr>
        <w:pStyle w:val="FootnoteText"/>
        <w:spacing w:before="120" w:after="120"/>
        <w:rPr>
          <w:lang w:val="en-AU"/>
        </w:rPr>
      </w:pPr>
      <w:r>
        <w:rPr>
          <w:rStyle w:val="FootnoteReference"/>
        </w:rPr>
        <w:footnoteRef/>
      </w:r>
      <w:r>
        <w:t xml:space="preserve"> </w:t>
      </w:r>
      <w:r>
        <w:rPr>
          <w:lang w:val="en-AU"/>
        </w:rPr>
        <w:t xml:space="preserve">See generally at </w:t>
      </w:r>
      <w:hyperlink r:id="rId10" w:history="1">
        <w:r w:rsidRPr="008C5522">
          <w:rPr>
            <w:rStyle w:val="Hyperlink"/>
            <w:lang w:val="en-AU"/>
          </w:rPr>
          <w:t>https://www.bildkunst.de/mitgliedschaft/vorteile/</w:t>
        </w:r>
      </w:hyperlink>
      <w:r>
        <w:rPr>
          <w:lang w:val="en-AU"/>
        </w:rPr>
        <w:t xml:space="preserve"> (viewed 8 January 2025).</w:t>
      </w:r>
    </w:p>
  </w:footnote>
  <w:footnote w:id="44">
    <w:p w14:paraId="5BDF0FE3" w14:textId="004ACFC5" w:rsidR="005F27F7" w:rsidRDefault="005F27F7" w:rsidP="0015390C">
      <w:pPr>
        <w:pStyle w:val="FootnoteText"/>
        <w:spacing w:before="120" w:after="120"/>
        <w:rPr>
          <w:lang w:val="en-AU"/>
        </w:rPr>
      </w:pPr>
      <w:r>
        <w:rPr>
          <w:rStyle w:val="FootnoteReference"/>
        </w:rPr>
        <w:footnoteRef/>
      </w:r>
      <w:r>
        <w:t xml:space="preserve"> </w:t>
      </w:r>
      <w:r>
        <w:rPr>
          <w:lang w:val="en-AU"/>
        </w:rPr>
        <w:t xml:space="preserve">In an earlier version of the website at </w:t>
      </w:r>
      <w:r w:rsidRPr="0058575E">
        <w:t xml:space="preserve"> </w:t>
      </w:r>
      <w:hyperlink r:id="rId11" w:history="1">
        <w:r w:rsidRPr="0015390C">
          <w:rPr>
            <w:rStyle w:val="Hyperlink"/>
          </w:rPr>
          <w:t>https://www.bildkunst.de/service/mitglied-werden/warum-mitglied-werden (viewed 9</w:t>
        </w:r>
      </w:hyperlink>
      <w:r w:rsidRPr="0058575E">
        <w:t xml:space="preserve"> Dec 2023)</w:t>
      </w:r>
      <w:r>
        <w:rPr>
          <w:lang w:val="en-AU"/>
        </w:rPr>
        <w:t xml:space="preserve"> this was expressed as follows:</w:t>
      </w:r>
    </w:p>
    <w:p w14:paraId="1771684F" w14:textId="77777777" w:rsidR="005F27F7" w:rsidRPr="00A32F4C" w:rsidRDefault="005F27F7" w:rsidP="00E617FA">
      <w:pPr>
        <w:pStyle w:val="Quote"/>
        <w:rPr>
          <w:rFonts w:ascii="Arial" w:hAnsi="Arial" w:cs="Arial"/>
          <w:color w:val="auto"/>
          <w:sz w:val="18"/>
          <w:szCs w:val="18"/>
        </w:rPr>
      </w:pPr>
      <w:r w:rsidRPr="00A32F4C">
        <w:rPr>
          <w:rFonts w:ascii="Arial" w:hAnsi="Arial" w:cs="Arial"/>
          <w:color w:val="auto"/>
          <w:sz w:val="18"/>
          <w:szCs w:val="18"/>
        </w:rPr>
        <w:t>And last but not least: When you sign the contract, you become a member of a club that is democratically structured. You can influence the work of VG Bild-Kunst in your professional group meeting and in the general meeting, but also as an elected committee member.</w:t>
      </w:r>
    </w:p>
    <w:p w14:paraId="5476F58C" w14:textId="4DDD367F" w:rsidR="005F27F7" w:rsidRPr="0015390C" w:rsidRDefault="005F27F7" w:rsidP="0015390C">
      <w:pPr>
        <w:pStyle w:val="FootnoteText"/>
        <w:spacing w:before="120" w:after="120"/>
        <w:ind w:left="567"/>
        <w:rPr>
          <w:szCs w:val="18"/>
        </w:rPr>
      </w:pPr>
      <w:r w:rsidRPr="005F27F7">
        <w:rPr>
          <w:szCs w:val="18"/>
        </w:rPr>
        <w:t xml:space="preserve">By the way, you can also leave without us putting obstacles in your way. Termination is possible at the turn of the year in </w:t>
      </w:r>
      <w:r w:rsidR="005F1958" w:rsidRPr="005F27F7">
        <w:rPr>
          <w:szCs w:val="18"/>
        </w:rPr>
        <w:t>writing.</w:t>
      </w:r>
      <w:r>
        <w:t xml:space="preserve"> </w:t>
      </w:r>
    </w:p>
  </w:footnote>
  <w:footnote w:id="45">
    <w:p w14:paraId="711D6847" w14:textId="217F554C" w:rsidR="005F27F7" w:rsidRPr="0015390C" w:rsidRDefault="005F27F7" w:rsidP="0015390C">
      <w:pPr>
        <w:pStyle w:val="FootnoteText"/>
        <w:spacing w:before="120" w:after="120"/>
        <w:rPr>
          <w:lang w:val="en-AU"/>
        </w:rPr>
      </w:pPr>
      <w:r>
        <w:rPr>
          <w:rStyle w:val="FootnoteReference"/>
        </w:rPr>
        <w:footnoteRef/>
      </w:r>
      <w:r>
        <w:t xml:space="preserve"> </w:t>
      </w:r>
      <w:r w:rsidR="00DA0AE6">
        <w:t>Se</w:t>
      </w:r>
      <w:r w:rsidR="00DA0AE6" w:rsidRPr="007670EE">
        <w:t xml:space="preserve">e </w:t>
      </w:r>
      <w:r w:rsidRPr="007670EE">
        <w:t xml:space="preserve">at </w:t>
      </w:r>
      <w:hyperlink r:id="rId12" w:history="1">
        <w:r w:rsidRPr="007670EE">
          <w:rPr>
            <w:rStyle w:val="Hyperlink"/>
            <w:color w:val="auto"/>
          </w:rPr>
          <w:t>https://www.adagp.fr/en/i-am-artist-or-rightholder/joining-adagp/search-notice</w:t>
        </w:r>
      </w:hyperlink>
      <w:r w:rsidRPr="007670EE">
        <w:rPr>
          <w:rStyle w:val="Hyperlink"/>
          <w:color w:val="auto"/>
        </w:rPr>
        <w:t>.</w:t>
      </w:r>
    </w:p>
  </w:footnote>
  <w:footnote w:id="46">
    <w:p w14:paraId="13BD596B" w14:textId="1A1D0AF4" w:rsidR="005F27F7" w:rsidRPr="0015390C" w:rsidRDefault="005F27F7" w:rsidP="0015390C">
      <w:pPr>
        <w:pStyle w:val="FootnoteText"/>
        <w:spacing w:before="120" w:after="120"/>
        <w:rPr>
          <w:lang w:val="en-AU"/>
        </w:rPr>
      </w:pPr>
      <w:r>
        <w:rPr>
          <w:rStyle w:val="FootnoteReference"/>
        </w:rPr>
        <w:footnoteRef/>
      </w:r>
      <w:r>
        <w:t xml:space="preserve"> </w:t>
      </w:r>
      <w:r w:rsidRPr="007670EE">
        <w:t>French Intellectual Property Code</w:t>
      </w:r>
      <w:r w:rsidR="005F1958">
        <w:t xml:space="preserve">, </w:t>
      </w:r>
      <w:r w:rsidR="005F1958" w:rsidRPr="007670EE">
        <w:t>rt R122-10 par 2</w:t>
      </w:r>
      <w:r w:rsidRPr="007670EE">
        <w:t xml:space="preserve"> (set out in Table 22 below).</w:t>
      </w:r>
    </w:p>
  </w:footnote>
  <w:footnote w:id="47">
    <w:p w14:paraId="5636706D" w14:textId="01A90218" w:rsidR="005F1958" w:rsidRPr="0015390C" w:rsidRDefault="005F1958" w:rsidP="0015390C">
      <w:pPr>
        <w:pStyle w:val="FootnoteText"/>
        <w:spacing w:before="120" w:after="120"/>
        <w:rPr>
          <w:lang w:val="en-AU"/>
        </w:rPr>
      </w:pPr>
      <w:r>
        <w:rPr>
          <w:rStyle w:val="FootnoteReference"/>
        </w:rPr>
        <w:footnoteRef/>
      </w:r>
      <w:r>
        <w:t xml:space="preserve"> S</w:t>
      </w:r>
      <w:r w:rsidRPr="0058575E">
        <w:t xml:space="preserve">ee further at </w:t>
      </w:r>
      <w:hyperlink r:id="rId13" w:history="1">
        <w:r w:rsidRPr="0058575E">
          <w:rPr>
            <w:rStyle w:val="Hyperlink"/>
            <w:color w:val="auto"/>
          </w:rPr>
          <w:t>https://www.resaleroyalty.org.au/join_cal.aspx</w:t>
        </w:r>
      </w:hyperlink>
      <w:r>
        <w:t xml:space="preserve"> (viewed 8 January 2025).</w:t>
      </w:r>
    </w:p>
  </w:footnote>
  <w:footnote w:id="48">
    <w:p w14:paraId="58ADD62B" w14:textId="46260317" w:rsidR="007C0E11" w:rsidRPr="0015390C" w:rsidRDefault="007C0E11" w:rsidP="0015390C">
      <w:pPr>
        <w:pStyle w:val="FootnoteText"/>
        <w:spacing w:before="120" w:after="120"/>
        <w:rPr>
          <w:lang w:val="en-AU"/>
        </w:rPr>
      </w:pPr>
      <w:r>
        <w:rPr>
          <w:rStyle w:val="FootnoteReference"/>
        </w:rPr>
        <w:footnoteRef/>
      </w:r>
      <w:r>
        <w:t xml:space="preserve"> </w:t>
      </w:r>
      <w:r>
        <w:rPr>
          <w:lang w:val="en-AU"/>
        </w:rPr>
        <w:t>The names of other right holders (heirs, legatees of authors) remain confidential.</w:t>
      </w:r>
    </w:p>
  </w:footnote>
  <w:footnote w:id="49">
    <w:p w14:paraId="0D577066" w14:textId="7C7F17F7" w:rsidR="004251F8" w:rsidRPr="0015390C" w:rsidRDefault="004251F8" w:rsidP="0015390C">
      <w:pPr>
        <w:pStyle w:val="FootnoteText"/>
        <w:spacing w:before="120" w:after="120"/>
        <w:rPr>
          <w:lang w:val="en-AU"/>
        </w:rPr>
      </w:pPr>
      <w:r>
        <w:rPr>
          <w:rStyle w:val="FootnoteReference"/>
        </w:rPr>
        <w:footnoteRef/>
      </w:r>
      <w:r>
        <w:t xml:space="preserve"> </w:t>
      </w:r>
      <w:r>
        <w:rPr>
          <w:lang w:val="en-AU"/>
        </w:rPr>
        <w:t xml:space="preserve"> </w:t>
      </w:r>
      <w:r w:rsidRPr="0058575E">
        <w:t xml:space="preserve"> </w:t>
      </w:r>
      <w:r>
        <w:t>S</w:t>
      </w:r>
      <w:r w:rsidRPr="0058575E">
        <w:t>ee the list in Appendix 3</w:t>
      </w:r>
    </w:p>
  </w:footnote>
  <w:footnote w:id="50">
    <w:p w14:paraId="048699E0" w14:textId="6E68D2D8" w:rsidR="00A5508C" w:rsidRPr="00A32F4C" w:rsidRDefault="00A5508C" w:rsidP="0015390C">
      <w:pPr>
        <w:pStyle w:val="FootnoteText"/>
        <w:spacing w:before="120" w:after="120"/>
        <w:jc w:val="both"/>
        <w:rPr>
          <w:lang w:val="en-AU"/>
        </w:rPr>
      </w:pPr>
      <w:r>
        <w:rPr>
          <w:rStyle w:val="FootnoteReference"/>
        </w:rPr>
        <w:footnoteRef/>
      </w:r>
      <w:r>
        <w:t xml:space="preserve"> </w:t>
      </w:r>
      <w:r>
        <w:rPr>
          <w:lang w:val="en-AU"/>
        </w:rPr>
        <w:t xml:space="preserve">See further the CA website at </w:t>
      </w:r>
      <w:hyperlink r:id="rId14" w:history="1">
        <w:r w:rsidRPr="008C5522">
          <w:rPr>
            <w:rStyle w:val="Hyperlink"/>
            <w:lang w:val="en-AU"/>
          </w:rPr>
          <w:t>https://www.resaleroyalty.org.au/FAQ.aspx</w:t>
        </w:r>
      </w:hyperlink>
      <w:r>
        <w:rPr>
          <w:lang w:val="en-AU"/>
        </w:rPr>
        <w:t xml:space="preserve"> in relation to Aboriginal Art Centres in Australia; in New Zealand, the ARR scheme has only been recently introduced, but the implementing legislation makes specific reference to the role of the CMO in protecting and nurturing Maori artists: </w:t>
      </w:r>
      <w:r w:rsidRPr="0015390C">
        <w:rPr>
          <w:szCs w:val="18"/>
        </w:rPr>
        <w:t>Resale Right for Visual Artists Act 2023</w:t>
      </w:r>
      <w:r w:rsidRPr="00A32F4C">
        <w:rPr>
          <w:szCs w:val="18"/>
        </w:rPr>
        <w:t>, s 2</w:t>
      </w:r>
      <w:r>
        <w:rPr>
          <w:szCs w:val="18"/>
        </w:rPr>
        <w:t>4(2)(j)(i)</w:t>
      </w:r>
      <w:r w:rsidRPr="00A32F4C">
        <w:rPr>
          <w:szCs w:val="18"/>
        </w:rPr>
        <w:t>.</w:t>
      </w:r>
      <w:r>
        <w:rPr>
          <w:lang w:val="en-AU"/>
        </w:rPr>
        <w:t xml:space="preserve">    </w:t>
      </w:r>
    </w:p>
  </w:footnote>
  <w:footnote w:id="51">
    <w:p w14:paraId="45C43DBC" w14:textId="2322AB79" w:rsidR="00A5508C" w:rsidRPr="0015390C" w:rsidRDefault="00A5508C" w:rsidP="0015390C">
      <w:pPr>
        <w:pStyle w:val="FootnoteText"/>
        <w:spacing w:before="120" w:after="120"/>
        <w:jc w:val="both"/>
        <w:rPr>
          <w:lang w:val="en-AU"/>
        </w:rPr>
      </w:pPr>
      <w:r w:rsidRPr="00382DAF">
        <w:rPr>
          <w:rStyle w:val="FootnoteReference"/>
        </w:rPr>
        <w:footnoteRef/>
      </w:r>
      <w:r w:rsidRPr="00382DAF">
        <w:t xml:space="preserve"> </w:t>
      </w:r>
      <w:r w:rsidRPr="00382DAF">
        <w:rPr>
          <w:lang w:val="en-AU"/>
        </w:rPr>
        <w:t xml:space="preserve">The author has no specific knowledge of efforts made by national CMOs in relation to these groups of artists, but, again, in the case of New Zealand, there is indirect reference to such groups in </w:t>
      </w:r>
      <w:r w:rsidR="004463E1" w:rsidRPr="00382DAF">
        <w:rPr>
          <w:lang w:val="en-AU"/>
        </w:rPr>
        <w:t xml:space="preserve">the </w:t>
      </w:r>
      <w:r w:rsidRPr="00382DAF">
        <w:rPr>
          <w:szCs w:val="18"/>
        </w:rPr>
        <w:t>Resale Right for Visual Artists Act 2023, s 24(2)(j)(ii).</w:t>
      </w:r>
      <w:r>
        <w:rPr>
          <w:lang w:val="en-AU"/>
        </w:rPr>
        <w:t xml:space="preserve"> </w:t>
      </w:r>
    </w:p>
  </w:footnote>
  <w:footnote w:id="52">
    <w:p w14:paraId="6154CFE7" w14:textId="0E8856CE" w:rsidR="00C20961" w:rsidRPr="0015390C" w:rsidRDefault="00C20961" w:rsidP="0015390C">
      <w:pPr>
        <w:pStyle w:val="FootnoteText"/>
        <w:spacing w:before="120" w:after="120"/>
        <w:rPr>
          <w:lang w:val="en-AU"/>
        </w:rPr>
      </w:pPr>
      <w:r>
        <w:rPr>
          <w:rStyle w:val="FootnoteReference"/>
        </w:rPr>
        <w:footnoteRef/>
      </w:r>
      <w:r>
        <w:t xml:space="preserve"> </w:t>
      </w:r>
      <w:r>
        <w:rPr>
          <w:lang w:val="en-AU"/>
        </w:rPr>
        <w:t>See further the examples in Table 22 below.</w:t>
      </w:r>
    </w:p>
  </w:footnote>
  <w:footnote w:id="53">
    <w:p w14:paraId="38A227E7" w14:textId="0F0F8EFE" w:rsidR="003D6031" w:rsidRPr="0015390C" w:rsidRDefault="003D6031" w:rsidP="0015390C">
      <w:pPr>
        <w:pStyle w:val="Default"/>
        <w:spacing w:before="120" w:after="120"/>
        <w:rPr>
          <w:szCs w:val="18"/>
        </w:rPr>
      </w:pPr>
      <w:r w:rsidRPr="0015390C">
        <w:rPr>
          <w:rStyle w:val="FootnoteReference"/>
          <w:sz w:val="18"/>
          <w:szCs w:val="18"/>
        </w:rPr>
        <w:footnoteRef/>
      </w:r>
      <w:r w:rsidRPr="0015390C">
        <w:rPr>
          <w:sz w:val="18"/>
          <w:szCs w:val="18"/>
        </w:rPr>
        <w:t xml:space="preserve"> See at:</w:t>
      </w:r>
      <w:r w:rsidR="00F956C3">
        <w:rPr>
          <w:sz w:val="18"/>
          <w:szCs w:val="18"/>
        </w:rPr>
        <w:t xml:space="preserve"> </w:t>
      </w:r>
      <w:r w:rsidR="0020741A" w:rsidRPr="0015390C">
        <w:rPr>
          <w:rFonts w:eastAsia="Times New Roman"/>
          <w:sz w:val="18"/>
          <w:szCs w:val="18"/>
          <w:lang w:eastAsia="fr-CH"/>
        </w:rPr>
        <w:t>www.resaleright.be</w:t>
      </w:r>
    </w:p>
  </w:footnote>
  <w:footnote w:id="54">
    <w:p w14:paraId="682F15BC" w14:textId="7CAC8905" w:rsidR="00F956C3" w:rsidRPr="0015390C" w:rsidRDefault="00F956C3" w:rsidP="0015390C">
      <w:pPr>
        <w:pStyle w:val="FootnoteText"/>
        <w:jc w:val="both"/>
        <w:rPr>
          <w:lang w:val="en-AU"/>
        </w:rPr>
      </w:pPr>
      <w:r>
        <w:rPr>
          <w:rStyle w:val="FootnoteReference"/>
        </w:rPr>
        <w:footnoteRef/>
      </w:r>
      <w:r>
        <w:t xml:space="preserve"> </w:t>
      </w:r>
      <w:r w:rsidRPr="0015390C">
        <w:rPr>
          <w:szCs w:val="18"/>
        </w:rPr>
        <w:t xml:space="preserve">EC </w:t>
      </w:r>
      <w:r w:rsidRPr="0015390C">
        <w:rPr>
          <w:i/>
          <w:iCs/>
          <w:szCs w:val="18"/>
        </w:rPr>
        <w:t xml:space="preserve">Key Principles and Recommendations on the management of the Author Resale Right, </w:t>
      </w:r>
      <w:r w:rsidRPr="0015390C">
        <w:rPr>
          <w:szCs w:val="18"/>
        </w:rPr>
        <w:t>2013, recommendations</w:t>
      </w:r>
    </w:p>
  </w:footnote>
  <w:footnote w:id="55">
    <w:p w14:paraId="4FD4D4C0" w14:textId="62ED5E05" w:rsidR="00925FE1" w:rsidRPr="0015390C" w:rsidRDefault="00925FE1" w:rsidP="0015390C">
      <w:pPr>
        <w:pStyle w:val="FootnoteText"/>
        <w:spacing w:before="120" w:after="120"/>
        <w:rPr>
          <w:lang w:val="en-AU"/>
        </w:rPr>
      </w:pPr>
      <w:r>
        <w:rPr>
          <w:rStyle w:val="FootnoteReference"/>
        </w:rPr>
        <w:footnoteRef/>
      </w:r>
      <w:r>
        <w:t xml:space="preserve"> </w:t>
      </w:r>
      <w:r w:rsidRPr="0015390C">
        <w:rPr>
          <w:szCs w:val="18"/>
        </w:rPr>
        <w:t>Fr</w:t>
      </w:r>
      <w:r w:rsidR="002E3012">
        <w:rPr>
          <w:szCs w:val="18"/>
        </w:rPr>
        <w:t xml:space="preserve">ance, </w:t>
      </w:r>
      <w:r w:rsidRPr="0015390C">
        <w:rPr>
          <w:szCs w:val="18"/>
        </w:rPr>
        <w:t>Intellectual Property Code</w:t>
      </w:r>
      <w:r w:rsidRPr="0015390C">
        <w:rPr>
          <w:i/>
          <w:iCs/>
          <w:szCs w:val="18"/>
        </w:rPr>
        <w:t>,</w:t>
      </w:r>
      <w:r w:rsidRPr="0015390C">
        <w:rPr>
          <w:szCs w:val="18"/>
        </w:rPr>
        <w:t xml:space="preserve"> art R122-10 11 al 2.</w:t>
      </w:r>
      <w:r>
        <w:rPr>
          <w:sz w:val="20"/>
        </w:rPr>
        <w:t xml:space="preserve"> </w:t>
      </w:r>
    </w:p>
  </w:footnote>
  <w:footnote w:id="56">
    <w:p w14:paraId="599354E7" w14:textId="7312D819" w:rsidR="0028193E" w:rsidRPr="0015390C" w:rsidRDefault="0028193E" w:rsidP="0015390C">
      <w:pPr>
        <w:pStyle w:val="FootnoteText"/>
        <w:spacing w:before="120" w:after="120"/>
        <w:rPr>
          <w:lang w:val="en-AU"/>
        </w:rPr>
      </w:pPr>
      <w:r>
        <w:rPr>
          <w:rStyle w:val="FootnoteReference"/>
        </w:rPr>
        <w:footnoteRef/>
      </w:r>
      <w:r>
        <w:t xml:space="preserve"> </w:t>
      </w:r>
      <w:r>
        <w:rPr>
          <w:lang w:val="en-AU"/>
        </w:rPr>
        <w:t xml:space="preserve">In the case of ACS, the other UK CMO, see at </w:t>
      </w:r>
      <w:hyperlink r:id="rId15" w:history="1">
        <w:r w:rsidRPr="008C5522">
          <w:rPr>
            <w:rStyle w:val="Hyperlink"/>
            <w:lang w:val="en-AU"/>
          </w:rPr>
          <w:t>https://artistscollectingsociety.org/artists-resale-right/</w:t>
        </w:r>
      </w:hyperlink>
      <w:r>
        <w:rPr>
          <w:lang w:val="en-AU"/>
        </w:rPr>
        <w:t xml:space="preserve"> </w:t>
      </w:r>
    </w:p>
  </w:footnote>
  <w:footnote w:id="57">
    <w:p w14:paraId="456FB348" w14:textId="01605865" w:rsidR="00DE4C18" w:rsidRPr="00A32F4C" w:rsidRDefault="00DE4C18" w:rsidP="0015390C">
      <w:pPr>
        <w:pStyle w:val="FootnoteText"/>
        <w:spacing w:before="120" w:after="120"/>
      </w:pPr>
      <w:r>
        <w:rPr>
          <w:rStyle w:val="FootnoteReference"/>
        </w:rPr>
        <w:footnoteRef/>
      </w:r>
      <w:r>
        <w:t xml:space="preserve"> </w:t>
      </w:r>
      <w:r>
        <w:rPr>
          <w:szCs w:val="18"/>
        </w:rPr>
        <w:t>Fr</w:t>
      </w:r>
      <w:r w:rsidR="002E3012">
        <w:rPr>
          <w:szCs w:val="18"/>
        </w:rPr>
        <w:t xml:space="preserve">ance, </w:t>
      </w:r>
      <w:r w:rsidRPr="0015390C">
        <w:rPr>
          <w:szCs w:val="18"/>
        </w:rPr>
        <w:t>Intellectual Property Code</w:t>
      </w:r>
      <w:r w:rsidRPr="00A32F4C">
        <w:rPr>
          <w:szCs w:val="18"/>
        </w:rPr>
        <w:t>, Art R122-8 (4) and Art R 122-10.</w:t>
      </w:r>
    </w:p>
  </w:footnote>
  <w:footnote w:id="58">
    <w:p w14:paraId="693DA30D" w14:textId="77777777" w:rsidR="00DE4C18" w:rsidRDefault="00DE4C18" w:rsidP="0015390C">
      <w:pPr>
        <w:pStyle w:val="FootnoteText"/>
        <w:spacing w:before="120" w:after="120"/>
      </w:pPr>
      <w:r>
        <w:rPr>
          <w:rStyle w:val="FootnoteReference"/>
        </w:rPr>
        <w:footnoteRef/>
      </w:r>
      <w:r>
        <w:t xml:space="preserve"> </w:t>
      </w:r>
      <w:r>
        <w:rPr>
          <w:sz w:val="20"/>
        </w:rPr>
        <w:t>Spain</w:t>
      </w:r>
      <w:r w:rsidRPr="0058575E">
        <w:rPr>
          <w:sz w:val="20"/>
        </w:rPr>
        <w:t xml:space="preserve">, </w:t>
      </w:r>
      <w:r w:rsidRPr="0015390C">
        <w:rPr>
          <w:sz w:val="20"/>
        </w:rPr>
        <w:t>Law of Intellectual Property 1996</w:t>
      </w:r>
      <w:r w:rsidRPr="0058575E">
        <w:rPr>
          <w:sz w:val="20"/>
        </w:rPr>
        <w:t xml:space="preserve"> (as amended)</w:t>
      </w:r>
      <w:r>
        <w:rPr>
          <w:sz w:val="20"/>
        </w:rPr>
        <w:t>, art 24.14.</w:t>
      </w:r>
    </w:p>
  </w:footnote>
  <w:footnote w:id="59">
    <w:p w14:paraId="7CA51804" w14:textId="77777777" w:rsidR="00DE4C18" w:rsidRDefault="00DE4C18" w:rsidP="0015390C">
      <w:pPr>
        <w:pStyle w:val="FootnoteText"/>
        <w:spacing w:before="120" w:after="120"/>
      </w:pPr>
      <w:r>
        <w:rPr>
          <w:rStyle w:val="FootnoteReference"/>
        </w:rPr>
        <w:footnoteRef/>
      </w:r>
      <w:r>
        <w:t xml:space="preserve"> </w:t>
      </w:r>
      <w:r w:rsidRPr="006D5B33">
        <w:rPr>
          <w:szCs w:val="18"/>
        </w:rPr>
        <w:t xml:space="preserve">Australia, </w:t>
      </w:r>
      <w:r w:rsidRPr="0015390C">
        <w:rPr>
          <w:szCs w:val="18"/>
        </w:rPr>
        <w:t>Resale Royalty Right for Visual Artists Act 2009</w:t>
      </w:r>
      <w:r w:rsidRPr="006D5B33">
        <w:rPr>
          <w:i/>
          <w:iCs/>
          <w:szCs w:val="18"/>
        </w:rPr>
        <w:t>,</w:t>
      </w:r>
      <w:r w:rsidRPr="006D5B33">
        <w:rPr>
          <w:szCs w:val="18"/>
        </w:rPr>
        <w:t xml:space="preserve"> ss 28 and 29</w:t>
      </w:r>
    </w:p>
  </w:footnote>
  <w:footnote w:id="60">
    <w:p w14:paraId="649739AD" w14:textId="77777777" w:rsidR="00DE4C18" w:rsidRDefault="00DE4C18" w:rsidP="0015390C">
      <w:pPr>
        <w:pStyle w:val="FootnoteText"/>
        <w:spacing w:before="120" w:after="120"/>
      </w:pPr>
      <w:r>
        <w:rPr>
          <w:rStyle w:val="FootnoteReference"/>
        </w:rPr>
        <w:footnoteRef/>
      </w:r>
      <w:r>
        <w:t xml:space="preserve"> </w:t>
      </w:r>
      <w:r w:rsidRPr="00975930">
        <w:rPr>
          <w:szCs w:val="18"/>
        </w:rPr>
        <w:t xml:space="preserve">Latvian, </w:t>
      </w:r>
      <w:r w:rsidRPr="0015390C">
        <w:rPr>
          <w:szCs w:val="18"/>
        </w:rPr>
        <w:t>Copyright Law, 2003</w:t>
      </w:r>
      <w:r w:rsidRPr="00975930">
        <w:rPr>
          <w:szCs w:val="18"/>
        </w:rPr>
        <w:t xml:space="preserve"> (as amended), s 17(6).</w:t>
      </w:r>
    </w:p>
  </w:footnote>
  <w:footnote w:id="61">
    <w:p w14:paraId="188C952A" w14:textId="77777777" w:rsidR="00DE4C18" w:rsidRDefault="00DE4C18" w:rsidP="0015390C">
      <w:pPr>
        <w:pStyle w:val="FootnoteText"/>
        <w:spacing w:before="120" w:after="120"/>
      </w:pPr>
      <w:r>
        <w:rPr>
          <w:rStyle w:val="FootnoteReference"/>
        </w:rPr>
        <w:footnoteRef/>
      </w:r>
      <w:r>
        <w:t xml:space="preserve"> </w:t>
      </w:r>
      <w:r w:rsidRPr="00975930">
        <w:rPr>
          <w:szCs w:val="18"/>
        </w:rPr>
        <w:t>Denmark,</w:t>
      </w:r>
      <w:r>
        <w:t xml:space="preserve"> </w:t>
      </w:r>
      <w:r w:rsidRPr="0015390C">
        <w:rPr>
          <w:szCs w:val="18"/>
        </w:rPr>
        <w:t>Copyright Act 2014</w:t>
      </w:r>
      <w:r w:rsidRPr="00975930">
        <w:rPr>
          <w:i/>
          <w:iCs/>
          <w:szCs w:val="18"/>
        </w:rPr>
        <w:t xml:space="preserve">, </w:t>
      </w:r>
      <w:r w:rsidRPr="00975930">
        <w:rPr>
          <w:szCs w:val="18"/>
        </w:rPr>
        <w:t>38(7).</w:t>
      </w:r>
    </w:p>
  </w:footnote>
  <w:footnote w:id="62">
    <w:p w14:paraId="644334A3" w14:textId="77777777" w:rsidR="00DE4C18" w:rsidRDefault="00DE4C18" w:rsidP="0015390C">
      <w:pPr>
        <w:pStyle w:val="FootnoteText"/>
        <w:spacing w:before="120" w:after="120"/>
      </w:pPr>
      <w:r>
        <w:rPr>
          <w:rStyle w:val="FootnoteReference"/>
        </w:rPr>
        <w:footnoteRef/>
      </w:r>
      <w:r>
        <w:t xml:space="preserve"> </w:t>
      </w:r>
      <w:r w:rsidRPr="0034796D">
        <w:rPr>
          <w:szCs w:val="18"/>
        </w:rPr>
        <w:t xml:space="preserve">Sweden, </w:t>
      </w:r>
      <w:r w:rsidRPr="0015390C">
        <w:rPr>
          <w:szCs w:val="18"/>
        </w:rPr>
        <w:t>Act on Copyright in Literary and Artistic Works</w:t>
      </w:r>
      <w:r w:rsidRPr="0034796D">
        <w:rPr>
          <w:szCs w:val="18"/>
        </w:rPr>
        <w:t>, s 26 p, second par.</w:t>
      </w:r>
    </w:p>
  </w:footnote>
  <w:footnote w:id="63">
    <w:p w14:paraId="01473CE4" w14:textId="77777777" w:rsidR="00DE4C18" w:rsidRDefault="00DE4C18" w:rsidP="0015390C">
      <w:pPr>
        <w:pStyle w:val="FootnoteText"/>
        <w:spacing w:before="120" w:after="120"/>
      </w:pPr>
      <w:r>
        <w:rPr>
          <w:rStyle w:val="FootnoteReference"/>
        </w:rPr>
        <w:footnoteRef/>
      </w:r>
      <w:r>
        <w:t xml:space="preserve"> </w:t>
      </w:r>
      <w:r w:rsidRPr="0034796D">
        <w:rPr>
          <w:szCs w:val="18"/>
        </w:rPr>
        <w:t xml:space="preserve">UK, </w:t>
      </w:r>
      <w:r w:rsidRPr="0015390C">
        <w:rPr>
          <w:szCs w:val="18"/>
        </w:rPr>
        <w:t>Artists Resale Right Regulation 2006</w:t>
      </w:r>
      <w:r w:rsidRPr="0034796D">
        <w:rPr>
          <w:i/>
          <w:iCs/>
          <w:szCs w:val="18"/>
        </w:rPr>
        <w:t xml:space="preserve">, </w:t>
      </w:r>
      <w:r w:rsidRPr="0034796D">
        <w:rPr>
          <w:szCs w:val="18"/>
        </w:rPr>
        <w:t>reg 15</w:t>
      </w:r>
      <w:r>
        <w:rPr>
          <w:szCs w:val="18"/>
        </w:rPr>
        <w:t>.</w:t>
      </w:r>
    </w:p>
  </w:footnote>
  <w:footnote w:id="64">
    <w:p w14:paraId="24F7AAFB" w14:textId="77777777" w:rsidR="00DE4C18" w:rsidRDefault="00DE4C18" w:rsidP="0015390C">
      <w:pPr>
        <w:pStyle w:val="FootnoteText"/>
        <w:spacing w:before="120" w:after="120"/>
      </w:pPr>
      <w:r>
        <w:rPr>
          <w:rStyle w:val="FootnoteReference"/>
        </w:rPr>
        <w:footnoteRef/>
      </w:r>
      <w:r>
        <w:t xml:space="preserve"> </w:t>
      </w:r>
      <w:r w:rsidRPr="00382420">
        <w:rPr>
          <w:szCs w:val="18"/>
        </w:rPr>
        <w:t xml:space="preserve">Germany, </w:t>
      </w:r>
      <w:r w:rsidRPr="0015390C">
        <w:rPr>
          <w:rStyle w:val="s2"/>
          <w:szCs w:val="18"/>
        </w:rPr>
        <w:t>Copyright Law 1965</w:t>
      </w:r>
      <w:r w:rsidRPr="00382420">
        <w:rPr>
          <w:rStyle w:val="s2"/>
          <w:i/>
          <w:iCs/>
          <w:szCs w:val="18"/>
        </w:rPr>
        <w:t xml:space="preserve"> </w:t>
      </w:r>
      <w:r w:rsidRPr="00382420">
        <w:rPr>
          <w:rStyle w:val="s2"/>
          <w:szCs w:val="18"/>
        </w:rPr>
        <w:t xml:space="preserve">(as amended), </w:t>
      </w:r>
      <w:r w:rsidRPr="00382420">
        <w:rPr>
          <w:rStyle w:val="s2"/>
          <w:bCs/>
          <w:szCs w:val="18"/>
        </w:rPr>
        <w:t>§ 26</w:t>
      </w:r>
      <w:r>
        <w:rPr>
          <w:rStyle w:val="s2"/>
          <w:bCs/>
          <w:sz w:val="20"/>
        </w:rPr>
        <w:t>.</w:t>
      </w:r>
    </w:p>
  </w:footnote>
  <w:footnote w:id="65">
    <w:p w14:paraId="4C6722D8" w14:textId="77777777" w:rsidR="00DE4C18" w:rsidRDefault="00DE4C18" w:rsidP="0015390C">
      <w:pPr>
        <w:pStyle w:val="FootnoteText"/>
        <w:spacing w:before="120" w:after="120"/>
      </w:pPr>
      <w:r>
        <w:rPr>
          <w:rStyle w:val="FootnoteReference"/>
        </w:rPr>
        <w:footnoteRef/>
      </w:r>
      <w:r>
        <w:t xml:space="preserve"> </w:t>
      </w:r>
      <w:r w:rsidRPr="00382420">
        <w:rPr>
          <w:szCs w:val="18"/>
        </w:rPr>
        <w:t xml:space="preserve">New Zealand, </w:t>
      </w:r>
      <w:r w:rsidRPr="0015390C">
        <w:rPr>
          <w:szCs w:val="18"/>
        </w:rPr>
        <w:t>Resale Right for Visual Artists Act 2023</w:t>
      </w:r>
      <w:r w:rsidRPr="00382420">
        <w:rPr>
          <w:szCs w:val="18"/>
        </w:rPr>
        <w:t>, s 21.</w:t>
      </w:r>
    </w:p>
  </w:footnote>
  <w:footnote w:id="66">
    <w:p w14:paraId="669A0A92" w14:textId="4E28EF1D" w:rsidR="00EC7311" w:rsidRPr="0015390C" w:rsidRDefault="00EC7311" w:rsidP="0015390C">
      <w:pPr>
        <w:pStyle w:val="FootnoteText"/>
        <w:spacing w:before="120" w:after="120"/>
        <w:rPr>
          <w:lang w:val="en-AU"/>
        </w:rPr>
      </w:pPr>
      <w:r>
        <w:rPr>
          <w:rStyle w:val="FootnoteReference"/>
        </w:rPr>
        <w:footnoteRef/>
      </w:r>
      <w:r>
        <w:t xml:space="preserve"> </w:t>
      </w:r>
      <w:r>
        <w:rPr>
          <w:lang w:val="en-AU"/>
        </w:rPr>
        <w:t xml:space="preserve">Greece, </w:t>
      </w:r>
      <w:r>
        <w:t>2121/1993, Article 5.7,</w:t>
      </w:r>
    </w:p>
  </w:footnote>
  <w:footnote w:id="67">
    <w:p w14:paraId="2BB09EA3" w14:textId="77777777" w:rsidR="00DE4C18" w:rsidRDefault="00DE4C18" w:rsidP="0015390C">
      <w:pPr>
        <w:pStyle w:val="FootnoteText"/>
        <w:spacing w:before="120" w:after="120"/>
      </w:pPr>
      <w:r>
        <w:rPr>
          <w:rStyle w:val="FootnoteReference"/>
        </w:rPr>
        <w:footnoteRef/>
      </w:r>
      <w:r>
        <w:t xml:space="preserve"> </w:t>
      </w:r>
      <w:r w:rsidRPr="00744BB1">
        <w:rPr>
          <w:szCs w:val="18"/>
        </w:rPr>
        <w:t xml:space="preserve">EC </w:t>
      </w:r>
      <w:r w:rsidRPr="0015390C">
        <w:rPr>
          <w:szCs w:val="18"/>
        </w:rPr>
        <w:t>Directiv</w:t>
      </w:r>
      <w:r w:rsidRPr="00382420">
        <w:rPr>
          <w:i/>
          <w:iCs/>
          <w:szCs w:val="18"/>
        </w:rPr>
        <w:t>e</w:t>
      </w:r>
      <w:r w:rsidRPr="00382420">
        <w:rPr>
          <w:szCs w:val="18"/>
        </w:rPr>
        <w:t>, art 9</w:t>
      </w:r>
      <w:r>
        <w:rPr>
          <w:szCs w:val="18"/>
        </w:rPr>
        <w:t>.</w:t>
      </w:r>
    </w:p>
  </w:footnote>
  <w:footnote w:id="68">
    <w:p w14:paraId="31C28D10" w14:textId="77777777" w:rsidR="00DE4C18" w:rsidRPr="0015390C" w:rsidRDefault="00DE4C18" w:rsidP="0015390C">
      <w:pPr>
        <w:pStyle w:val="FootnoteText"/>
        <w:spacing w:before="120" w:after="120"/>
        <w:rPr>
          <w:lang w:val="fr-CH"/>
        </w:rPr>
      </w:pPr>
      <w:r>
        <w:rPr>
          <w:rStyle w:val="FootnoteReference"/>
        </w:rPr>
        <w:footnoteRef/>
      </w:r>
      <w:r w:rsidRPr="0015390C">
        <w:rPr>
          <w:lang w:val="fr-CH"/>
        </w:rPr>
        <w:t xml:space="preserve"> </w:t>
      </w:r>
      <w:r w:rsidRPr="0015390C">
        <w:rPr>
          <w:szCs w:val="18"/>
          <w:lang w:val="fr-CH"/>
        </w:rPr>
        <w:t xml:space="preserve">France, Livres des </w:t>
      </w:r>
      <w:r w:rsidRPr="0015390C">
        <w:rPr>
          <w:rFonts w:eastAsia="Times New Roman"/>
          <w:szCs w:val="18"/>
          <w:lang w:val="fr-CH" w:eastAsia="en-GB"/>
        </w:rPr>
        <w:t>procédures fiscales</w:t>
      </w:r>
      <w:r w:rsidRPr="00744BB1">
        <w:rPr>
          <w:rFonts w:eastAsia="Times New Roman"/>
          <w:szCs w:val="18"/>
          <w:lang w:val="fr-CH" w:eastAsia="en-GB"/>
        </w:rPr>
        <w:t>,</w:t>
      </w:r>
      <w:r w:rsidRPr="00D433C9">
        <w:rPr>
          <w:rFonts w:eastAsia="Times New Roman"/>
          <w:szCs w:val="18"/>
          <w:lang w:val="fr-CH" w:eastAsia="en-GB"/>
        </w:rPr>
        <w:t xml:space="preserve"> art L.163.</w:t>
      </w:r>
    </w:p>
  </w:footnote>
  <w:footnote w:id="69">
    <w:p w14:paraId="2EB653B6" w14:textId="3A6F0EF2" w:rsidR="00987278" w:rsidRPr="0015390C" w:rsidRDefault="0098727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744BB1">
        <w:rPr>
          <w:szCs w:val="18"/>
        </w:rPr>
        <w:t xml:space="preserve">EC </w:t>
      </w:r>
      <w:r w:rsidRPr="0015390C">
        <w:rPr>
          <w:szCs w:val="18"/>
        </w:rPr>
        <w:t>Directive 2014/26/EU, 26 February 2014, on collective management of copyright and related rights and multi-territorial licensing of rights in musical works for online use in the internal market</w:t>
      </w:r>
      <w:r w:rsidRPr="00744BB1">
        <w:rPr>
          <w:szCs w:val="18"/>
        </w:rPr>
        <w:t>,</w:t>
      </w:r>
      <w:r w:rsidRPr="00E617FA">
        <w:rPr>
          <w:szCs w:val="18"/>
        </w:rPr>
        <w:t xml:space="preserve"> recital 52 and art 42.</w:t>
      </w:r>
    </w:p>
  </w:footnote>
  <w:footnote w:id="70">
    <w:p w14:paraId="7B2BD46E" w14:textId="51731511" w:rsidR="00641FC5" w:rsidRPr="0015390C" w:rsidRDefault="00641FC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rFonts w:eastAsiaTheme="minorEastAsia"/>
          <w:szCs w:val="18"/>
          <w14:ligatures w14:val="standardContextual"/>
        </w:rPr>
        <w:t>UK, Artist’s Resale Right Regulations 2006, reg 15)7).</w:t>
      </w:r>
    </w:p>
  </w:footnote>
  <w:footnote w:id="71">
    <w:p w14:paraId="6E348881" w14:textId="31890E91" w:rsidR="00641FC5" w:rsidRPr="0015390C" w:rsidRDefault="00641FC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Spain,</w:t>
      </w:r>
      <w:r w:rsidRPr="0015390C">
        <w:rPr>
          <w:szCs w:val="18"/>
        </w:rPr>
        <w:t xml:space="preserve"> Law of Intellectual Property 1996 (as amended), art 24.18.</w:t>
      </w:r>
    </w:p>
  </w:footnote>
  <w:footnote w:id="72">
    <w:p w14:paraId="5225EE4D" w14:textId="2CF80353" w:rsidR="00E57ACA" w:rsidRPr="0015390C" w:rsidRDefault="00E57ACA"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further at </w:t>
      </w:r>
      <w:hyperlink r:id="rId16" w:history="1">
        <w:r w:rsidRPr="00E617FA">
          <w:rPr>
            <w:rStyle w:val="Hyperlink"/>
            <w:color w:val="auto"/>
            <w:szCs w:val="18"/>
          </w:rPr>
          <w:t>https://www.bildkunst.de/service/folgerecht/informationen-zum-folgerecht</w:t>
        </w:r>
      </w:hyperlink>
      <w:r w:rsidRPr="00E617FA">
        <w:rPr>
          <w:szCs w:val="18"/>
        </w:rPr>
        <w:t xml:space="preserve"> </w:t>
      </w:r>
      <w:r w:rsidR="00D374E1" w:rsidRPr="00E617FA">
        <w:rPr>
          <w:szCs w:val="18"/>
        </w:rPr>
        <w:t xml:space="preserve">. A model reporting form is to be found on the Bild-Kunst website and access to an online reporting portal is provided. For another, see Sweden: Bildupphovsvratt at </w:t>
      </w:r>
      <w:hyperlink r:id="rId17" w:anchor="foljeratt-redovisa-forsaljning" w:history="1">
        <w:r w:rsidR="00D374E1" w:rsidRPr="0015390C">
          <w:rPr>
            <w:rStyle w:val="Hyperlink"/>
            <w:rFonts w:eastAsia="MS Mincho"/>
            <w:szCs w:val="18"/>
            <w:lang w:eastAsia="en-US"/>
          </w:rPr>
          <w:t>https://bildupphovsratt.se/foljeratt#foljeratt-redovisa-forsaljning</w:t>
        </w:r>
      </w:hyperlink>
    </w:p>
  </w:footnote>
  <w:footnote w:id="73">
    <w:p w14:paraId="7FB13645" w14:textId="37DEB7A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18" w:history="1">
        <w:r w:rsidRPr="00E617FA">
          <w:rPr>
            <w:rStyle w:val="Hyperlink"/>
            <w:color w:val="auto"/>
            <w:szCs w:val="18"/>
          </w:rPr>
          <w:t>https://www.dacs.org.uk/for-art-market-professionals</w:t>
        </w:r>
      </w:hyperlink>
    </w:p>
  </w:footnote>
  <w:footnote w:id="74">
    <w:p w14:paraId="3FE1950C" w14:textId="38036103" w:rsidR="003D6031" w:rsidRPr="00E617FA" w:rsidRDefault="003D603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See further at </w:t>
      </w:r>
      <w:hyperlink r:id="rId19" w:history="1">
        <w:r w:rsidRPr="00E617FA">
          <w:rPr>
            <w:rStyle w:val="Hyperlink"/>
            <w:szCs w:val="18"/>
            <w:lang w:val="en-AU"/>
          </w:rPr>
          <w:t>https://www.dacs.org.uk/artists-resale-right/pay-arr</w:t>
        </w:r>
      </w:hyperlink>
      <w:r w:rsidRPr="00E617FA">
        <w:rPr>
          <w:szCs w:val="18"/>
          <w:lang w:val="en-AU"/>
        </w:rPr>
        <w:t xml:space="preserve"> (viewed 2 March 2024). The information required, which may be supplied at any time apart from in responses to these quarterly requests, should contain the following information: </w:t>
      </w:r>
      <w:r w:rsidRPr="00E617FA">
        <w:rPr>
          <w:rFonts w:eastAsia="Times New Roman"/>
          <w:color w:val="000000"/>
          <w:szCs w:val="18"/>
          <w:lang w:val="en-AU" w:eastAsia="en-GB"/>
        </w:rPr>
        <w:t>title of the work; medium;  edition number, if applicable; sale price, excluding VAT; date the work was sold; name of artist;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s nationality (if known);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s year of birth (if known); and artist</w:t>
      </w:r>
      <w:r w:rsidRPr="00E617FA">
        <w:rPr>
          <w:rFonts w:eastAsia="Times New Roman" w:hint="eastAsia"/>
          <w:color w:val="000000"/>
          <w:szCs w:val="18"/>
          <w:lang w:val="en-AU" w:eastAsia="en-GB"/>
        </w:rPr>
        <w:t>’</w:t>
      </w:r>
      <w:r w:rsidRPr="00E617FA">
        <w:rPr>
          <w:rFonts w:eastAsia="Times New Roman"/>
          <w:color w:val="000000"/>
          <w:szCs w:val="18"/>
          <w:lang w:val="en-AU" w:eastAsia="en-GB"/>
        </w:rPr>
        <w:t xml:space="preserve">s year of death (if known). </w:t>
      </w:r>
    </w:p>
  </w:footnote>
  <w:footnote w:id="75">
    <w:p w14:paraId="1912CCB5" w14:textId="6B4033B2"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0" w:history="1">
        <w:r w:rsidRPr="00E617FA">
          <w:rPr>
            <w:rStyle w:val="Hyperlink"/>
            <w:color w:val="auto"/>
            <w:szCs w:val="18"/>
          </w:rPr>
          <w:t>https://artistscollectingsociety.org/information-amps/</w:t>
        </w:r>
      </w:hyperlink>
      <w:r w:rsidRPr="00E617FA">
        <w:rPr>
          <w:szCs w:val="18"/>
        </w:rPr>
        <w:t xml:space="preserve"> (viewed 9 January 2025).</w:t>
      </w:r>
    </w:p>
  </w:footnote>
  <w:footnote w:id="76">
    <w:p w14:paraId="19478674" w14:textId="7F82D33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1" w:history="1">
        <w:r w:rsidR="00982F59" w:rsidRPr="00E617FA">
          <w:rPr>
            <w:rStyle w:val="Hyperlink"/>
            <w:szCs w:val="18"/>
          </w:rPr>
          <w:t xml:space="preserve">https://www.visda.dk/en/artists-resale-right/?lang=en (viewed 9 January 2025). </w:t>
        </w:r>
      </w:hyperlink>
    </w:p>
  </w:footnote>
  <w:footnote w:id="77">
    <w:p w14:paraId="043C1098" w14:textId="162DC4A1" w:rsidR="00A97861" w:rsidRPr="0015390C" w:rsidRDefault="00A97861"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See at </w:t>
      </w:r>
      <w:hyperlink r:id="rId22" w:anchor="reporting" w:history="1">
        <w:r w:rsidRPr="00E617FA">
          <w:rPr>
            <w:rStyle w:val="Hyperlink"/>
            <w:szCs w:val="18"/>
          </w:rPr>
          <w:t>https://www.adagp.fr/en/i-am-exploiting-or-selling-work/i-am/i-am-art-market-professional#reporting</w:t>
        </w:r>
      </w:hyperlink>
      <w:r w:rsidR="00982F59" w:rsidRPr="00E617FA">
        <w:rPr>
          <w:szCs w:val="18"/>
        </w:rPr>
        <w:t xml:space="preserve"> (</w:t>
      </w:r>
      <w:r w:rsidR="002E238D" w:rsidRPr="00E617FA">
        <w:rPr>
          <w:szCs w:val="18"/>
        </w:rPr>
        <w:t>viewed</w:t>
      </w:r>
      <w:r w:rsidR="00982F59" w:rsidRPr="00E617FA">
        <w:rPr>
          <w:szCs w:val="18"/>
        </w:rPr>
        <w:t xml:space="preserve"> 9 January 2025).</w:t>
      </w:r>
    </w:p>
  </w:footnote>
  <w:footnote w:id="78">
    <w:p w14:paraId="042C32F1" w14:textId="3AA27501" w:rsidR="00982F59" w:rsidRPr="0015390C" w:rsidRDefault="00982F5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Information supplied to author by ADAGP, December 202</w:t>
      </w:r>
      <w:r w:rsidR="00501DF4">
        <w:rPr>
          <w:szCs w:val="18"/>
          <w:lang w:val="en-AU"/>
        </w:rPr>
        <w:t>4</w:t>
      </w:r>
      <w:r w:rsidRPr="00E617FA">
        <w:rPr>
          <w:szCs w:val="18"/>
          <w:lang w:val="en-AU"/>
        </w:rPr>
        <w:t>.</w:t>
      </w:r>
    </w:p>
  </w:footnote>
  <w:footnote w:id="79">
    <w:p w14:paraId="70DED549" w14:textId="05C0EF4D" w:rsidR="00D52436" w:rsidRPr="0015390C" w:rsidRDefault="00D52436"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 </w:t>
      </w:r>
      <w:r w:rsidRPr="00E617FA">
        <w:rPr>
          <w:szCs w:val="18"/>
        </w:rPr>
        <w:t xml:space="preserve">This appears to have been the experience in Romania, where SGDA VISARTA, the relevant CMO, reported that there had been a reluctance on </w:t>
      </w:r>
      <w:r w:rsidR="00E617FA" w:rsidRPr="00E617FA">
        <w:rPr>
          <w:szCs w:val="18"/>
        </w:rPr>
        <w:t>the</w:t>
      </w:r>
      <w:r w:rsidRPr="00E617FA">
        <w:rPr>
          <w:szCs w:val="18"/>
        </w:rPr>
        <w:t xml:space="preserve"> part of many AMPs to report resales and this had led to ‘countless court cases’ to enforce </w:t>
      </w:r>
      <w:r w:rsidR="00582BF2" w:rsidRPr="00E617FA">
        <w:rPr>
          <w:szCs w:val="18"/>
        </w:rPr>
        <w:t>ARR.</w:t>
      </w:r>
      <w:r w:rsidRPr="00E617FA">
        <w:rPr>
          <w:szCs w:val="18"/>
        </w:rPr>
        <w:t xml:space="preserve"> </w:t>
      </w:r>
    </w:p>
  </w:footnote>
  <w:footnote w:id="80">
    <w:p w14:paraId="47448959" w14:textId="03D34DD6" w:rsidR="00582BF2" w:rsidRPr="00AE5EBA" w:rsidRDefault="00582BF2" w:rsidP="0015390C">
      <w:pPr>
        <w:pStyle w:val="FootnoteText"/>
        <w:spacing w:before="120" w:after="120"/>
        <w:jc w:val="both"/>
        <w:rPr>
          <w:szCs w:val="18"/>
        </w:rPr>
      </w:pPr>
      <w:r w:rsidRPr="00E617FA">
        <w:rPr>
          <w:rStyle w:val="FootnoteReference"/>
          <w:szCs w:val="18"/>
        </w:rPr>
        <w:footnoteRef/>
      </w:r>
      <w:r w:rsidRPr="00E617FA">
        <w:rPr>
          <w:szCs w:val="18"/>
        </w:rPr>
        <w:t xml:space="preserve"> </w:t>
      </w:r>
      <w:r w:rsidRPr="00E617FA">
        <w:rPr>
          <w:szCs w:val="18"/>
          <w:lang w:val="en-AU"/>
        </w:rPr>
        <w:t>Response to questionnaire received from EAU, 23 November 2023.</w:t>
      </w:r>
      <w:r w:rsidR="00A5081E">
        <w:rPr>
          <w:szCs w:val="18"/>
          <w:lang w:val="en-AU"/>
        </w:rPr>
        <w:t xml:space="preserve"> </w:t>
      </w:r>
      <w:r w:rsidR="00A5081E" w:rsidRPr="00AE5EBA">
        <w:rPr>
          <w:szCs w:val="18"/>
        </w:rPr>
        <w:t>Response to questionnaire received from BONO 17 November 2023.</w:t>
      </w:r>
    </w:p>
  </w:footnote>
  <w:footnote w:id="81">
    <w:p w14:paraId="6D66A12F" w14:textId="419037A7" w:rsidR="00590FB5" w:rsidRPr="0015390C" w:rsidRDefault="00590FB5"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Communication from HUNGART to the author, received 10 Nov 2023. It should be noted in this regard that there is power for a CMO to request information from AMPs: see Article 70(1) and (11) of </w:t>
      </w:r>
      <w:r w:rsidRPr="00744BB1">
        <w:rPr>
          <w:szCs w:val="18"/>
          <w:lang w:val="en-AU"/>
        </w:rPr>
        <w:t>Act LXXVI of 1999 on Copyright.</w:t>
      </w:r>
    </w:p>
  </w:footnote>
  <w:footnote w:id="82">
    <w:p w14:paraId="1D06F4D0" w14:textId="77777777" w:rsidR="00582BF2" w:rsidRPr="00E617FA" w:rsidRDefault="00582BF2"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Response to questionnaire received from </w:t>
      </w:r>
      <w:r w:rsidRPr="00E617FA">
        <w:rPr>
          <w:rFonts w:eastAsia="Source Sans Pro"/>
          <w:szCs w:val="18"/>
        </w:rPr>
        <w:t>Bildupphovsrätt, 23 November 2023.</w:t>
      </w:r>
    </w:p>
  </w:footnote>
  <w:footnote w:id="83">
    <w:p w14:paraId="7583D6A9" w14:textId="0B589041" w:rsidR="00C35028" w:rsidRPr="0015390C" w:rsidRDefault="00C3502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Information on these tender requirements received in a communication from CA to the author on 5 October 2023.</w:t>
      </w:r>
    </w:p>
  </w:footnote>
  <w:footnote w:id="84">
    <w:p w14:paraId="4C3B1023" w14:textId="53F54D62" w:rsidR="00582BF2" w:rsidRPr="0015390C" w:rsidRDefault="00582BF2"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Response to questionnaire received from CA, </w:t>
      </w:r>
      <w:r w:rsidR="00C35028" w:rsidRPr="00E617FA">
        <w:rPr>
          <w:szCs w:val="18"/>
          <w:lang w:val="en-AU"/>
        </w:rPr>
        <w:t>dated 7 April 2020.</w:t>
      </w:r>
    </w:p>
  </w:footnote>
  <w:footnote w:id="85">
    <w:p w14:paraId="2B57AE72" w14:textId="7D814CE8"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0032561B" w:rsidRPr="00E617FA">
        <w:rPr>
          <w:szCs w:val="18"/>
        </w:rPr>
        <w:t>at https://www.adagp.fr/en/i-am-artist-or-rightholder/my-rights-and-my-works/my-rights-and-my-works-are-resold-art-market#calculation</w:t>
      </w:r>
    </w:p>
  </w:footnote>
  <w:footnote w:id="86">
    <w:p w14:paraId="7390D5E7" w14:textId="5FA3F399"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3" w:history="1">
        <w:r w:rsidRPr="00E617FA">
          <w:rPr>
            <w:rStyle w:val="Hyperlink"/>
            <w:color w:val="auto"/>
            <w:szCs w:val="18"/>
          </w:rPr>
          <w:t>https://www.bildkunst.de/service/folgerecht/folgerecht-berechnen</w:t>
        </w:r>
      </w:hyperlink>
      <w:r w:rsidRPr="00E617FA">
        <w:rPr>
          <w:rStyle w:val="Hyperlink"/>
          <w:color w:val="auto"/>
          <w:szCs w:val="18"/>
        </w:rPr>
        <w:t>,</w:t>
      </w:r>
    </w:p>
  </w:footnote>
  <w:footnote w:id="87">
    <w:p w14:paraId="4EBAE175" w14:textId="37D23F5F"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4" w:history="1">
        <w:r w:rsidRPr="00E617FA">
          <w:rPr>
            <w:rStyle w:val="Hyperlink"/>
            <w:color w:val="auto"/>
            <w:szCs w:val="18"/>
          </w:rPr>
          <w:t>https://www.dacs.org.uk/for-art-market-professionals</w:t>
        </w:r>
      </w:hyperlink>
    </w:p>
  </w:footnote>
  <w:footnote w:id="88">
    <w:p w14:paraId="47B28D33" w14:textId="038FE89E" w:rsidR="002C45B9" w:rsidRPr="0015390C" w:rsidRDefault="002C45B9"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at </w:t>
      </w:r>
      <w:hyperlink r:id="rId25" w:history="1">
        <w:r w:rsidRPr="00E617FA">
          <w:rPr>
            <w:rStyle w:val="Hyperlink"/>
            <w:color w:val="auto"/>
            <w:szCs w:val="18"/>
          </w:rPr>
          <w:t>https://vegap.es/area-de-derechos-informacion-de-los-derechos-calculadora/</w:t>
        </w:r>
      </w:hyperlink>
      <w:r w:rsidRPr="00E617FA">
        <w:rPr>
          <w:szCs w:val="18"/>
        </w:rPr>
        <w:t xml:space="preserve"> </w:t>
      </w:r>
    </w:p>
  </w:footnote>
  <w:footnote w:id="89">
    <w:p w14:paraId="71B39018" w14:textId="4E7D9C10" w:rsidR="003B05BB" w:rsidRPr="0015390C" w:rsidRDefault="003B05BB">
      <w:pPr>
        <w:pStyle w:val="FootnoteText"/>
        <w:rPr>
          <w:lang w:val="en-AU"/>
        </w:rPr>
      </w:pPr>
      <w:r>
        <w:rPr>
          <w:rStyle w:val="FootnoteReference"/>
        </w:rPr>
        <w:footnoteRef/>
      </w:r>
      <w:r>
        <w:t xml:space="preserve"> </w:t>
      </w:r>
      <w:r>
        <w:rPr>
          <w:lang w:val="en-AU"/>
        </w:rPr>
        <w:t>Responses to questionnaires received by author.</w:t>
      </w:r>
    </w:p>
  </w:footnote>
  <w:footnote w:id="90">
    <w:p w14:paraId="0A36BBD0" w14:textId="4A7D8210"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Directive 2014/26/EU, 26 February 2014, on collective management of copyright and related rights and multi-territorial licensing of rights in musical works for online use in the internal market</w:t>
      </w:r>
      <w:r w:rsidRPr="0015390C">
        <w:rPr>
          <w:b/>
          <w:bCs/>
          <w:i/>
          <w:iCs/>
          <w:szCs w:val="18"/>
        </w:rPr>
        <w:t>,</w:t>
      </w:r>
      <w:r w:rsidRPr="0015390C">
        <w:rPr>
          <w:b/>
          <w:bCs/>
          <w:szCs w:val="18"/>
        </w:rPr>
        <w:t xml:space="preserve"> </w:t>
      </w:r>
      <w:r w:rsidRPr="0015390C">
        <w:rPr>
          <w:szCs w:val="18"/>
        </w:rPr>
        <w:t>recital 29 and art 13</w:t>
      </w:r>
    </w:p>
  </w:footnote>
  <w:footnote w:id="91">
    <w:p w14:paraId="0BE49508" w14:textId="3F34140A"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UK, </w:t>
      </w:r>
      <w:r w:rsidRPr="0015390C">
        <w:rPr>
          <w:i/>
          <w:iCs/>
          <w:szCs w:val="18"/>
        </w:rPr>
        <w:t>The Collective Management of Copyright (EU Directive) Regulations 2016</w:t>
      </w:r>
      <w:r w:rsidRPr="0015390C">
        <w:rPr>
          <w:szCs w:val="18"/>
        </w:rPr>
        <w:t>, reg12</w:t>
      </w:r>
      <w:r w:rsidRPr="00E617FA">
        <w:rPr>
          <w:szCs w:val="18"/>
        </w:rPr>
        <w:t>.</w:t>
      </w:r>
    </w:p>
  </w:footnote>
  <w:footnote w:id="92">
    <w:p w14:paraId="4F8CC095" w14:textId="0404C92F" w:rsidR="00CF175E" w:rsidRPr="0015390C" w:rsidRDefault="00CF175E"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Response to questionnaire by SIAE, </w:t>
      </w:r>
      <w:r w:rsidR="003D0050" w:rsidRPr="00E617FA">
        <w:rPr>
          <w:szCs w:val="18"/>
        </w:rPr>
        <w:t>9 January 2024.</w:t>
      </w:r>
    </w:p>
  </w:footnote>
  <w:footnote w:id="93">
    <w:p w14:paraId="7FCDBE8E" w14:textId="74AD940B"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Spa</w:t>
      </w:r>
      <w:r w:rsidR="00744BB1">
        <w:rPr>
          <w:szCs w:val="18"/>
          <w:lang w:val="en-AU"/>
        </w:rPr>
        <w:t>in,</w:t>
      </w:r>
      <w:r w:rsidRPr="00E617FA">
        <w:rPr>
          <w:szCs w:val="18"/>
          <w:lang w:val="en-AU"/>
        </w:rPr>
        <w:t xml:space="preserve"> </w:t>
      </w:r>
      <w:r w:rsidRPr="0015390C">
        <w:rPr>
          <w:szCs w:val="18"/>
        </w:rPr>
        <w:t>Intellectual Property Law (Royal Legislative Decree 1/1996, 12 April, as amended), art 24.15.</w:t>
      </w:r>
    </w:p>
  </w:footnote>
  <w:footnote w:id="94">
    <w:p w14:paraId="6AD3336D" w14:textId="0B9963D0" w:rsidR="003B05BB" w:rsidRPr="0015390C" w:rsidRDefault="003B05BB">
      <w:pPr>
        <w:pStyle w:val="FootnoteText"/>
        <w:rPr>
          <w:lang w:val="en-AU"/>
        </w:rPr>
      </w:pPr>
      <w:r>
        <w:rPr>
          <w:rStyle w:val="FootnoteReference"/>
        </w:rPr>
        <w:footnoteRef/>
      </w:r>
      <w:r>
        <w:t xml:space="preserve"> France, </w:t>
      </w:r>
      <w:r w:rsidRPr="0015390C">
        <w:rPr>
          <w:szCs w:val="18"/>
        </w:rPr>
        <w:t>Intellectual Property Code, art R 122-10</w:t>
      </w:r>
      <w:r w:rsidR="00811703">
        <w:rPr>
          <w:szCs w:val="18"/>
        </w:rPr>
        <w:t>.</w:t>
      </w:r>
    </w:p>
  </w:footnote>
  <w:footnote w:id="95">
    <w:p w14:paraId="23B35834" w14:textId="64BB86D6"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UK,</w:t>
      </w:r>
      <w:r w:rsidRPr="0015390C">
        <w:rPr>
          <w:rFonts w:eastAsiaTheme="minorEastAsia"/>
          <w:i/>
          <w:iCs/>
          <w:szCs w:val="18"/>
          <w14:ligatures w14:val="standardContextual"/>
        </w:rPr>
        <w:t xml:space="preserve"> Artist’s</w:t>
      </w:r>
      <w:r w:rsidRPr="0015390C">
        <w:rPr>
          <w:rFonts w:eastAsiaTheme="minorEastAsia"/>
          <w:szCs w:val="18"/>
          <w14:ligatures w14:val="standardContextual"/>
        </w:rPr>
        <w:t xml:space="preserve"> Resale Right Regulations 2006</w:t>
      </w:r>
      <w:r w:rsidRPr="0015390C">
        <w:rPr>
          <w:rFonts w:eastAsiaTheme="minorEastAsia"/>
          <w:i/>
          <w:iCs/>
          <w:szCs w:val="18"/>
          <w14:ligatures w14:val="standardContextual"/>
        </w:rPr>
        <w:t>,</w:t>
      </w:r>
      <w:r w:rsidRPr="0015390C">
        <w:rPr>
          <w:szCs w:val="18"/>
        </w:rPr>
        <w:t xml:space="preserve"> reg 15(4) and (5).</w:t>
      </w:r>
    </w:p>
  </w:footnote>
  <w:footnote w:id="96">
    <w:p w14:paraId="40358EEA" w14:textId="469E660E"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Australia, </w:t>
      </w:r>
      <w:r w:rsidR="00EC250C" w:rsidRPr="0015390C">
        <w:rPr>
          <w:szCs w:val="18"/>
        </w:rPr>
        <w:t>Resale Royalty Right for Visual Artists Act 2009</w:t>
      </w:r>
      <w:r w:rsidRPr="0015390C">
        <w:rPr>
          <w:szCs w:val="18"/>
        </w:rPr>
        <w:t>, ss23(2), (3) and 24 (presumptions).</w:t>
      </w:r>
    </w:p>
  </w:footnote>
  <w:footnote w:id="97">
    <w:p w14:paraId="6C3E30DE" w14:textId="41A46244"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00A5081E">
        <w:rPr>
          <w:szCs w:val="18"/>
        </w:rPr>
        <w:t>New Zealand</w:t>
      </w:r>
      <w:r w:rsidRPr="00E617FA">
        <w:rPr>
          <w:szCs w:val="18"/>
        </w:rPr>
        <w:t xml:space="preserve">, </w:t>
      </w:r>
      <w:r w:rsidRPr="0015390C">
        <w:rPr>
          <w:szCs w:val="18"/>
        </w:rPr>
        <w:t>Resale Right for Visual Artists Act 2023</w:t>
      </w:r>
      <w:r w:rsidRPr="0015390C">
        <w:rPr>
          <w:i/>
          <w:iCs/>
          <w:szCs w:val="18"/>
        </w:rPr>
        <w:t xml:space="preserve">, </w:t>
      </w:r>
      <w:r w:rsidRPr="00E617FA">
        <w:rPr>
          <w:szCs w:val="18"/>
        </w:rPr>
        <w:t>ss 26 and 27</w:t>
      </w:r>
      <w:r w:rsidR="00811703">
        <w:rPr>
          <w:szCs w:val="18"/>
        </w:rPr>
        <w:t>.</w:t>
      </w:r>
    </w:p>
  </w:footnote>
  <w:footnote w:id="98">
    <w:p w14:paraId="7165AA27" w14:textId="45BE087E"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Algeria, </w:t>
      </w:r>
      <w:r w:rsidRPr="0015390C">
        <w:rPr>
          <w:rFonts w:eastAsiaTheme="minorEastAsia"/>
          <w:szCs w:val="18"/>
          <w14:ligatures w14:val="standardContextual"/>
        </w:rPr>
        <w:t xml:space="preserve">Executive Decree number 05-358 of 21 </w:t>
      </w:r>
      <w:r w:rsidR="005245A6" w:rsidRPr="005245A6">
        <w:rPr>
          <w:rFonts w:eastAsiaTheme="minorEastAsia"/>
          <w:szCs w:val="18"/>
          <w14:ligatures w14:val="standardContextual"/>
        </w:rPr>
        <w:t>September</w:t>
      </w:r>
      <w:r w:rsidRPr="0015390C">
        <w:rPr>
          <w:rFonts w:eastAsiaTheme="minorEastAsia"/>
          <w:szCs w:val="18"/>
          <w14:ligatures w14:val="standardContextual"/>
        </w:rPr>
        <w:t xml:space="preserve"> 2005</w:t>
      </w:r>
      <w:r w:rsidRPr="00E617FA">
        <w:rPr>
          <w:rFonts w:eastAsiaTheme="minorEastAsia"/>
          <w:szCs w:val="18"/>
          <w14:ligatures w14:val="standardContextual"/>
        </w:rPr>
        <w:t>.</w:t>
      </w:r>
    </w:p>
  </w:footnote>
  <w:footnote w:id="99">
    <w:p w14:paraId="167B6159" w14:textId="46FC6060" w:rsidR="003D0050" w:rsidRPr="0015390C" w:rsidRDefault="003D005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Intellectual Property Code (as amended), Art L321-2.</w:t>
      </w:r>
    </w:p>
  </w:footnote>
  <w:footnote w:id="100">
    <w:p w14:paraId="771AAFC3" w14:textId="6D8074FD" w:rsidR="00E045CA" w:rsidRPr="0015390C" w:rsidRDefault="00E045CA"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15390C">
        <w:rPr>
          <w:szCs w:val="18"/>
        </w:rPr>
        <w:t>Law of 1942</w:t>
      </w:r>
      <w:r w:rsidRPr="0015390C">
        <w:rPr>
          <w:i/>
          <w:iCs/>
          <w:szCs w:val="18"/>
        </w:rPr>
        <w:t xml:space="preserve"> </w:t>
      </w:r>
      <w:r w:rsidRPr="0015390C">
        <w:rPr>
          <w:szCs w:val="18"/>
        </w:rPr>
        <w:t>(as amended), art 182bis</w:t>
      </w:r>
    </w:p>
  </w:footnote>
  <w:footnote w:id="101">
    <w:p w14:paraId="3AF8DDC6" w14:textId="67A44335" w:rsidR="00EE0AB1" w:rsidRPr="0015390C" w:rsidRDefault="00EE0AB1" w:rsidP="0015390C">
      <w:pPr>
        <w:pStyle w:val="FootnoteText"/>
        <w:jc w:val="both"/>
        <w:rPr>
          <w:lang w:val="en-AU"/>
        </w:rPr>
      </w:pPr>
      <w:r>
        <w:rPr>
          <w:rStyle w:val="FootnoteReference"/>
        </w:rPr>
        <w:footnoteRef/>
      </w:r>
      <w:r>
        <w:t xml:space="preserve"> </w:t>
      </w:r>
      <w:r>
        <w:rPr>
          <w:lang w:val="en-AU"/>
        </w:rPr>
        <w:t xml:space="preserve">A rare instance of an externally imposed costs ceiling is to be found in the recently adopted New Zealand legislation: see </w:t>
      </w:r>
      <w:r w:rsidRPr="00FF646E">
        <w:rPr>
          <w:lang w:val="en-AU"/>
        </w:rPr>
        <w:t>Resale Right for Visual Artists Act 2023, s 20(2) and Resale Right for Visual Artists Regulations 2024, reg 9 (20%).</w:t>
      </w:r>
      <w:r>
        <w:rPr>
          <w:lang w:val="en-AU"/>
        </w:rPr>
        <w:t xml:space="preserve"> </w:t>
      </w:r>
    </w:p>
  </w:footnote>
  <w:footnote w:id="102">
    <w:p w14:paraId="3C044488" w14:textId="3FBB217E" w:rsidR="007D6020" w:rsidRPr="0015390C" w:rsidRDefault="007D6020"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EC</w:t>
      </w:r>
      <w:r w:rsidRPr="0015390C">
        <w:rPr>
          <w:szCs w:val="18"/>
        </w:rPr>
        <w:t xml:space="preserve"> Directive 2014/26/EU, 26 February 2014, on collective management of copyright and related rights and multi-territorial licensing of rights in musical works for online use in the internal market</w:t>
      </w:r>
      <w:r w:rsidRPr="0015390C">
        <w:rPr>
          <w:b/>
          <w:bCs/>
          <w:i/>
          <w:iCs/>
          <w:szCs w:val="18"/>
        </w:rPr>
        <w:t>,</w:t>
      </w:r>
      <w:r w:rsidRPr="0015390C">
        <w:rPr>
          <w:b/>
          <w:bCs/>
          <w:szCs w:val="18"/>
        </w:rPr>
        <w:t xml:space="preserve"> </w:t>
      </w:r>
      <w:r w:rsidRPr="0015390C">
        <w:rPr>
          <w:szCs w:val="18"/>
        </w:rPr>
        <w:t>art 1</w:t>
      </w:r>
      <w:r w:rsidRPr="00E617FA">
        <w:rPr>
          <w:szCs w:val="18"/>
        </w:rPr>
        <w:t>2.</w:t>
      </w:r>
    </w:p>
  </w:footnote>
  <w:footnote w:id="103">
    <w:p w14:paraId="5A8E1FFD" w14:textId="07324CFE" w:rsidR="00105258" w:rsidRPr="0015390C" w:rsidRDefault="00105258" w:rsidP="0015390C">
      <w:pPr>
        <w:pStyle w:val="FootnoteText"/>
        <w:spacing w:before="120" w:after="120"/>
        <w:jc w:val="both"/>
        <w:rPr>
          <w:szCs w:val="18"/>
          <w:lang w:val="en-AU"/>
        </w:rPr>
      </w:pPr>
      <w:r w:rsidRPr="00E617FA">
        <w:rPr>
          <w:rStyle w:val="FootnoteReference"/>
          <w:szCs w:val="18"/>
        </w:rPr>
        <w:footnoteRef/>
      </w:r>
      <w:r w:rsidRPr="00E617FA">
        <w:rPr>
          <w:szCs w:val="18"/>
        </w:rPr>
        <w:t xml:space="preserve"> </w:t>
      </w:r>
      <w:r w:rsidRPr="00E617FA">
        <w:rPr>
          <w:szCs w:val="18"/>
          <w:lang w:val="en-AU"/>
        </w:rPr>
        <w:t xml:space="preserve">Derived from responses to questionnaires received from the CMOs identified in the next column. </w:t>
      </w:r>
    </w:p>
  </w:footnote>
  <w:footnote w:id="104">
    <w:p w14:paraId="09A68F1A" w14:textId="7F7D2FF5" w:rsidR="0031141F" w:rsidRPr="0015390C" w:rsidRDefault="0031141F" w:rsidP="0015390C">
      <w:pPr>
        <w:pStyle w:val="FootnoteText"/>
        <w:spacing w:before="120" w:after="120"/>
        <w:jc w:val="both"/>
        <w:rPr>
          <w:lang w:val="en-AU"/>
        </w:rPr>
      </w:pPr>
      <w:r w:rsidRPr="00E617FA">
        <w:rPr>
          <w:rStyle w:val="FootnoteReference"/>
          <w:szCs w:val="18"/>
        </w:rPr>
        <w:footnoteRef/>
      </w:r>
      <w:r w:rsidRPr="00E617FA">
        <w:rPr>
          <w:szCs w:val="18"/>
        </w:rPr>
        <w:t xml:space="preserve"> </w:t>
      </w:r>
      <w:r w:rsidRPr="0015390C">
        <w:rPr>
          <w:szCs w:val="18"/>
        </w:rPr>
        <w:t xml:space="preserve">General regulations endorsed by General Assembly of Members and Council at </w:t>
      </w:r>
      <w:hyperlink r:id="rId26" w:history="1">
        <w:r w:rsidRPr="0015390C">
          <w:rPr>
            <w:rStyle w:val="Hyperlink"/>
            <w:szCs w:val="18"/>
          </w:rPr>
          <w:t>https://w.ww.akka-laa.lv/en/about-akka-laa/documents/general-regulations</w:t>
        </w:r>
      </w:hyperlink>
      <w:r w:rsidRPr="0015390C">
        <w:rPr>
          <w:szCs w:val="18"/>
        </w:rPr>
        <w:t xml:space="preserve"> (viewed 9 January 2025).</w:t>
      </w:r>
    </w:p>
  </w:footnote>
  <w:footnote w:id="105">
    <w:p w14:paraId="01539247" w14:textId="2658A8B6" w:rsidR="003B05BB" w:rsidRPr="0015390C" w:rsidRDefault="003B05BB">
      <w:pPr>
        <w:pStyle w:val="FootnoteText"/>
        <w:rPr>
          <w:lang w:val="en-AU"/>
        </w:rPr>
      </w:pPr>
      <w:r>
        <w:rPr>
          <w:rStyle w:val="FootnoteReference"/>
        </w:rPr>
        <w:footnoteRef/>
      </w:r>
      <w:r>
        <w:t xml:space="preserve"> </w:t>
      </w:r>
      <w:r>
        <w:rPr>
          <w:lang w:val="en-AU"/>
        </w:rPr>
        <w:t xml:space="preserve">Information provided in responses to </w:t>
      </w:r>
      <w:r w:rsidR="00EC250C">
        <w:rPr>
          <w:lang w:val="en-AU"/>
        </w:rPr>
        <w:t>questionnaires</w:t>
      </w:r>
      <w:r>
        <w:rPr>
          <w:lang w:val="en-AU"/>
        </w:rPr>
        <w:t xml:space="preserve"> received by author.</w:t>
      </w:r>
    </w:p>
  </w:footnote>
  <w:footnote w:id="106">
    <w:p w14:paraId="178A458F" w14:textId="5062A849" w:rsidR="007349BC" w:rsidRPr="0015390C" w:rsidRDefault="007349BC" w:rsidP="0015390C">
      <w:pPr>
        <w:pStyle w:val="FootnoteText"/>
        <w:spacing w:before="120" w:after="120"/>
        <w:jc w:val="both"/>
        <w:rPr>
          <w:lang w:val="en-AU"/>
        </w:rPr>
      </w:pPr>
      <w:r>
        <w:rPr>
          <w:rStyle w:val="FootnoteReference"/>
        </w:rPr>
        <w:footnoteRef/>
      </w:r>
      <w:r>
        <w:t xml:space="preserve"> </w:t>
      </w:r>
      <w:r>
        <w:rPr>
          <w:lang w:val="en-AU"/>
        </w:rPr>
        <w:t>Information derived from responses to questionnaires made by the CMOs in the list that follows above.</w:t>
      </w:r>
    </w:p>
  </w:footnote>
  <w:footnote w:id="107">
    <w:p w14:paraId="317D63E7" w14:textId="55BEF5D6" w:rsidR="00DA5053" w:rsidRPr="0015390C" w:rsidRDefault="00DA5053" w:rsidP="0015390C">
      <w:pPr>
        <w:pStyle w:val="FootnoteText"/>
        <w:spacing w:before="120" w:after="120"/>
        <w:jc w:val="both"/>
        <w:rPr>
          <w:lang w:val="en-AU"/>
        </w:rPr>
      </w:pPr>
      <w:r>
        <w:rPr>
          <w:rStyle w:val="FootnoteReference"/>
        </w:rPr>
        <w:footnoteRef/>
      </w:r>
      <w:r>
        <w:t xml:space="preserve"> </w:t>
      </w:r>
      <w:r>
        <w:rPr>
          <w:lang w:val="en-AU"/>
        </w:rPr>
        <w:t xml:space="preserve">A further note from ADAGP advises that the French Ministry of Culture has been given a general authorization to manage the rights for vacant </w:t>
      </w:r>
      <w:r w:rsidR="002D703F">
        <w:rPr>
          <w:lang w:val="en-AU"/>
        </w:rPr>
        <w:t>estates,</w:t>
      </w:r>
      <w:r>
        <w:rPr>
          <w:lang w:val="en-AU"/>
        </w:rPr>
        <w:t xml:space="preserve"> but this is subject to approval by a judge.</w:t>
      </w:r>
    </w:p>
  </w:footnote>
  <w:footnote w:id="108">
    <w:p w14:paraId="602C4D34" w14:textId="1F1566F8" w:rsidR="00B33380" w:rsidRPr="0015390C" w:rsidRDefault="00B33380" w:rsidP="0015390C">
      <w:pPr>
        <w:pStyle w:val="FootnoteText"/>
        <w:spacing w:before="120" w:after="120"/>
        <w:jc w:val="both"/>
        <w:rPr>
          <w:lang w:val="en-AU"/>
        </w:rPr>
      </w:pPr>
      <w:r>
        <w:rPr>
          <w:rStyle w:val="FootnoteReference"/>
        </w:rPr>
        <w:footnoteRef/>
      </w:r>
      <w:r>
        <w:t xml:space="preserve">  </w:t>
      </w:r>
      <w:r>
        <w:rPr>
          <w:lang w:val="en-AU"/>
        </w:rPr>
        <w:t>Information derived from responses to questionnaires made by the CMOs in the list that follows above.</w:t>
      </w:r>
    </w:p>
  </w:footnote>
  <w:footnote w:id="109">
    <w:p w14:paraId="56CCA340" w14:textId="4682E432" w:rsidR="00B33380" w:rsidRPr="0015390C" w:rsidRDefault="00B33380" w:rsidP="0015390C">
      <w:pPr>
        <w:pStyle w:val="FootnoteText"/>
        <w:spacing w:before="120" w:after="120"/>
        <w:jc w:val="both"/>
        <w:rPr>
          <w:lang w:val="en-AU"/>
        </w:rPr>
      </w:pPr>
      <w:r>
        <w:rPr>
          <w:rStyle w:val="FootnoteReference"/>
        </w:rPr>
        <w:footnoteRef/>
      </w:r>
      <w:r>
        <w:t xml:space="preserve"> </w:t>
      </w:r>
      <w:r>
        <w:rPr>
          <w:lang w:val="en-AU"/>
        </w:rPr>
        <w:t xml:space="preserve"> EC</w:t>
      </w:r>
      <w:r w:rsidRPr="0058575E">
        <w:rPr>
          <w:sz w:val="20"/>
        </w:rPr>
        <w:t xml:space="preserve"> </w:t>
      </w:r>
      <w:r w:rsidRPr="0058575E">
        <w:rPr>
          <w:sz w:val="19"/>
          <w:szCs w:val="19"/>
        </w:rPr>
        <w:t xml:space="preserve">DIRECTIVE 2014/26/EU OF THE EUROPEAN PARLIAMENT AND OF THE COUNCIL of 26 February 2014 on collective management of copyright and related rights and multi-territorial licensing of rights in musical works for online use in the internal market, </w:t>
      </w:r>
      <w:r w:rsidRPr="0058575E">
        <w:rPr>
          <w:sz w:val="20"/>
        </w:rPr>
        <w:t>art 13 – non-distributable fonds</w:t>
      </w:r>
    </w:p>
  </w:footnote>
  <w:footnote w:id="110">
    <w:p w14:paraId="6DD3B017" w14:textId="324D06EA" w:rsidR="00EC32DF" w:rsidRPr="0015390C" w:rsidRDefault="00EC32DF" w:rsidP="0015390C">
      <w:pPr>
        <w:pStyle w:val="FootnoteText"/>
        <w:spacing w:before="120" w:after="120"/>
        <w:jc w:val="both"/>
        <w:rPr>
          <w:lang w:val="en-AU"/>
        </w:rPr>
      </w:pPr>
      <w:r>
        <w:rPr>
          <w:rStyle w:val="FootnoteReference"/>
        </w:rPr>
        <w:footnoteRef/>
      </w:r>
      <w:r>
        <w:t xml:space="preserve"> </w:t>
      </w:r>
      <w:r>
        <w:rPr>
          <w:lang w:val="en-AU"/>
        </w:rPr>
        <w:t xml:space="preserve">Hungary, </w:t>
      </w:r>
      <w:r w:rsidRPr="0015390C">
        <w:rPr>
          <w:sz w:val="20"/>
        </w:rPr>
        <w:t>Act XCIII of 2016 on collective management of copyright and related rights</w:t>
      </w:r>
      <w:r w:rsidRPr="0058575E">
        <w:rPr>
          <w:sz w:val="20"/>
        </w:rPr>
        <w:t>,</w:t>
      </w:r>
      <w:r>
        <w:rPr>
          <w:sz w:val="20"/>
        </w:rPr>
        <w:t xml:space="preserve"> section</w:t>
      </w:r>
      <w:r w:rsidRPr="0058575E">
        <w:rPr>
          <w:sz w:val="20"/>
        </w:rPr>
        <w:t xml:space="preserve"> 4</w:t>
      </w:r>
      <w:r>
        <w:rPr>
          <w:sz w:val="20"/>
        </w:rPr>
        <w:t>3</w:t>
      </w:r>
      <w:r w:rsidRPr="0058575E">
        <w:rPr>
          <w:sz w:val="20"/>
        </w:rPr>
        <w:t>(1)</w:t>
      </w:r>
    </w:p>
  </w:footnote>
  <w:footnote w:id="111">
    <w:p w14:paraId="5E942430" w14:textId="6C676374" w:rsidR="00EC32DF" w:rsidRPr="0015390C" w:rsidRDefault="00EC32DF" w:rsidP="0015390C">
      <w:pPr>
        <w:pStyle w:val="FootnoteText"/>
        <w:spacing w:before="120" w:after="120"/>
        <w:jc w:val="both"/>
        <w:rPr>
          <w:lang w:val="en-AU"/>
        </w:rPr>
      </w:pPr>
      <w:r>
        <w:rPr>
          <w:rStyle w:val="FootnoteReference"/>
        </w:rPr>
        <w:footnoteRef/>
      </w:r>
      <w:r>
        <w:t xml:space="preserve"> Australia, </w:t>
      </w:r>
      <w:r w:rsidR="00EC250C" w:rsidRPr="0015390C">
        <w:rPr>
          <w:sz w:val="20"/>
        </w:rPr>
        <w:t>Resale Royalty Right for Visual Artists Act 2009</w:t>
      </w:r>
      <w:r w:rsidRPr="0058575E">
        <w:rPr>
          <w:sz w:val="20"/>
        </w:rPr>
        <w:t>, s 31</w:t>
      </w:r>
      <w:r>
        <w:rPr>
          <w:sz w:val="20"/>
        </w:rPr>
        <w:t>.</w:t>
      </w:r>
    </w:p>
  </w:footnote>
  <w:footnote w:id="112">
    <w:p w14:paraId="48405135" w14:textId="059ED839" w:rsidR="003F5487" w:rsidRPr="0015390C" w:rsidRDefault="003F5487" w:rsidP="0015390C">
      <w:pPr>
        <w:pStyle w:val="FootnoteText"/>
        <w:spacing w:before="120" w:after="120"/>
        <w:jc w:val="both"/>
        <w:rPr>
          <w:lang w:val="en-AU"/>
        </w:rPr>
      </w:pPr>
      <w:r>
        <w:rPr>
          <w:rStyle w:val="FootnoteReference"/>
        </w:rPr>
        <w:footnoteRef/>
      </w:r>
      <w:r>
        <w:t xml:space="preserve"> </w:t>
      </w:r>
      <w:r>
        <w:rPr>
          <w:lang w:val="en-AU"/>
        </w:rPr>
        <w:t xml:space="preserve">Spain, </w:t>
      </w:r>
      <w:r w:rsidRPr="0015390C">
        <w:rPr>
          <w:sz w:val="20"/>
        </w:rPr>
        <w:t>Decree of 1996</w:t>
      </w:r>
      <w:r w:rsidRPr="0058575E">
        <w:rPr>
          <w:i/>
          <w:iCs/>
          <w:sz w:val="20"/>
        </w:rPr>
        <w:t>,</w:t>
      </w:r>
      <w:r w:rsidRPr="0058575E">
        <w:rPr>
          <w:sz w:val="20"/>
        </w:rPr>
        <w:t xml:space="preserve"> art 24.20-24.4</w:t>
      </w:r>
      <w:r>
        <w:rPr>
          <w:sz w:val="20"/>
        </w:rPr>
        <w:t>.</w:t>
      </w:r>
    </w:p>
  </w:footnote>
  <w:footnote w:id="113">
    <w:p w14:paraId="512133C9" w14:textId="2C6D4B6B" w:rsidR="003F5487" w:rsidRPr="0015390C" w:rsidRDefault="003F5487" w:rsidP="0015390C">
      <w:pPr>
        <w:pStyle w:val="FootnoteText"/>
        <w:spacing w:before="120" w:after="120"/>
        <w:jc w:val="both"/>
        <w:rPr>
          <w:szCs w:val="18"/>
          <w:lang w:val="en-AU"/>
        </w:rPr>
      </w:pPr>
      <w:r w:rsidRPr="00553F29">
        <w:rPr>
          <w:rStyle w:val="FootnoteReference"/>
          <w:szCs w:val="18"/>
        </w:rPr>
        <w:footnoteRef/>
      </w:r>
      <w:r w:rsidRPr="00553F29">
        <w:rPr>
          <w:szCs w:val="18"/>
        </w:rPr>
        <w:t xml:space="preserve">UK, </w:t>
      </w:r>
      <w:r w:rsidR="00553F29" w:rsidRPr="00553F29">
        <w:rPr>
          <w:szCs w:val="18"/>
        </w:rPr>
        <w:t xml:space="preserve">The </w:t>
      </w:r>
      <w:r w:rsidRPr="0015390C">
        <w:rPr>
          <w:szCs w:val="18"/>
        </w:rPr>
        <w:t>C</w:t>
      </w:r>
      <w:r w:rsidR="00553F29" w:rsidRPr="0015390C">
        <w:rPr>
          <w:szCs w:val="18"/>
        </w:rPr>
        <w:t xml:space="preserve">ollective </w:t>
      </w:r>
      <w:r w:rsidRPr="0015390C">
        <w:rPr>
          <w:szCs w:val="18"/>
        </w:rPr>
        <w:t>M</w:t>
      </w:r>
      <w:r w:rsidR="00553F29" w:rsidRPr="0015390C">
        <w:rPr>
          <w:szCs w:val="18"/>
        </w:rPr>
        <w:t>anagement of Copyright (EU Directive)</w:t>
      </w:r>
      <w:r w:rsidRPr="0015390C">
        <w:rPr>
          <w:szCs w:val="18"/>
        </w:rPr>
        <w:t xml:space="preserve"> Reg</w:t>
      </w:r>
      <w:r w:rsidR="00553F29" w:rsidRPr="0015390C">
        <w:rPr>
          <w:szCs w:val="18"/>
        </w:rPr>
        <w:t xml:space="preserve">ulations </w:t>
      </w:r>
      <w:r w:rsidRPr="0015390C">
        <w:rPr>
          <w:szCs w:val="18"/>
        </w:rPr>
        <w:t>,</w:t>
      </w:r>
      <w:r w:rsidR="00553F29" w:rsidRPr="0015390C">
        <w:rPr>
          <w:szCs w:val="18"/>
        </w:rPr>
        <w:t>2016,</w:t>
      </w:r>
      <w:r w:rsidRPr="0015390C">
        <w:rPr>
          <w:szCs w:val="18"/>
        </w:rPr>
        <w:t xml:space="preserve"> s 7(d) and 12(9)</w:t>
      </w:r>
    </w:p>
  </w:footnote>
  <w:footnote w:id="114">
    <w:p w14:paraId="7F05BE49" w14:textId="2A641632" w:rsidR="002D5866" w:rsidRPr="0015390C" w:rsidRDefault="002D5866" w:rsidP="0015390C">
      <w:pPr>
        <w:pStyle w:val="FootnoteText"/>
        <w:spacing w:before="120" w:after="120"/>
        <w:jc w:val="both"/>
        <w:rPr>
          <w:lang w:val="en-AU"/>
        </w:rPr>
      </w:pPr>
      <w:r>
        <w:rPr>
          <w:rStyle w:val="FootnoteReference"/>
        </w:rPr>
        <w:footnoteRef/>
      </w:r>
      <w:r w:rsidRPr="002D5866">
        <w:rPr>
          <w:szCs w:val="18"/>
        </w:rPr>
        <w:t xml:space="preserve"> France</w:t>
      </w:r>
      <w:r w:rsidRPr="0015390C">
        <w:rPr>
          <w:szCs w:val="18"/>
        </w:rPr>
        <w:t>, Intellectual Property Code</w:t>
      </w:r>
      <w:r w:rsidRPr="0015390C">
        <w:rPr>
          <w:i/>
          <w:iCs/>
          <w:szCs w:val="18"/>
        </w:rPr>
        <w:t>,</w:t>
      </w:r>
      <w:r w:rsidRPr="0015390C">
        <w:rPr>
          <w:szCs w:val="18"/>
        </w:rPr>
        <w:t xml:space="preserve"> Art. R 123-7 II.</w:t>
      </w:r>
    </w:p>
  </w:footnote>
  <w:footnote w:id="115">
    <w:p w14:paraId="3208B5EC" w14:textId="1426BF8D" w:rsidR="00194C35" w:rsidRPr="0015390C" w:rsidRDefault="00194C35">
      <w:pPr>
        <w:pStyle w:val="FootnoteText"/>
        <w:rPr>
          <w:lang w:val="en-AU"/>
        </w:rPr>
      </w:pPr>
      <w:r>
        <w:rPr>
          <w:rStyle w:val="FootnoteReference"/>
        </w:rPr>
        <w:footnoteRef/>
      </w:r>
      <w:r w:rsidRPr="00194C35">
        <w:t xml:space="preserve"> </w:t>
      </w:r>
      <w:r w:rsidRPr="00194C35">
        <w:rPr>
          <w:lang w:val="en-AU"/>
        </w:rPr>
        <w:t xml:space="preserve">New Zealand, </w:t>
      </w:r>
      <w:r w:rsidRPr="0015390C">
        <w:rPr>
          <w:rFonts w:eastAsia="Times New Roman"/>
          <w:szCs w:val="18"/>
          <w:lang w:val="en-GB" w:eastAsia="fr-CH"/>
        </w:rPr>
        <w:t>Resale Right for Visual Artists Regulations 2024, reg 15.</w:t>
      </w:r>
    </w:p>
  </w:footnote>
  <w:footnote w:id="116">
    <w:p w14:paraId="4AA4882B" w14:textId="555F41F7" w:rsidR="006D4E43" w:rsidRPr="0015390C" w:rsidRDefault="006D4E43" w:rsidP="0015390C">
      <w:pPr>
        <w:pStyle w:val="FootnoteText"/>
        <w:spacing w:before="120" w:after="120"/>
        <w:jc w:val="both"/>
        <w:rPr>
          <w:lang w:val="en-AU"/>
        </w:rPr>
      </w:pPr>
      <w:r>
        <w:rPr>
          <w:rStyle w:val="FootnoteReference"/>
        </w:rPr>
        <w:footnoteRef/>
      </w:r>
      <w:r>
        <w:t xml:space="preserve"> S</w:t>
      </w:r>
      <w:r w:rsidRPr="0058575E">
        <w:t>ee, for example, art 1.3 of the E</w:t>
      </w:r>
      <w:r w:rsidR="00744BB1">
        <w:t>C</w:t>
      </w:r>
      <w:r w:rsidRPr="0058575E">
        <w:t xml:space="preserve"> Directive, and art </w:t>
      </w:r>
      <w:r>
        <w:t>L</w:t>
      </w:r>
      <w:r w:rsidRPr="0058575E">
        <w:t xml:space="preserve"> 122-8, IPC, France.</w:t>
      </w:r>
    </w:p>
  </w:footnote>
  <w:footnote w:id="117">
    <w:p w14:paraId="1AF53472" w14:textId="306626F5" w:rsidR="006D4E43" w:rsidRPr="0015390C" w:rsidRDefault="006D4E43" w:rsidP="0015390C">
      <w:pPr>
        <w:pStyle w:val="FootnoteText"/>
        <w:spacing w:before="120" w:after="120"/>
        <w:jc w:val="both"/>
        <w:rPr>
          <w:lang w:val="en-AU"/>
        </w:rPr>
      </w:pPr>
      <w:r>
        <w:rPr>
          <w:rStyle w:val="FootnoteReference"/>
        </w:rPr>
        <w:footnoteRef/>
      </w:r>
      <w:r>
        <w:t xml:space="preserve"> </w:t>
      </w:r>
      <w:r>
        <w:rPr>
          <w:lang w:val="en-AU"/>
        </w:rPr>
        <w:t xml:space="preserve">Communication to author by ADAGP, 16 February 2024. </w:t>
      </w:r>
    </w:p>
  </w:footnote>
  <w:footnote w:id="118">
    <w:p w14:paraId="20C66DA9" w14:textId="23D5A750" w:rsidR="002B1412" w:rsidRPr="0015390C" w:rsidRDefault="002B1412" w:rsidP="0015390C">
      <w:pPr>
        <w:pStyle w:val="FootnoteText"/>
        <w:spacing w:before="120" w:after="120"/>
        <w:jc w:val="both"/>
        <w:rPr>
          <w:lang w:val="en-AU"/>
        </w:rPr>
      </w:pPr>
      <w:r>
        <w:rPr>
          <w:rStyle w:val="FootnoteReference"/>
        </w:rPr>
        <w:footnoteRef/>
      </w:r>
      <w:r>
        <w:t xml:space="preserve"> </w:t>
      </w:r>
      <w:r w:rsidR="00A5633B">
        <w:t>Response to questionnaire by Bild Kunst, 7 December 2023. In Australia, CA provides the following advice to artists: ‘Provided the artist still own</w:t>
      </w:r>
      <w:r w:rsidR="009E7A12">
        <w:t>s</w:t>
      </w:r>
      <w:r w:rsidR="00A5633B">
        <w:t xml:space="preserve"> the work when the AMP sells it, and the sale transfers ownership of the work from the artist directly to the buyer, that is a not a commercial resale. Your documentation should reflect this arrangement.’ CA, </w:t>
      </w:r>
      <w:r w:rsidR="00A5633B">
        <w:rPr>
          <w:i/>
          <w:iCs/>
        </w:rPr>
        <w:t xml:space="preserve">Resale Royalty, </w:t>
      </w:r>
      <w:r w:rsidR="00A5633B" w:rsidRPr="0015390C">
        <w:rPr>
          <w:i/>
          <w:iCs/>
        </w:rPr>
        <w:t>Guide to the artists’ resale royalty scheme</w:t>
      </w:r>
      <w:r w:rsidR="00A5633B">
        <w:t xml:space="preserve">, </w:t>
      </w:r>
      <w:r w:rsidR="00A5633B" w:rsidRPr="0015390C">
        <w:t>June 2015</w:t>
      </w:r>
      <w:r w:rsidR="00A5633B">
        <w:rPr>
          <w:i/>
          <w:iCs/>
        </w:rPr>
        <w:t xml:space="preserve">, </w:t>
      </w:r>
      <w:r w:rsidR="00A5633B">
        <w:t>p 7.</w:t>
      </w:r>
      <w:r w:rsidR="00A5633B">
        <w:rPr>
          <w:i/>
          <w:iCs/>
        </w:rPr>
        <w:t xml:space="preserve"> </w:t>
      </w:r>
      <w:r w:rsidR="00A5633B">
        <w:t xml:space="preserve"> </w:t>
      </w:r>
      <w:r w:rsidR="00A5633B">
        <w:rPr>
          <w:i/>
          <w:iCs/>
        </w:rPr>
        <w:t xml:space="preserve"> </w:t>
      </w:r>
      <w:r w:rsidR="00A5633B">
        <w:t xml:space="preserve"> </w:t>
      </w:r>
    </w:p>
  </w:footnote>
  <w:footnote w:id="119">
    <w:p w14:paraId="6B7AF66C" w14:textId="09469ED8" w:rsidR="00164700" w:rsidRPr="0015390C" w:rsidRDefault="00164700" w:rsidP="0015390C">
      <w:pPr>
        <w:pStyle w:val="FootnoteText"/>
        <w:spacing w:before="120" w:after="120"/>
        <w:jc w:val="both"/>
        <w:rPr>
          <w:lang w:val="en-AU"/>
        </w:rPr>
      </w:pPr>
      <w:r>
        <w:rPr>
          <w:rStyle w:val="FootnoteReference"/>
        </w:rPr>
        <w:footnoteRef/>
      </w:r>
      <w:r>
        <w:t xml:space="preserve"> </w:t>
      </w:r>
      <w:r>
        <w:rPr>
          <w:lang w:val="en-AU"/>
        </w:rPr>
        <w:t>Communication to author by ADAGP, 16 February 2024.</w:t>
      </w:r>
    </w:p>
  </w:footnote>
  <w:footnote w:id="120">
    <w:p w14:paraId="5C44DE16" w14:textId="5DEB7DED" w:rsidR="00164700" w:rsidRPr="0015390C" w:rsidRDefault="00164700" w:rsidP="0015390C">
      <w:pPr>
        <w:pStyle w:val="FootnoteText"/>
        <w:spacing w:before="120" w:after="120"/>
        <w:jc w:val="both"/>
        <w:rPr>
          <w:lang w:val="en-AU"/>
        </w:rPr>
      </w:pPr>
      <w:r>
        <w:rPr>
          <w:rStyle w:val="FootnoteReference"/>
        </w:rPr>
        <w:footnoteRef/>
      </w:r>
      <w:r>
        <w:t xml:space="preserve"> </w:t>
      </w:r>
      <w:r>
        <w:rPr>
          <w:lang w:val="en-AU"/>
        </w:rPr>
        <w:t>See further the various scenarios outlined for Australia</w:t>
      </w:r>
      <w:r w:rsidR="006972D6">
        <w:rPr>
          <w:lang w:val="en-AU"/>
        </w:rPr>
        <w:t xml:space="preserve">: </w:t>
      </w:r>
      <w:r w:rsidR="006972D6">
        <w:t xml:space="preserve">CA, </w:t>
      </w:r>
      <w:r w:rsidR="006972D6">
        <w:rPr>
          <w:i/>
          <w:iCs/>
        </w:rPr>
        <w:t xml:space="preserve">Resale Royalty, </w:t>
      </w:r>
      <w:r w:rsidR="006972D6" w:rsidRPr="00B2622C">
        <w:rPr>
          <w:i/>
          <w:iCs/>
        </w:rPr>
        <w:t>Guide to the artists’ resale royalty scheme</w:t>
      </w:r>
      <w:r w:rsidR="006972D6">
        <w:t xml:space="preserve">, </w:t>
      </w:r>
      <w:r w:rsidR="006972D6" w:rsidRPr="00B2622C">
        <w:t>June 2015</w:t>
      </w:r>
      <w:r w:rsidR="006972D6">
        <w:rPr>
          <w:i/>
          <w:iCs/>
        </w:rPr>
        <w:t xml:space="preserve">, </w:t>
      </w:r>
      <w:r w:rsidR="006972D6">
        <w:t>p 7.</w:t>
      </w:r>
      <w:r>
        <w:rPr>
          <w:lang w:val="en-AU"/>
        </w:rPr>
        <w:t xml:space="preserve"> </w:t>
      </w:r>
    </w:p>
  </w:footnote>
  <w:footnote w:id="121">
    <w:p w14:paraId="71BB8754" w14:textId="1CBE458A" w:rsidR="006972D6" w:rsidRPr="0015390C" w:rsidRDefault="006972D6" w:rsidP="0015390C">
      <w:pPr>
        <w:pStyle w:val="FootnoteText"/>
        <w:spacing w:before="120" w:after="120"/>
        <w:jc w:val="both"/>
        <w:rPr>
          <w:lang w:val="en-AU"/>
        </w:rPr>
      </w:pPr>
      <w:r>
        <w:rPr>
          <w:rStyle w:val="FootnoteReference"/>
        </w:rPr>
        <w:footnoteRef/>
      </w:r>
      <w:r>
        <w:t xml:space="preserve"> </w:t>
      </w:r>
      <w:r>
        <w:rPr>
          <w:lang w:val="en-AU"/>
        </w:rPr>
        <w:t xml:space="preserve">In Australia, this appears to be the position: see </w:t>
      </w:r>
      <w:r w:rsidRPr="0015390C">
        <w:rPr>
          <w:lang w:val="en-AU"/>
        </w:rPr>
        <w:t>Resale Royalty Right for Visual Artists Act 2009</w:t>
      </w:r>
      <w:r>
        <w:rPr>
          <w:lang w:val="en-AU"/>
        </w:rPr>
        <w:t>, s 8(1)(a) (commercial resale of an artwork requires transfer from one person to another ‘for monetary consideration’). Article 14</w:t>
      </w:r>
      <w:r>
        <w:rPr>
          <w:i/>
          <w:iCs/>
          <w:lang w:val="en-AU"/>
        </w:rPr>
        <w:t xml:space="preserve">ter </w:t>
      </w:r>
      <w:r>
        <w:rPr>
          <w:lang w:val="en-AU"/>
        </w:rPr>
        <w:t>of the Berne Convention offer no clear guidance on this question, given t</w:t>
      </w:r>
      <w:r w:rsidR="00E77DEE">
        <w:rPr>
          <w:lang w:val="en-AU"/>
        </w:rPr>
        <w:t>he</w:t>
      </w:r>
      <w:r>
        <w:rPr>
          <w:lang w:val="en-AU"/>
        </w:rPr>
        <w:t xml:space="preserve"> reference to an ‘interest’ in par (1)</w:t>
      </w:r>
      <w:r w:rsidR="00E77DEE">
        <w:rPr>
          <w:lang w:val="en-AU"/>
        </w:rPr>
        <w:t>.</w:t>
      </w:r>
      <w:r>
        <w:rPr>
          <w:lang w:val="en-AU"/>
        </w:rPr>
        <w:t xml:space="preserve"> </w:t>
      </w:r>
      <w:r w:rsidR="00E77DEE">
        <w:rPr>
          <w:lang w:val="en-AU"/>
        </w:rPr>
        <w:t>However,</w:t>
      </w:r>
      <w:r>
        <w:rPr>
          <w:lang w:val="en-AU"/>
        </w:rPr>
        <w:t xml:space="preserve"> the reference in para (3) to the ‘amounts’ to be collected might suggest that this should be for a monetary </w:t>
      </w:r>
      <w:r w:rsidR="003C66F6">
        <w:rPr>
          <w:lang w:val="en-AU"/>
        </w:rPr>
        <w:t xml:space="preserve">sum, and this appears to be the approach taken in a number of countries with ARR schemes, </w:t>
      </w:r>
      <w:r w:rsidR="009E7A12">
        <w:rPr>
          <w:lang w:val="en-AU"/>
        </w:rPr>
        <w:t>e.g.</w:t>
      </w:r>
      <w:r w:rsidR="003C66F6">
        <w:rPr>
          <w:lang w:val="en-AU"/>
        </w:rPr>
        <w:t xml:space="preserve"> Germany, </w:t>
      </w:r>
      <w:r w:rsidR="003C66F6" w:rsidRPr="0015390C">
        <w:rPr>
          <w:lang w:val="en-AU"/>
        </w:rPr>
        <w:t>Copyright Act</w:t>
      </w:r>
      <w:r w:rsidR="003C66F6">
        <w:rPr>
          <w:i/>
          <w:iCs/>
          <w:lang w:val="en-AU"/>
        </w:rPr>
        <w:t xml:space="preserve"> </w:t>
      </w:r>
      <w:r w:rsidR="003C66F6">
        <w:rPr>
          <w:lang w:val="en-AU"/>
        </w:rPr>
        <w:t>1965, s 26(1)</w:t>
      </w:r>
      <w:r w:rsidR="00E77DEE">
        <w:rPr>
          <w:lang w:val="en-AU"/>
        </w:rPr>
        <w:t xml:space="preserve"> and the UK, </w:t>
      </w:r>
      <w:r w:rsidR="003C66F6" w:rsidRPr="0015390C">
        <w:rPr>
          <w:lang w:val="en-AU"/>
        </w:rPr>
        <w:t>The Artist’s Resale Right Regulations 2006</w:t>
      </w:r>
      <w:r w:rsidR="003C66F6">
        <w:rPr>
          <w:lang w:val="en-AU"/>
        </w:rPr>
        <w:t>, article 12(3)</w:t>
      </w:r>
      <w:r w:rsidR="00E77DEE">
        <w:rPr>
          <w:lang w:val="en-AU"/>
        </w:rPr>
        <w:t>(b)</w:t>
      </w:r>
      <w:r w:rsidR="003C66F6">
        <w:rPr>
          <w:lang w:val="en-AU"/>
        </w:rPr>
        <w:t xml:space="preserve">;  </w:t>
      </w:r>
    </w:p>
  </w:footnote>
  <w:footnote w:id="122">
    <w:p w14:paraId="09CC54C1" w14:textId="73B2A058" w:rsidR="0061102D" w:rsidRPr="008C0C60" w:rsidRDefault="0061102D" w:rsidP="0015390C">
      <w:pPr>
        <w:autoSpaceDE w:val="0"/>
        <w:autoSpaceDN w:val="0"/>
        <w:adjustRightInd w:val="0"/>
        <w:spacing w:before="120" w:after="120"/>
        <w:jc w:val="both"/>
        <w:rPr>
          <w:color w:val="1C1C1B"/>
          <w:sz w:val="18"/>
          <w:szCs w:val="18"/>
          <w:lang w:val="en-GB"/>
        </w:rPr>
      </w:pPr>
      <w:r w:rsidRPr="008C0C60">
        <w:rPr>
          <w:rStyle w:val="FootnoteReference"/>
          <w:sz w:val="18"/>
          <w:szCs w:val="18"/>
        </w:rPr>
        <w:footnoteRef/>
      </w:r>
      <w:r w:rsidRPr="008C0C60">
        <w:rPr>
          <w:sz w:val="18"/>
          <w:szCs w:val="18"/>
        </w:rPr>
        <w:t xml:space="preserve"> </w:t>
      </w:r>
      <w:r w:rsidRPr="009E7A12">
        <w:rPr>
          <w:sz w:val="18"/>
          <w:szCs w:val="18"/>
        </w:rPr>
        <w:t>The emergence of this new market was highlighted by the sale of</w:t>
      </w:r>
      <w:r w:rsidRPr="009E7A12">
        <w:rPr>
          <w:rFonts w:eastAsiaTheme="minorHAnsi"/>
          <w:color w:val="1C1C1B"/>
          <w:sz w:val="18"/>
          <w:szCs w:val="18"/>
          <w:lang w:val="en-GB" w:eastAsia="en-US"/>
          <w14:ligatures w14:val="standardContextual"/>
        </w:rPr>
        <w:t xml:space="preserve"> Beeple’s </w:t>
      </w:r>
      <w:r w:rsidRPr="009E7A12">
        <w:rPr>
          <w:rFonts w:eastAsiaTheme="minorHAnsi"/>
          <w:i/>
          <w:iCs/>
          <w:color w:val="1C1C1B"/>
          <w:sz w:val="18"/>
          <w:szCs w:val="18"/>
          <w:lang w:val="en-GB" w:eastAsia="en-US"/>
          <w14:ligatures w14:val="standardContextual"/>
        </w:rPr>
        <w:t>Everydays: The First 5000 Days</w:t>
      </w:r>
      <w:r w:rsidRPr="009E7A12">
        <w:rPr>
          <w:rFonts w:eastAsiaTheme="minorHAnsi"/>
          <w:color w:val="1C1C1B"/>
          <w:sz w:val="18"/>
          <w:szCs w:val="18"/>
          <w:lang w:val="en-GB" w:eastAsia="en-US"/>
          <w14:ligatures w14:val="standardContextual"/>
        </w:rPr>
        <w:t xml:space="preserve"> (2021) for $69.3 million, which was the first NFT sale at auction by a classic auction house (Christie’s) – and the first such public auction of a </w:t>
      </w:r>
      <w:r w:rsidRPr="009E7A12">
        <w:rPr>
          <w:color w:val="1C1C1B"/>
          <w:sz w:val="18"/>
          <w:szCs w:val="18"/>
          <w:lang w:val="en-GB"/>
        </w:rPr>
        <w:t xml:space="preserve">work of non-physical art: see J Kastrenakes, ‘Beeple sold an NFT for $69 million, Through a first-of-its-kind auction at Christie’s, Mar 12, 2021, </w:t>
      </w:r>
      <w:r w:rsidRPr="009E7A12">
        <w:rPr>
          <w:i/>
          <w:iCs/>
          <w:color w:val="1C1C1B"/>
          <w:sz w:val="18"/>
          <w:szCs w:val="18"/>
          <w:lang w:val="en-GB"/>
        </w:rPr>
        <w:t>The Verge</w:t>
      </w:r>
      <w:r w:rsidRPr="009E7A12">
        <w:rPr>
          <w:color w:val="1C1C1B"/>
          <w:sz w:val="18"/>
          <w:szCs w:val="18"/>
          <w:lang w:val="en-GB"/>
        </w:rPr>
        <w:t>,</w:t>
      </w:r>
      <w:r w:rsidRPr="008C0C60">
        <w:rPr>
          <w:color w:val="1C1C1B"/>
          <w:sz w:val="18"/>
          <w:szCs w:val="18"/>
          <w:lang w:val="en-GB"/>
        </w:rPr>
        <w:t xml:space="preserve"> at </w:t>
      </w:r>
      <w:hyperlink r:id="rId27" w:history="1">
        <w:r w:rsidRPr="008C0C60">
          <w:rPr>
            <w:rStyle w:val="Hyperlink"/>
            <w:sz w:val="18"/>
            <w:szCs w:val="18"/>
            <w:lang w:val="en-GB"/>
          </w:rPr>
          <w:t>https://www.theverge.com/2021/3/11/22325054/beeple-christies-nft-sale-cost-everydays-69-million</w:t>
        </w:r>
      </w:hyperlink>
      <w:r w:rsidRPr="008C0C60">
        <w:rPr>
          <w:color w:val="1C1C1B"/>
          <w:sz w:val="18"/>
          <w:szCs w:val="18"/>
          <w:lang w:val="en-GB"/>
        </w:rPr>
        <w:t xml:space="preserve"> </w:t>
      </w:r>
    </w:p>
  </w:footnote>
  <w:footnote w:id="123">
    <w:p w14:paraId="7EDC2276" w14:textId="6A14535D" w:rsidR="0061102D" w:rsidRPr="008C0C60" w:rsidRDefault="0061102D" w:rsidP="0015390C">
      <w:pPr>
        <w:pStyle w:val="FootnoteText"/>
        <w:spacing w:before="120" w:after="120"/>
        <w:jc w:val="both"/>
        <w:rPr>
          <w:szCs w:val="18"/>
        </w:rPr>
      </w:pPr>
      <w:r w:rsidRPr="008C0C60">
        <w:rPr>
          <w:rStyle w:val="FootnoteReference"/>
          <w:szCs w:val="18"/>
        </w:rPr>
        <w:footnoteRef/>
      </w:r>
      <w:r w:rsidRPr="008C0C60">
        <w:rPr>
          <w:szCs w:val="18"/>
        </w:rPr>
        <w:t xml:space="preserve"> See at </w:t>
      </w:r>
      <w:hyperlink r:id="rId28" w:history="1">
        <w:r w:rsidRPr="008C0C60">
          <w:rPr>
            <w:rStyle w:val="Hyperlink"/>
            <w:szCs w:val="18"/>
          </w:rPr>
          <w:t>https://opensea.io</w:t>
        </w:r>
      </w:hyperlink>
      <w:r w:rsidRPr="008C0C60">
        <w:rPr>
          <w:szCs w:val="18"/>
        </w:rPr>
        <w:t xml:space="preserve"> (viewed 2 February 2025).</w:t>
      </w:r>
    </w:p>
  </w:footnote>
  <w:footnote w:id="124">
    <w:p w14:paraId="5E230B77" w14:textId="07ABDDE6" w:rsidR="0061102D" w:rsidRPr="009E7A12" w:rsidRDefault="0061102D" w:rsidP="0015390C">
      <w:pPr>
        <w:pStyle w:val="FootnoteText"/>
        <w:spacing w:before="120" w:after="120"/>
        <w:jc w:val="both"/>
      </w:pPr>
      <w:r w:rsidRPr="009E7A12">
        <w:rPr>
          <w:rStyle w:val="FootnoteReference"/>
          <w:szCs w:val="18"/>
        </w:rPr>
        <w:footnoteRef/>
      </w:r>
      <w:r w:rsidRPr="009E7A12">
        <w:rPr>
          <w:szCs w:val="18"/>
        </w:rPr>
        <w:t xml:space="preserve"> See Maria Gracia Santillano Linares, ‘Requiem for Royalties: NFT Exchanges Abandon Recurring Compensation for Artists’, </w:t>
      </w:r>
      <w:r w:rsidRPr="009E7A12">
        <w:rPr>
          <w:i/>
          <w:iCs/>
          <w:szCs w:val="18"/>
        </w:rPr>
        <w:t xml:space="preserve">Forbes, </w:t>
      </w:r>
      <w:r w:rsidRPr="009E7A12">
        <w:rPr>
          <w:szCs w:val="18"/>
        </w:rPr>
        <w:t xml:space="preserve">17 September 2023.; noted also in the DACS written submission to the UK Huse of Commons Committee referred to above and available at </w:t>
      </w:r>
      <w:hyperlink r:id="rId29" w:history="1">
        <w:r w:rsidRPr="009E7A12">
          <w:rPr>
            <w:rStyle w:val="Hyperlink"/>
            <w:szCs w:val="18"/>
          </w:rPr>
          <w:t>https://committees.parliament.uk/writtenevidence/114737/html/</w:t>
        </w:r>
      </w:hyperlink>
      <w:r w:rsidRPr="009E7A12">
        <w:rPr>
          <w:szCs w:val="18"/>
        </w:rPr>
        <w:t xml:space="preserve"> (viewed 2 February 2025). For more accounts of how NFTs and Blockchain technologies can work in this area, see Jenny B Ge, ‘How do NFT Royalties Work? (</w:t>
      </w:r>
      <w:r w:rsidR="009E7A12">
        <w:rPr>
          <w:szCs w:val="18"/>
        </w:rPr>
        <w:t>In-Depth</w:t>
      </w:r>
      <w:r w:rsidRPr="009E7A12">
        <w:rPr>
          <w:szCs w:val="18"/>
        </w:rPr>
        <w:t xml:space="preserve"> Guide)’, at </w:t>
      </w:r>
      <w:hyperlink r:id="rId30" w:history="1">
        <w:r w:rsidRPr="009E7A12">
          <w:rPr>
            <w:rStyle w:val="Hyperlink"/>
            <w:rFonts w:eastAsia="Times New Roman"/>
            <w:szCs w:val="18"/>
            <w:lang w:eastAsia="en-GB"/>
          </w:rPr>
          <w:t>https://rally.fan/blog/nft-royalties-what-are-they-and-how-do-they-work</w:t>
        </w:r>
      </w:hyperlink>
      <w:r w:rsidRPr="009E7A12">
        <w:rPr>
          <w:rFonts w:eastAsia="Times New Roman"/>
          <w:szCs w:val="18"/>
          <w:lang w:eastAsia="en-GB"/>
        </w:rPr>
        <w:t xml:space="preserve"> (viewed 31 Jan 2025);</w:t>
      </w:r>
      <w:r w:rsidRPr="009E7A12">
        <w:rPr>
          <w:rFonts w:eastAsia="Times New Roman"/>
          <w:b/>
          <w:bCs/>
          <w:szCs w:val="18"/>
          <w:lang w:eastAsia="en-GB"/>
        </w:rPr>
        <w:t xml:space="preserve"> </w:t>
      </w:r>
      <w:r w:rsidRPr="009E7A12">
        <w:rPr>
          <w:rFonts w:eastAsia="Times New Roman"/>
          <w:szCs w:val="18"/>
          <w:lang w:eastAsia="en-GB"/>
        </w:rPr>
        <w:t xml:space="preserve">and NFT Evening Team, ‘What are NFT Royalties and How Do They Work?’, 25 January 2025, at </w:t>
      </w:r>
      <w:hyperlink r:id="rId31" w:history="1">
        <w:r w:rsidRPr="009E7A12">
          <w:rPr>
            <w:rStyle w:val="Hyperlink"/>
            <w:rFonts w:eastAsia="Times New Roman"/>
            <w:szCs w:val="18"/>
            <w:lang w:eastAsia="en-GB"/>
          </w:rPr>
          <w:t>https://rally.fan/blog/nft-royalties-what-are-they-and-how-do-they-work</w:t>
        </w:r>
      </w:hyperlink>
      <w:r w:rsidRPr="009E7A12">
        <w:rPr>
          <w:rFonts w:eastAsia="Times New Roman"/>
          <w:szCs w:val="18"/>
          <w:lang w:eastAsia="en-GB"/>
        </w:rPr>
        <w:t xml:space="preserve"> viewed31 Jan 2025.</w:t>
      </w:r>
    </w:p>
  </w:footnote>
  <w:footnote w:id="125">
    <w:p w14:paraId="017BC527" w14:textId="1ADE5014" w:rsidR="0061102D" w:rsidRPr="009E7A12"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Startbahn, Inc: see further </w:t>
      </w:r>
      <w:hyperlink r:id="rId32" w:history="1">
        <w:r w:rsidRPr="009E7A12">
          <w:rPr>
            <w:rStyle w:val="Hyperlink"/>
            <w:szCs w:val="18"/>
          </w:rPr>
          <w:t>https://startbahn.io/startrai</w:t>
        </w:r>
      </w:hyperlink>
      <w:r w:rsidRPr="009E7A12">
        <w:rPr>
          <w:szCs w:val="18"/>
        </w:rPr>
        <w:t xml:space="preserve"> (viewed </w:t>
      </w:r>
      <w:hyperlink r:id="rId33" w:history="1">
        <w:r w:rsidRPr="009E7A12">
          <w:rPr>
            <w:rStyle w:val="Hyperlink"/>
            <w:szCs w:val="18"/>
          </w:rPr>
          <w:t>https://startbahn.io/startrail31</w:t>
        </w:r>
      </w:hyperlink>
      <w:r w:rsidRPr="009E7A12">
        <w:rPr>
          <w:szCs w:val="18"/>
        </w:rPr>
        <w:t xml:space="preserve"> January 2025</w:t>
      </w:r>
      <w:r w:rsidR="007F3796">
        <w:rPr>
          <w:szCs w:val="18"/>
        </w:rPr>
        <w:t>)</w:t>
      </w:r>
      <w:r w:rsidRPr="009E7A12">
        <w:rPr>
          <w:szCs w:val="18"/>
        </w:rPr>
        <w:t>.</w:t>
      </w:r>
    </w:p>
  </w:footnote>
  <w:footnote w:id="126">
    <w:p w14:paraId="04471262" w14:textId="77777777" w:rsidR="0061102D" w:rsidRPr="009E7A12"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Response to Questionnaire from ADAGP, 16 February 2024.</w:t>
      </w:r>
    </w:p>
  </w:footnote>
  <w:footnote w:id="127">
    <w:p w14:paraId="3598E955" w14:textId="756575BD" w:rsidR="0061102D" w:rsidRPr="008C0C60" w:rsidRDefault="0061102D" w:rsidP="0015390C">
      <w:pPr>
        <w:pStyle w:val="FootnoteText"/>
        <w:spacing w:before="120" w:after="120"/>
        <w:jc w:val="both"/>
        <w:rPr>
          <w:szCs w:val="18"/>
        </w:rPr>
      </w:pPr>
      <w:r w:rsidRPr="009E7A12">
        <w:rPr>
          <w:rStyle w:val="FootnoteReference"/>
          <w:szCs w:val="18"/>
        </w:rPr>
        <w:footnoteRef/>
      </w:r>
      <w:r w:rsidRPr="009E7A12">
        <w:rPr>
          <w:szCs w:val="18"/>
        </w:rPr>
        <w:t xml:space="preserve"> For further discussion of these issues and how the technologies could work here, see the useful discussion in the report of the UK House of Commons Culture, Media and Sport Committee, </w:t>
      </w:r>
      <w:r w:rsidRPr="009E7A12">
        <w:rPr>
          <w:i/>
          <w:iCs/>
          <w:szCs w:val="18"/>
        </w:rPr>
        <w:t>NFTS and the Blockchain: the risks to sport and culture</w:t>
      </w:r>
      <w:r w:rsidRPr="009E7A12">
        <w:rPr>
          <w:szCs w:val="18"/>
        </w:rPr>
        <w:t xml:space="preserve">, Fourteenth Report of Session 2022-23, </w:t>
      </w:r>
      <w:r w:rsidRPr="009E7A12">
        <w:rPr>
          <w:i/>
          <w:iCs/>
          <w:szCs w:val="18"/>
        </w:rPr>
        <w:t xml:space="preserve">Report, together with formal minutes relating to the report, </w:t>
      </w:r>
      <w:r w:rsidRPr="009E7A12">
        <w:rPr>
          <w:szCs w:val="18"/>
        </w:rPr>
        <w:t xml:space="preserve">Ordered by the House of Commons to be printed 19 September 2023, Chapter 1, and see also the written evidence of DACS to the Committee, available at </w:t>
      </w:r>
      <w:hyperlink r:id="rId34" w:history="1">
        <w:r w:rsidRPr="009E7A12">
          <w:rPr>
            <w:rStyle w:val="Hyperlink"/>
            <w:szCs w:val="18"/>
          </w:rPr>
          <w:t>https://committees.parliament.uk/writtenevidence/114737/html/</w:t>
        </w:r>
      </w:hyperlink>
      <w:r w:rsidRPr="009E7A12">
        <w:rPr>
          <w:szCs w:val="18"/>
        </w:rPr>
        <w:t xml:space="preserve"> (viewed 2 February 2025).</w:t>
      </w:r>
      <w:r w:rsidRPr="008C0C60">
        <w:rPr>
          <w:szCs w:val="18"/>
        </w:rPr>
        <w:t xml:space="preserve"> </w:t>
      </w:r>
    </w:p>
  </w:footnote>
  <w:footnote w:id="128">
    <w:p w14:paraId="1F4D14C5" w14:textId="76B05671" w:rsidR="00540992" w:rsidRPr="00B2622C" w:rsidRDefault="00540992" w:rsidP="00540992">
      <w:pPr>
        <w:pStyle w:val="FootnoteText"/>
        <w:spacing w:before="120" w:after="120"/>
        <w:jc w:val="both"/>
        <w:rPr>
          <w:lang w:val="en-AU"/>
        </w:rPr>
      </w:pPr>
      <w:r>
        <w:rPr>
          <w:rStyle w:val="FootnoteReference"/>
        </w:rPr>
        <w:footnoteRef/>
      </w:r>
      <w:r>
        <w:t xml:space="preserve"> </w:t>
      </w:r>
      <w:r>
        <w:rPr>
          <w:lang w:val="en-AU"/>
        </w:rPr>
        <w:t xml:space="preserve">Email communication to </w:t>
      </w:r>
      <w:r w:rsidR="00CB57DA">
        <w:rPr>
          <w:lang w:val="en-AU"/>
        </w:rPr>
        <w:t xml:space="preserve">the author from </w:t>
      </w:r>
      <w:r w:rsidR="009E7A12">
        <w:rPr>
          <w:lang w:val="en-AU"/>
        </w:rPr>
        <w:t xml:space="preserve">Ms. </w:t>
      </w:r>
      <w:r w:rsidR="00CB57DA">
        <w:rPr>
          <w:lang w:val="en-AU"/>
        </w:rPr>
        <w:t>C</w:t>
      </w:r>
      <w:r w:rsidR="009E7A12">
        <w:rPr>
          <w:lang w:val="en-AU"/>
        </w:rPr>
        <w:t>.</w:t>
      </w:r>
      <w:r w:rsidR="00CB57DA">
        <w:rPr>
          <w:lang w:val="en-AU"/>
        </w:rPr>
        <w:t xml:space="preserve"> Streul, European Visual Artists (EVA),</w:t>
      </w:r>
      <w:r>
        <w:rPr>
          <w:lang w:val="en-AU"/>
        </w:rPr>
        <w:t xml:space="preserve"> dated 18 March 2024.  </w:t>
      </w:r>
    </w:p>
  </w:footnote>
  <w:footnote w:id="129">
    <w:p w14:paraId="6B2299AA" w14:textId="649B203D" w:rsidR="00540992" w:rsidRPr="00393E37" w:rsidRDefault="00540992" w:rsidP="00540992">
      <w:pPr>
        <w:pStyle w:val="FootnoteText"/>
        <w:spacing w:before="120" w:after="120"/>
        <w:jc w:val="both"/>
        <w:rPr>
          <w:lang w:val="en-AU"/>
        </w:rPr>
      </w:pPr>
      <w:r>
        <w:rPr>
          <w:rStyle w:val="FootnoteReference"/>
        </w:rPr>
        <w:footnoteRef/>
      </w:r>
      <w:r>
        <w:t xml:space="preserve"> </w:t>
      </w:r>
      <w:r w:rsidRPr="00C12BF2">
        <w:rPr>
          <w:szCs w:val="18"/>
        </w:rPr>
        <w:t xml:space="preserve">NZ, </w:t>
      </w:r>
      <w:r w:rsidRPr="0015390C">
        <w:rPr>
          <w:szCs w:val="18"/>
        </w:rPr>
        <w:t>Resale Right for Visual Artists Act 2023</w:t>
      </w:r>
      <w:r w:rsidRPr="00393E37">
        <w:rPr>
          <w:szCs w:val="18"/>
        </w:rPr>
        <w:t>, s 8, extracted in Table 29 above.</w:t>
      </w:r>
      <w:r>
        <w:rPr>
          <w:szCs w:val="18"/>
        </w:rPr>
        <w:t xml:space="preserve"> In Australia, the use of culturally </w:t>
      </w:r>
      <w:r w:rsidR="00CB57DA">
        <w:rPr>
          <w:szCs w:val="18"/>
        </w:rPr>
        <w:t>sensitive</w:t>
      </w:r>
      <w:r>
        <w:rPr>
          <w:szCs w:val="18"/>
        </w:rPr>
        <w:t xml:space="preserve"> protocols in relation to </w:t>
      </w:r>
      <w:r w:rsidR="00CB57DA">
        <w:rPr>
          <w:szCs w:val="18"/>
        </w:rPr>
        <w:t xml:space="preserve">the </w:t>
      </w:r>
      <w:r>
        <w:rPr>
          <w:szCs w:val="18"/>
        </w:rPr>
        <w:t xml:space="preserve">uses of Aboriginal and Torres Strait works has been pioneered by Dr Terri Janke, as outlined in her recent book: T Janke, </w:t>
      </w:r>
      <w:r>
        <w:rPr>
          <w:i/>
          <w:iCs/>
          <w:szCs w:val="18"/>
        </w:rPr>
        <w:t>True Tracks: Respecting Indigenous knowledge and culture</w:t>
      </w:r>
      <w:r>
        <w:rPr>
          <w:szCs w:val="18"/>
        </w:rPr>
        <w:t xml:space="preserve">, UNSW Press, 2022; for specific examples of protocols developed by Dr Janke and her colleagues, see further at </w:t>
      </w:r>
      <w:hyperlink r:id="rId35" w:history="1">
        <w:r w:rsidRPr="005F31BF">
          <w:rPr>
            <w:rStyle w:val="Hyperlink"/>
            <w:szCs w:val="18"/>
          </w:rPr>
          <w:t>https://www.terrijanke.com.au/indigenous-cultural-protocols-and-arts</w:t>
        </w:r>
        <w:r w:rsidRPr="00B758F3">
          <w:rPr>
            <w:rStyle w:val="Hyperlink"/>
            <w:szCs w:val="18"/>
          </w:rPr>
          <w:t xml:space="preserve"> (10</w:t>
        </w:r>
      </w:hyperlink>
      <w:r>
        <w:rPr>
          <w:szCs w:val="18"/>
        </w:rPr>
        <w:t xml:space="preserve"> January 2025).</w:t>
      </w:r>
    </w:p>
  </w:footnote>
  <w:footnote w:id="130">
    <w:p w14:paraId="70146B0B" w14:textId="49287EFE" w:rsidR="000D0922" w:rsidRPr="0015390C" w:rsidRDefault="000D0922" w:rsidP="0015390C">
      <w:pPr>
        <w:pStyle w:val="FootnoteText"/>
        <w:spacing w:before="120" w:after="120"/>
        <w:jc w:val="both"/>
        <w:rPr>
          <w:lang w:val="en-AU"/>
        </w:rPr>
      </w:pPr>
      <w:r>
        <w:rPr>
          <w:rStyle w:val="FootnoteReference"/>
        </w:rPr>
        <w:footnoteRef/>
      </w:r>
      <w:r>
        <w:t xml:space="preserve"> </w:t>
      </w:r>
      <w:r w:rsidRPr="000D0922">
        <w:rPr>
          <w:szCs w:val="18"/>
        </w:rPr>
        <w:t xml:space="preserve">EC </w:t>
      </w:r>
      <w:r w:rsidRPr="0015390C">
        <w:rPr>
          <w:szCs w:val="18"/>
        </w:rPr>
        <w:t>Directive, Art 2</w:t>
      </w:r>
      <w:r>
        <w:rPr>
          <w:szCs w:val="18"/>
        </w:rPr>
        <w:t>.</w:t>
      </w:r>
    </w:p>
  </w:footnote>
  <w:footnote w:id="131">
    <w:p w14:paraId="65DDF115" w14:textId="266493DF" w:rsidR="000D0922" w:rsidRPr="0015390C" w:rsidRDefault="000D0922" w:rsidP="0015390C">
      <w:pPr>
        <w:pStyle w:val="FootnoteText"/>
        <w:spacing w:before="120" w:after="120"/>
        <w:jc w:val="both"/>
        <w:rPr>
          <w:szCs w:val="18"/>
          <w:lang w:val="en-AU"/>
        </w:rPr>
      </w:pPr>
      <w:r w:rsidRPr="000D0922">
        <w:rPr>
          <w:rStyle w:val="FootnoteReference"/>
          <w:szCs w:val="18"/>
        </w:rPr>
        <w:footnoteRef/>
      </w:r>
      <w:r>
        <w:rPr>
          <w:szCs w:val="18"/>
        </w:rPr>
        <w:t xml:space="preserve"> France,</w:t>
      </w:r>
      <w:r w:rsidRPr="000D0922">
        <w:rPr>
          <w:szCs w:val="18"/>
        </w:rPr>
        <w:t xml:space="preserve"> </w:t>
      </w:r>
      <w:r w:rsidRPr="0015390C">
        <w:rPr>
          <w:szCs w:val="18"/>
        </w:rPr>
        <w:t xml:space="preserve">Intellectual Property Code, </w:t>
      </w:r>
      <w:r w:rsidRPr="0015390C">
        <w:rPr>
          <w:rStyle w:val="y2iqfc"/>
          <w:szCs w:val="18"/>
          <w:lang w:val="en"/>
        </w:rPr>
        <w:t>Article R122-3, modified by Decree n°2022-928 of June 23, 2022 - art. 10.</w:t>
      </w:r>
    </w:p>
  </w:footnote>
  <w:footnote w:id="132">
    <w:p w14:paraId="1D5619E8" w14:textId="5B5C2562" w:rsidR="000D0922" w:rsidRPr="0015390C" w:rsidRDefault="000D0922" w:rsidP="0015390C">
      <w:pPr>
        <w:pStyle w:val="FootnoteText"/>
        <w:spacing w:before="120" w:after="120"/>
        <w:jc w:val="both"/>
        <w:rPr>
          <w:lang w:val="en-AU"/>
        </w:rPr>
      </w:pPr>
      <w:r>
        <w:rPr>
          <w:rStyle w:val="FootnoteReference"/>
        </w:rPr>
        <w:footnoteRef/>
      </w:r>
      <w:r>
        <w:t xml:space="preserve"> Greece, </w:t>
      </w:r>
      <w:r w:rsidRPr="0015390C">
        <w:rPr>
          <w:szCs w:val="18"/>
        </w:rPr>
        <w:t xml:space="preserve">Law </w:t>
      </w:r>
      <w:r w:rsidRPr="000D0922">
        <w:rPr>
          <w:szCs w:val="18"/>
        </w:rPr>
        <w:t>2121/1993, Articl</w:t>
      </w:r>
      <w:r>
        <w:rPr>
          <w:szCs w:val="18"/>
        </w:rPr>
        <w:t>e</w:t>
      </w:r>
      <w:r w:rsidRPr="000D0922">
        <w:rPr>
          <w:szCs w:val="18"/>
        </w:rPr>
        <w:t xml:space="preserve"> 5.</w:t>
      </w:r>
    </w:p>
  </w:footnote>
  <w:footnote w:id="133">
    <w:p w14:paraId="0AF6E739" w14:textId="1FF429A4" w:rsidR="000D0922" w:rsidRPr="0015390C" w:rsidRDefault="000D0922" w:rsidP="0015390C">
      <w:pPr>
        <w:pStyle w:val="FootnoteText"/>
        <w:spacing w:before="120" w:after="120"/>
        <w:jc w:val="both"/>
        <w:rPr>
          <w:lang w:val="en-AU"/>
        </w:rPr>
      </w:pPr>
      <w:r>
        <w:rPr>
          <w:rStyle w:val="FootnoteReference"/>
        </w:rPr>
        <w:footnoteRef/>
      </w:r>
      <w:r>
        <w:t xml:space="preserve"> </w:t>
      </w:r>
      <w:r w:rsidR="00744BB1">
        <w:t xml:space="preserve">UK, </w:t>
      </w:r>
      <w:r w:rsidRPr="0015390C">
        <w:rPr>
          <w:szCs w:val="18"/>
        </w:rPr>
        <w:t>The Artist’s Resale Right Regulations 2006, reg 4.</w:t>
      </w:r>
    </w:p>
  </w:footnote>
  <w:footnote w:id="134">
    <w:p w14:paraId="6ABDB4E9" w14:textId="03DC0498" w:rsidR="000D0922" w:rsidRPr="0015390C" w:rsidRDefault="000D0922" w:rsidP="0015390C">
      <w:pPr>
        <w:pStyle w:val="FootnoteText"/>
        <w:spacing w:before="120" w:after="120"/>
        <w:jc w:val="both"/>
        <w:rPr>
          <w:lang w:val="en-AU"/>
        </w:rPr>
      </w:pPr>
      <w:r>
        <w:rPr>
          <w:rStyle w:val="FootnoteReference"/>
        </w:rPr>
        <w:footnoteRef/>
      </w:r>
      <w:r>
        <w:t xml:space="preserve"> </w:t>
      </w:r>
      <w:r w:rsidRPr="0015390C">
        <w:rPr>
          <w:szCs w:val="18"/>
        </w:rPr>
        <w:t>Resale Right for Visual Artists Act 2023, s 8.</w:t>
      </w:r>
    </w:p>
  </w:footnote>
  <w:footnote w:id="135">
    <w:p w14:paraId="6A9C5B7F" w14:textId="5A5A9FBF" w:rsidR="00BC0F29" w:rsidRPr="0015390C" w:rsidRDefault="00950DE6" w:rsidP="0015390C">
      <w:pPr>
        <w:pStyle w:val="FootnoteText"/>
        <w:spacing w:before="120" w:after="120"/>
        <w:jc w:val="both"/>
      </w:pPr>
      <w:r>
        <w:rPr>
          <w:rStyle w:val="FootnoteReference"/>
        </w:rPr>
        <w:footnoteRef/>
      </w:r>
      <w:r>
        <w:t xml:space="preserve"> An ‘indicative’ list of countries both within and outside the EU where such arrangements arise is to be found at: </w:t>
      </w:r>
      <w:hyperlink r:id="rId36" w:history="1">
        <w:r w:rsidRPr="00B758F3">
          <w:rPr>
            <w:rStyle w:val="Hyperlink"/>
          </w:rPr>
          <w:t>https://res.cloudinary.com/void-sarl/raw/upload/v1656491807/2022-06/LISTE%20INDICATIVE%20DES%20PAYS%20Droit%20de%20suite.pdf</w:t>
        </w:r>
      </w:hyperlink>
      <w:r>
        <w:t xml:space="preserve"> </w:t>
      </w:r>
      <w:r w:rsidR="00A5081E">
        <w:t>(</w:t>
      </w:r>
      <w:r>
        <w:t xml:space="preserve">viewed 10 January 2025). In the UK, the website for ACS contains a list of sister societies in foreign countries with which ACS has agreements to collect royalties: see at </w:t>
      </w:r>
      <w:hyperlink r:id="rId37" w:history="1">
        <w:r w:rsidRPr="00B758F3">
          <w:rPr>
            <w:rStyle w:val="Hyperlink"/>
          </w:rPr>
          <w:t>https://artistscollectingsociety.org/collecting-socities/</w:t>
        </w:r>
      </w:hyperlink>
      <w:r>
        <w:t xml:space="preserve"> (viewed 10 January 2025); in the case of Australia, see </w:t>
      </w:r>
      <w:hyperlink r:id="rId38" w:history="1">
        <w:r w:rsidRPr="00B758F3">
          <w:rPr>
            <w:rStyle w:val="Hyperlink"/>
          </w:rPr>
          <w:t>https://www.resaleroyalty.org.au/About.aspx</w:t>
        </w:r>
      </w:hyperlink>
      <w:r>
        <w:t xml:space="preserve"> (viewed 10 January 2025);</w:t>
      </w:r>
      <w:r w:rsidR="00BC0F29">
        <w:t xml:space="preserve"> in the case of Germany, see agreements of Bild Kunst with DACS, ADAGP and VEGAP  at </w:t>
      </w:r>
      <w:r w:rsidR="00BC0F29" w:rsidRPr="00BC0F29">
        <w:t>https://www.bildkunst.de/ueber_uns/dokumentencenter/</w:t>
      </w:r>
    </w:p>
  </w:footnote>
  <w:footnote w:id="136">
    <w:p w14:paraId="53483FA2" w14:textId="4089303E" w:rsidR="00837CE7" w:rsidRPr="0049127C" w:rsidRDefault="00837CE7" w:rsidP="0015390C">
      <w:pPr>
        <w:pStyle w:val="FootnoteText"/>
        <w:spacing w:before="120" w:after="120"/>
        <w:jc w:val="both"/>
        <w:rPr>
          <w:lang w:val="en-AU"/>
        </w:rPr>
      </w:pPr>
      <w:r w:rsidRPr="0049127C">
        <w:rPr>
          <w:rStyle w:val="FootnoteReference"/>
        </w:rPr>
        <w:footnoteRef/>
      </w:r>
      <w:r w:rsidRPr="0049127C">
        <w:t xml:space="preserve"> </w:t>
      </w:r>
      <w:r w:rsidRPr="0049127C">
        <w:rPr>
          <w:lang w:val="en-AU"/>
        </w:rPr>
        <w:t xml:space="preserve">This might well be a useful exercise to </w:t>
      </w:r>
      <w:r w:rsidR="00290094" w:rsidRPr="0049127C">
        <w:rPr>
          <w:lang w:val="en-AU"/>
        </w:rPr>
        <w:t>conduct but</w:t>
      </w:r>
      <w:r w:rsidR="009F08BB" w:rsidRPr="0049127C">
        <w:rPr>
          <w:lang w:val="en-AU"/>
        </w:rPr>
        <w:t xml:space="preserve"> would involve considerable resources to s</w:t>
      </w:r>
      <w:r w:rsidR="00290094" w:rsidRPr="0049127C">
        <w:rPr>
          <w:lang w:val="en-AU"/>
        </w:rPr>
        <w:t>u</w:t>
      </w:r>
      <w:r w:rsidR="009F08BB" w:rsidRPr="0049127C">
        <w:rPr>
          <w:lang w:val="en-AU"/>
        </w:rPr>
        <w:t>r</w:t>
      </w:r>
      <w:r w:rsidR="00290094" w:rsidRPr="0049127C">
        <w:rPr>
          <w:lang w:val="en-AU"/>
        </w:rPr>
        <w:t>v</w:t>
      </w:r>
      <w:r w:rsidR="009F08BB" w:rsidRPr="0049127C">
        <w:rPr>
          <w:lang w:val="en-AU"/>
        </w:rPr>
        <w:t xml:space="preserve">ey </w:t>
      </w:r>
      <w:r w:rsidRPr="0049127C">
        <w:rPr>
          <w:lang w:val="en-AU"/>
        </w:rPr>
        <w:t>individual parties such as artists, galleries and other AMPs in such countries</w:t>
      </w:r>
      <w:r w:rsidR="00290094" w:rsidRPr="0049127C">
        <w:rPr>
          <w:lang w:val="en-AU"/>
        </w:rPr>
        <w:t xml:space="preserve"> to ascertain the extent to which AR</w:t>
      </w:r>
      <w:r w:rsidR="00BC0F29" w:rsidRPr="0049127C">
        <w:rPr>
          <w:lang w:val="en-AU"/>
        </w:rPr>
        <w:t>R</w:t>
      </w:r>
      <w:r w:rsidR="00290094" w:rsidRPr="0049127C">
        <w:rPr>
          <w:lang w:val="en-AU"/>
        </w:rPr>
        <w:t xml:space="preserve"> payments are sought and collected</w:t>
      </w:r>
      <w:r w:rsidRPr="0049127C">
        <w:rPr>
          <w:lang w:val="en-AU"/>
        </w:rPr>
        <w:t xml:space="preserve">.  </w:t>
      </w:r>
      <w:r w:rsidR="00290094" w:rsidRPr="0049127C">
        <w:rPr>
          <w:lang w:val="en-AU"/>
        </w:rPr>
        <w:t>In this regard</w:t>
      </w:r>
      <w:r w:rsidRPr="0049127C">
        <w:rPr>
          <w:lang w:val="en-AU"/>
        </w:rPr>
        <w:t>,</w:t>
      </w:r>
      <w:r w:rsidR="00290094" w:rsidRPr="0049127C">
        <w:rPr>
          <w:lang w:val="en-AU"/>
        </w:rPr>
        <w:t xml:space="preserve"> it may be noted that, in</w:t>
      </w:r>
      <w:r w:rsidRPr="0049127C">
        <w:rPr>
          <w:lang w:val="en-AU"/>
        </w:rPr>
        <w:t xml:space="preserve"> response to questionnaires directed to CMOs not </w:t>
      </w:r>
      <w:r w:rsidR="00290094" w:rsidRPr="0049127C">
        <w:rPr>
          <w:lang w:val="en-AU"/>
        </w:rPr>
        <w:t xml:space="preserve">already </w:t>
      </w:r>
      <w:r w:rsidRPr="0049127C">
        <w:rPr>
          <w:lang w:val="en-AU"/>
        </w:rPr>
        <w:t xml:space="preserve">collecting ARR payments in countries where ARR is </w:t>
      </w:r>
      <w:r w:rsidR="0049127C">
        <w:rPr>
          <w:lang w:val="en-AU"/>
        </w:rPr>
        <w:t>recognized</w:t>
      </w:r>
      <w:r w:rsidR="00290094" w:rsidRPr="0049127C">
        <w:rPr>
          <w:lang w:val="en-AU"/>
        </w:rPr>
        <w:t xml:space="preserve"> but </w:t>
      </w:r>
      <w:r w:rsidR="00B65812" w:rsidRPr="0049127C">
        <w:rPr>
          <w:lang w:val="en-AU"/>
        </w:rPr>
        <w:t xml:space="preserve">where </w:t>
      </w:r>
      <w:r w:rsidR="00290094" w:rsidRPr="0049127C">
        <w:rPr>
          <w:lang w:val="en-AU"/>
        </w:rPr>
        <w:t xml:space="preserve">there is presently no provision for collective management, several (South Africa, Botswana, Brazil) noted that </w:t>
      </w:r>
      <w:r w:rsidRPr="0049127C">
        <w:rPr>
          <w:lang w:val="en-AU"/>
        </w:rPr>
        <w:t xml:space="preserve">some kind of legislative provision for </w:t>
      </w:r>
      <w:r w:rsidR="00290094" w:rsidRPr="0049127C">
        <w:rPr>
          <w:lang w:val="en-AU"/>
        </w:rPr>
        <w:t xml:space="preserve">this </w:t>
      </w:r>
      <w:r w:rsidRPr="0049127C">
        <w:rPr>
          <w:lang w:val="en-AU"/>
        </w:rPr>
        <w:t xml:space="preserve">would be </w:t>
      </w:r>
      <w:r w:rsidR="00290094" w:rsidRPr="0049127C">
        <w:rPr>
          <w:lang w:val="en-AU"/>
        </w:rPr>
        <w:t>desirable</w:t>
      </w:r>
      <w:r w:rsidRPr="0049127C">
        <w:rPr>
          <w:lang w:val="en-AU"/>
        </w:rPr>
        <w:t xml:space="preserve"> </w:t>
      </w:r>
      <w:r w:rsidR="00290094" w:rsidRPr="0049127C">
        <w:rPr>
          <w:lang w:val="en-AU"/>
        </w:rPr>
        <w:t>i</w:t>
      </w:r>
      <w:r w:rsidRPr="0049127C">
        <w:rPr>
          <w:lang w:val="en-AU"/>
        </w:rPr>
        <w:t>f the</w:t>
      </w:r>
      <w:r w:rsidR="00290094" w:rsidRPr="0049127C">
        <w:rPr>
          <w:lang w:val="en-AU"/>
        </w:rPr>
        <w:t>y</w:t>
      </w:r>
      <w:r w:rsidRPr="0049127C">
        <w:rPr>
          <w:lang w:val="en-AU"/>
        </w:rPr>
        <w:t xml:space="preserve"> </w:t>
      </w:r>
      <w:r w:rsidR="00B65812" w:rsidRPr="0049127C">
        <w:rPr>
          <w:lang w:val="en-AU"/>
        </w:rPr>
        <w:t xml:space="preserve">were </w:t>
      </w:r>
      <w:r w:rsidRPr="0049127C">
        <w:rPr>
          <w:lang w:val="en-AU"/>
        </w:rPr>
        <w:t xml:space="preserve">to </w:t>
      </w:r>
      <w:r w:rsidR="00290094" w:rsidRPr="0049127C">
        <w:rPr>
          <w:lang w:val="en-AU"/>
        </w:rPr>
        <w:t xml:space="preserve">undertake management of </w:t>
      </w:r>
      <w:r w:rsidRPr="0049127C">
        <w:rPr>
          <w:lang w:val="en-AU"/>
        </w:rPr>
        <w:t xml:space="preserve">ARR. </w:t>
      </w:r>
      <w:r w:rsidR="00290094" w:rsidRPr="0049127C">
        <w:rPr>
          <w:lang w:val="en-AU"/>
        </w:rPr>
        <w:t>It may also be noted that in the countries where there were CMOs consulted in the course of preparation of the Toolkit, each had some further legislative measure embodying or authori</w:t>
      </w:r>
      <w:r w:rsidR="0049127C">
        <w:rPr>
          <w:lang w:val="en-AU"/>
        </w:rPr>
        <w:t>z</w:t>
      </w:r>
      <w:r w:rsidR="00290094" w:rsidRPr="0049127C">
        <w:rPr>
          <w:lang w:val="en-AU"/>
        </w:rPr>
        <w:t>ing collective</w:t>
      </w:r>
      <w:r w:rsidR="00F72D66" w:rsidRPr="0049127C">
        <w:rPr>
          <w:lang w:val="en-AU"/>
        </w:rPr>
        <w:t xml:space="preserve"> in one form or other</w:t>
      </w:r>
      <w:r w:rsidR="00290094" w:rsidRPr="0049127C">
        <w:rPr>
          <w:lang w:val="en-AU"/>
        </w:rPr>
        <w:t xml:space="preserve"> quite apart from simple legislative recognition of this right</w:t>
      </w:r>
      <w:r w:rsidR="00F72D66" w:rsidRPr="0049127C">
        <w:rPr>
          <w:lang w:val="en-AU"/>
        </w:rPr>
        <w:t>.</w:t>
      </w:r>
      <w:r w:rsidRPr="0049127C">
        <w:rPr>
          <w:lang w:val="en-AU"/>
        </w:rPr>
        <w:t xml:space="preserve">    </w:t>
      </w:r>
    </w:p>
  </w:footnote>
  <w:footnote w:id="137">
    <w:p w14:paraId="7F76E554" w14:textId="0F4B3AE0" w:rsidR="00CE0FA9" w:rsidRPr="0049127C" w:rsidRDefault="00EC250C">
      <w:pPr>
        <w:pStyle w:val="FootnoteText"/>
        <w:rPr>
          <w:lang w:val="en-AU"/>
        </w:rPr>
      </w:pPr>
      <w:r w:rsidRPr="0049127C">
        <w:rPr>
          <w:rStyle w:val="FootnoteReference"/>
        </w:rPr>
        <w:footnoteRef/>
      </w:r>
      <w:r w:rsidRPr="0049127C">
        <w:t xml:space="preserve"> </w:t>
      </w:r>
      <w:r w:rsidRPr="0049127C">
        <w:rPr>
          <w:lang w:val="en-AU"/>
        </w:rPr>
        <w:t>Although there is no ARR in the USA, it may be noted that for many years</w:t>
      </w:r>
      <w:r w:rsidR="0049127C">
        <w:rPr>
          <w:lang w:val="en-AU"/>
        </w:rPr>
        <w:t>,</w:t>
      </w:r>
      <w:r w:rsidRPr="0049127C">
        <w:rPr>
          <w:lang w:val="en-AU"/>
        </w:rPr>
        <w:t xml:space="preserve"> there was a state-based scheme that operated in California: </w:t>
      </w:r>
      <w:r w:rsidR="00FC3A57" w:rsidRPr="0049127C">
        <w:rPr>
          <w:lang w:val="en-AU"/>
        </w:rPr>
        <w:t xml:space="preserve">California, </w:t>
      </w:r>
      <w:r w:rsidR="00FC3A57" w:rsidRPr="0049127C">
        <w:rPr>
          <w:i/>
          <w:iCs/>
          <w:lang w:val="en-AU"/>
        </w:rPr>
        <w:t xml:space="preserve">Resale Royalties Act 1976 </w:t>
      </w:r>
      <w:r w:rsidR="00FC3A57" w:rsidRPr="0049127C">
        <w:rPr>
          <w:lang w:val="en-AU"/>
        </w:rPr>
        <w:t xml:space="preserve">(California Civil Code, s 986). For further background on this legislation, see </w:t>
      </w:r>
      <w:r w:rsidR="00FC3A57" w:rsidRPr="0049127C">
        <w:rPr>
          <w:rFonts w:eastAsia="Times New Roman"/>
          <w:szCs w:val="18"/>
          <w:lang w:val="en-GB" w:eastAsia="fr-CH"/>
        </w:rPr>
        <w:t xml:space="preserve">Michael B. Reddy, ‘The Droit de Suite: Why American Fine Artists Should Have a Right to a Resale Royalty’ (1995) 15 Loyola Los Angeles Entertainment Law Review 509 (1995). Available at: </w:t>
      </w:r>
      <w:hyperlink r:id="rId39" w:history="1">
        <w:r w:rsidR="00FC3A57" w:rsidRPr="0049127C">
          <w:rPr>
            <w:rStyle w:val="Hyperlink"/>
            <w:szCs w:val="18"/>
          </w:rPr>
          <w:t>https://digitalcommons.lmu.edu/elr/vol15/iss3/2</w:t>
        </w:r>
      </w:hyperlink>
      <w:r w:rsidR="00FC3A57" w:rsidRPr="0049127C">
        <w:rPr>
          <w:rFonts w:eastAsia="Times New Roman"/>
          <w:szCs w:val="18"/>
          <w:lang w:val="en-GB" w:eastAsia="fr-CH"/>
        </w:rPr>
        <w:t xml:space="preserve"> </w:t>
      </w:r>
      <w:r w:rsidR="00FC3A57" w:rsidRPr="0049127C">
        <w:rPr>
          <w:lang w:val="en-AU"/>
        </w:rPr>
        <w:t xml:space="preserve"> However, this law was declared unconstitutional </w:t>
      </w:r>
      <w:r w:rsidR="00D43B31" w:rsidRPr="0049127C">
        <w:rPr>
          <w:lang w:val="en-AU"/>
        </w:rPr>
        <w:t>as pre-empted by federal law (s 301, Copyright Act 1976) by the US Court of Appeals for the Ninth Circuit on 2 May 2015; petition for certiorari to US Supreme Court denied 11 January 20</w:t>
      </w:r>
      <w:r w:rsidR="006F63F5">
        <w:rPr>
          <w:lang w:val="en-AU"/>
        </w:rPr>
        <w:t>1</w:t>
      </w:r>
      <w:r w:rsidR="00D43B31" w:rsidRPr="0049127C">
        <w:rPr>
          <w:lang w:val="en-AU"/>
        </w:rPr>
        <w:t>6. See further:</w:t>
      </w:r>
    </w:p>
    <w:p w14:paraId="46D238FD" w14:textId="4F41A1B4" w:rsidR="00EC250C" w:rsidRPr="0015390C" w:rsidRDefault="00D43B31">
      <w:pPr>
        <w:pStyle w:val="FootnoteText"/>
        <w:rPr>
          <w:lang w:val="en-AU"/>
        </w:rPr>
      </w:pPr>
      <w:r w:rsidRPr="0049127C">
        <w:rPr>
          <w:lang w:val="en-AU"/>
        </w:rPr>
        <w:t xml:space="preserve"> </w:t>
      </w:r>
      <w:hyperlink r:id="rId40" w:history="1">
        <w:r w:rsidRPr="0049127C">
          <w:rPr>
            <w:rStyle w:val="Hyperlink"/>
            <w:lang w:val="en-AU"/>
          </w:rPr>
          <w:t>https://www.supremecourt.gov/search.aspx?filename=/docketfiles/15-280.htm</w:t>
        </w:r>
      </w:hyperlink>
      <w:r>
        <w:rPr>
          <w:lang w:val="en-AU"/>
        </w:rPr>
        <w:t xml:space="preserve">  </w:t>
      </w:r>
      <w:r w:rsidR="00FC3A57">
        <w:rPr>
          <w:lang w:val="en-AU"/>
        </w:rPr>
        <w:t xml:space="preserve"> </w:t>
      </w:r>
      <w:r w:rsidR="00FC3A57">
        <w:rPr>
          <w:i/>
          <w:iCs/>
          <w:lang w:val="en-AU"/>
        </w:rPr>
        <w:t xml:space="preserve"> </w:t>
      </w:r>
    </w:p>
  </w:footnote>
  <w:footnote w:id="138">
    <w:p w14:paraId="3946F88B" w14:textId="5D35E591" w:rsidR="00710039" w:rsidRPr="0015390C" w:rsidRDefault="00710039" w:rsidP="0015390C">
      <w:pPr>
        <w:pStyle w:val="FootnoteText"/>
        <w:spacing w:before="120" w:after="120"/>
        <w:jc w:val="both"/>
        <w:rPr>
          <w:lang w:val="en-AU"/>
        </w:rPr>
      </w:pPr>
      <w:r w:rsidRPr="00D614C8">
        <w:rPr>
          <w:rStyle w:val="FootnoteReference"/>
        </w:rPr>
        <w:footnoteRef/>
      </w:r>
      <w:r w:rsidRPr="00D614C8">
        <w:t xml:space="preserve"> </w:t>
      </w:r>
      <w:r w:rsidRPr="00D614C8">
        <w:rPr>
          <w:lang w:val="en-AU"/>
        </w:rPr>
        <w:t xml:space="preserve">Whether or not an art resale market is ‘large’ or ‘small’ or somewhere in between may not really be a relevant question here, as there is no necessary connection between market size and the form of collective management adopted, as the examples given above indicate. Essentially, each country will determine for itself what set of arrangements best suits its particular market </w:t>
      </w:r>
      <w:r w:rsidR="001F6D09" w:rsidRPr="00D614C8">
        <w:rPr>
          <w:lang w:val="en-AU"/>
        </w:rPr>
        <w:t>conditions</w:t>
      </w:r>
      <w:r w:rsidRPr="00D614C8">
        <w:rPr>
          <w:lang w:val="en-AU"/>
        </w:rPr>
        <w:t>.</w:t>
      </w:r>
    </w:p>
  </w:footnote>
  <w:footnote w:id="139">
    <w:p w14:paraId="19C8D0EF" w14:textId="75DED6C6" w:rsidR="00906698" w:rsidRPr="00FB172C" w:rsidRDefault="00906698">
      <w:pPr>
        <w:pStyle w:val="FootnoteText"/>
        <w:rPr>
          <w:lang w:val="en-AU"/>
        </w:rPr>
      </w:pPr>
      <w:r w:rsidRPr="00FB172C">
        <w:rPr>
          <w:rStyle w:val="FootnoteReference"/>
        </w:rPr>
        <w:footnoteRef/>
      </w:r>
      <w:r w:rsidRPr="00FB172C">
        <w:t xml:space="preserve"> </w:t>
      </w:r>
      <w:r w:rsidRPr="00FB172C">
        <w:rPr>
          <w:lang w:val="en-AU"/>
        </w:rPr>
        <w:t>This information was obtained from responses to a short questionnaire sent out on 6 February 2025 by a CISAC working group to CMOs involved in ARR management. The questions were as follows:</w:t>
      </w:r>
    </w:p>
    <w:p w14:paraId="3A77B085"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amount of RR did you receive in 2023?  </w:t>
      </w:r>
    </w:p>
    <w:p w14:paraId="1CBBA161"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How many employees work for the RR in your CMO (in full-time employment)? </w:t>
      </w:r>
    </w:p>
    <w:p w14:paraId="652ACF84"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is your global RR management cost? </w:t>
      </w:r>
    </w:p>
    <w:p w14:paraId="3667ED85" w14:textId="77777777" w:rsidR="00292FE7" w:rsidRPr="00FB172C" w:rsidRDefault="00292FE7" w:rsidP="00292FE7">
      <w:pPr>
        <w:numPr>
          <w:ilvl w:val="0"/>
          <w:numId w:val="49"/>
        </w:numPr>
        <w:rPr>
          <w:rFonts w:eastAsia="Times New Roman"/>
          <w:sz w:val="18"/>
          <w:szCs w:val="18"/>
          <w:lang w:eastAsia="en-GB"/>
        </w:rPr>
      </w:pPr>
      <w:r w:rsidRPr="00FB172C">
        <w:rPr>
          <w:rFonts w:eastAsia="Times New Roman"/>
          <w:sz w:val="18"/>
          <w:szCs w:val="18"/>
          <w:lang w:eastAsia="en-GB"/>
        </w:rPr>
        <w:t>What rate for management fees is charged on the RR ? Has it changed over the past 5 years, and if so, please specify.  </w:t>
      </w:r>
    </w:p>
    <w:p w14:paraId="4C0FD6BD" w14:textId="77777777" w:rsidR="00292FE7" w:rsidRPr="00FB172C" w:rsidRDefault="00292FE7" w:rsidP="00292FE7">
      <w:pPr>
        <w:numPr>
          <w:ilvl w:val="0"/>
          <w:numId w:val="49"/>
        </w:numPr>
        <w:rPr>
          <w:rFonts w:eastAsia="Times New Roman"/>
          <w:sz w:val="18"/>
          <w:szCs w:val="18"/>
          <w:lang w:val="en-AU" w:eastAsia="en-GB"/>
        </w:rPr>
      </w:pPr>
      <w:r w:rsidRPr="00FB172C">
        <w:rPr>
          <w:rFonts w:eastAsia="Times New Roman"/>
          <w:sz w:val="18"/>
          <w:szCs w:val="18"/>
          <w:lang w:eastAsia="en-GB"/>
        </w:rPr>
        <w:t xml:space="preserve">Is there another source of funding for the RR management costs other than the deduction from the RR ? </w:t>
      </w:r>
      <w:r w:rsidRPr="00FB172C">
        <w:rPr>
          <w:rFonts w:eastAsia="Times New Roman"/>
          <w:sz w:val="18"/>
          <w:szCs w:val="18"/>
          <w:lang w:val="fr-FR" w:eastAsia="en-GB"/>
        </w:rPr>
        <w:t>If so, which ones? </w:t>
      </w:r>
    </w:p>
    <w:p w14:paraId="73A9A88A" w14:textId="143469CC" w:rsidR="009A5545" w:rsidRPr="00FB172C" w:rsidRDefault="00292FE7" w:rsidP="0015390C">
      <w:pPr>
        <w:numPr>
          <w:ilvl w:val="0"/>
          <w:numId w:val="49"/>
        </w:numPr>
        <w:rPr>
          <w:rFonts w:eastAsia="Times New Roman"/>
          <w:szCs w:val="18"/>
          <w:lang w:val="en-AU" w:eastAsia="en-GB"/>
        </w:rPr>
      </w:pPr>
      <w:r w:rsidRPr="00FB172C">
        <w:rPr>
          <w:rFonts w:eastAsia="Times New Roman"/>
          <w:sz w:val="18"/>
          <w:szCs w:val="18"/>
          <w:lang w:eastAsia="en-GB"/>
        </w:rPr>
        <w:t xml:space="preserve"> Other advices or useful insights are most welcome !</w:t>
      </w:r>
      <w:r w:rsidRPr="00FB172C">
        <w:rPr>
          <w:rFonts w:ascii="Aptos" w:eastAsia="Times New Roman" w:hAnsi="Aptos" w:cs="Times New Roman"/>
          <w:sz w:val="18"/>
          <w:szCs w:val="18"/>
          <w:lang w:eastAsia="en-GB"/>
        </w:rPr>
        <w:t>  </w:t>
      </w:r>
    </w:p>
    <w:p w14:paraId="3AE46F7C" w14:textId="77777777" w:rsidR="008B060E" w:rsidRPr="00FB172C" w:rsidRDefault="00906698">
      <w:pPr>
        <w:pStyle w:val="FootnoteText"/>
        <w:rPr>
          <w:lang w:val="en-AU"/>
        </w:rPr>
      </w:pPr>
      <w:r w:rsidRPr="00FB172C">
        <w:rPr>
          <w:lang w:val="en-AU"/>
        </w:rPr>
        <w:t xml:space="preserve"> </w:t>
      </w:r>
      <w:r w:rsidR="008B060E" w:rsidRPr="00FB172C">
        <w:rPr>
          <w:lang w:val="en-AU"/>
        </w:rPr>
        <w:t xml:space="preserve">  </w:t>
      </w:r>
    </w:p>
    <w:p w14:paraId="55D7EF27" w14:textId="77777777" w:rsidR="008B060E" w:rsidRPr="00FB172C" w:rsidRDefault="008B060E" w:rsidP="0015390C">
      <w:pPr>
        <w:pStyle w:val="FootnoteText"/>
        <w:ind w:left="360"/>
        <w:jc w:val="both"/>
        <w:rPr>
          <w:lang w:val="en-AU"/>
        </w:rPr>
      </w:pPr>
      <w:r w:rsidRPr="00FB172C">
        <w:rPr>
          <w:lang w:val="en-AU"/>
        </w:rPr>
        <w:t>In some instances, it will be noted it has not been possible to identify the exact costs of management that are attributable to ARR collection and distribution as these are recorded as part of overall management costs.</w:t>
      </w:r>
    </w:p>
    <w:p w14:paraId="719E370B" w14:textId="5FB5A06A" w:rsidR="00906698" w:rsidRPr="00FB172C" w:rsidRDefault="008B060E" w:rsidP="0015390C">
      <w:pPr>
        <w:pStyle w:val="FootnoteText"/>
        <w:ind w:left="360"/>
        <w:rPr>
          <w:lang w:val="en-AU"/>
        </w:rPr>
      </w:pPr>
      <w:r w:rsidRPr="00FB172C">
        <w:rPr>
          <w:lang w:val="en-AU"/>
        </w:rPr>
        <w:t xml:space="preserve"> </w:t>
      </w:r>
      <w:r w:rsidR="00906698" w:rsidRPr="00FB172C">
        <w:rPr>
          <w:lang w:val="en-AU"/>
        </w:rPr>
        <w:t xml:space="preserve">   </w:t>
      </w:r>
    </w:p>
  </w:footnote>
  <w:footnote w:id="140">
    <w:p w14:paraId="0DAE39B5" w14:textId="2F801664" w:rsidR="00943B9A" w:rsidRPr="0015390C" w:rsidRDefault="00943B9A" w:rsidP="0015390C">
      <w:pPr>
        <w:pStyle w:val="FootnoteText"/>
        <w:jc w:val="both"/>
        <w:rPr>
          <w:rFonts w:eastAsia="Times New Roman"/>
          <w:color w:val="212121"/>
          <w:szCs w:val="18"/>
          <w:highlight w:val="cyan"/>
          <w:lang w:eastAsia="en-GB"/>
        </w:rPr>
      </w:pPr>
      <w:r w:rsidRPr="00FB172C">
        <w:rPr>
          <w:rStyle w:val="FootnoteReference"/>
        </w:rPr>
        <w:footnoteRef/>
      </w:r>
      <w:r w:rsidRPr="00FB172C">
        <w:t xml:space="preserve"> </w:t>
      </w:r>
      <w:r w:rsidRPr="00FB172C">
        <w:rPr>
          <w:lang w:val="en-AU"/>
        </w:rPr>
        <w:t>Communication from ADAGP, 5 February 2025. See further the ADA</w:t>
      </w:r>
      <w:r w:rsidRPr="00FB172C">
        <w:rPr>
          <w:szCs w:val="18"/>
          <w:lang w:val="en-AU"/>
        </w:rPr>
        <w:t>GP Transparency Report at</w:t>
      </w:r>
      <w:r w:rsidR="004E7966" w:rsidRPr="00FB172C">
        <w:rPr>
          <w:rFonts w:eastAsia="Times New Roman"/>
          <w:szCs w:val="18"/>
          <w:lang w:eastAsia="en-GB"/>
        </w:rPr>
        <w:t>:</w:t>
      </w:r>
      <w:r w:rsidRPr="00FB172C">
        <w:rPr>
          <w:rFonts w:eastAsia="Times New Roman"/>
          <w:szCs w:val="18"/>
          <w:lang w:eastAsia="en-GB"/>
        </w:rPr>
        <w:t> </w:t>
      </w:r>
      <w:hyperlink r:id="rId41" w:tooltip="https://url.au.m.mimecastprotect.com/s/VmJ6CnxyvXcXQJpQqH9fPTJ26Pk?domain=adagp.fr" w:history="1">
        <w:r w:rsidRPr="00FB172C">
          <w:rPr>
            <w:rFonts w:eastAsia="Times New Roman"/>
            <w:szCs w:val="18"/>
            <w:u w:val="single"/>
            <w:lang w:eastAsia="en-GB"/>
          </w:rPr>
          <w:t>https://www.adagp.fr/fr/role-et-missions-de-ladagp/presentation-generale-de-ladagp/les-statuts-et-rapports</w:t>
        </w:r>
      </w:hyperlink>
    </w:p>
  </w:footnote>
  <w:footnote w:id="141">
    <w:p w14:paraId="2B48BF85" w14:textId="29D06797" w:rsidR="00C2666C" w:rsidRPr="00FB172C" w:rsidRDefault="00C2666C"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w:t>
      </w:r>
      <w:r w:rsidRPr="00FB172C">
        <w:rPr>
          <w:rFonts w:eastAsia="Times New Roman"/>
          <w:color w:val="212121"/>
          <w:szCs w:val="18"/>
          <w:lang w:eastAsia="en-GB"/>
        </w:rPr>
        <w:t>Bildupphovsrätt, 6 February 2025.</w:t>
      </w:r>
    </w:p>
  </w:footnote>
  <w:footnote w:id="142">
    <w:p w14:paraId="4921868B"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Communication from GESTOR, 7 February 2025.</w:t>
      </w:r>
    </w:p>
  </w:footnote>
  <w:footnote w:id="143">
    <w:p w14:paraId="2633573E"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SOFAM, 10 February 2025. These figures do not include a figure for global RR management cost. </w:t>
      </w:r>
    </w:p>
  </w:footnote>
  <w:footnote w:id="144">
    <w:p w14:paraId="1AA6A9B6" w14:textId="77777777" w:rsidR="00447495" w:rsidRPr="00FB172C" w:rsidRDefault="00447495" w:rsidP="0015390C">
      <w:pPr>
        <w:pStyle w:val="FootnoteText"/>
        <w:spacing w:before="120" w:after="120"/>
        <w:rPr>
          <w:lang w:val="en-AU"/>
        </w:rPr>
      </w:pPr>
      <w:r w:rsidRPr="00FB172C">
        <w:rPr>
          <w:rStyle w:val="FootnoteReference"/>
        </w:rPr>
        <w:footnoteRef/>
      </w:r>
      <w:r w:rsidRPr="00FB172C">
        <w:t xml:space="preserve"> </w:t>
      </w:r>
      <w:r w:rsidRPr="00FB172C">
        <w:rPr>
          <w:lang w:val="en-AU"/>
        </w:rPr>
        <w:t xml:space="preserve">Communication from EVA, 10 February 2025.  </w:t>
      </w:r>
    </w:p>
  </w:footnote>
  <w:footnote w:id="145">
    <w:p w14:paraId="06C969D6" w14:textId="77777777" w:rsidR="00447495" w:rsidRPr="00FB172C" w:rsidRDefault="00447495" w:rsidP="0015390C">
      <w:pPr>
        <w:pStyle w:val="FootnoteText"/>
        <w:spacing w:before="120" w:after="120"/>
        <w:jc w:val="both"/>
        <w:rPr>
          <w:lang w:val="en-AU"/>
        </w:rPr>
      </w:pPr>
      <w:r w:rsidRPr="00FB172C">
        <w:rPr>
          <w:rStyle w:val="FootnoteReference"/>
        </w:rPr>
        <w:footnoteRef/>
      </w:r>
      <w:r w:rsidRPr="00FB172C">
        <w:t xml:space="preserve"> </w:t>
      </w:r>
      <w:r w:rsidRPr="00FB172C">
        <w:rPr>
          <w:lang w:val="en-AU"/>
        </w:rPr>
        <w:t>Communication from SAAUTORES, 12 February 2025.</w:t>
      </w:r>
    </w:p>
  </w:footnote>
  <w:footnote w:id="146">
    <w:p w14:paraId="77EDEB7D" w14:textId="5A397902" w:rsidR="00447495" w:rsidRPr="0015390C" w:rsidRDefault="00447495" w:rsidP="0015390C">
      <w:pPr>
        <w:pStyle w:val="FootnoteText"/>
        <w:spacing w:before="120" w:after="120"/>
        <w:jc w:val="both"/>
        <w:rPr>
          <w:highlight w:val="cyan"/>
          <w:lang w:val="en-AU"/>
        </w:rPr>
      </w:pPr>
      <w:r w:rsidRPr="00FB172C">
        <w:rPr>
          <w:rStyle w:val="FootnoteReference"/>
        </w:rPr>
        <w:footnoteRef/>
      </w:r>
      <w:r w:rsidRPr="00FB172C">
        <w:t xml:space="preserve"> </w:t>
      </w:r>
      <w:r w:rsidRPr="00FB172C">
        <w:rPr>
          <w:lang w:val="en-AU"/>
        </w:rPr>
        <w:t>Communication from DASCS, 10 February 2025.</w:t>
      </w:r>
      <w:r w:rsidR="0037171C" w:rsidRPr="00FB172C">
        <w:rPr>
          <w:lang w:val="en-AU"/>
        </w:rPr>
        <w:t xml:space="preserve"> See further DACS, </w:t>
      </w:r>
      <w:r w:rsidR="0037171C" w:rsidRPr="00FB172C">
        <w:rPr>
          <w:i/>
          <w:iCs/>
          <w:lang w:val="en-AU"/>
        </w:rPr>
        <w:t>Annual Transparency Report 2023</w:t>
      </w:r>
      <w:r w:rsidR="0037171C" w:rsidRPr="00FB172C">
        <w:rPr>
          <w:lang w:val="en-AU"/>
        </w:rPr>
        <w:t xml:space="preserve"> available at </w:t>
      </w:r>
      <w:hyperlink r:id="rId42" w:history="1">
        <w:r w:rsidR="0037171C" w:rsidRPr="00FB172C">
          <w:rPr>
            <w:rStyle w:val="Hyperlink"/>
            <w:lang w:val="en-AU"/>
          </w:rPr>
          <w:t>https://cdn.dacs.org.uk/uploads/documents/Annual-Reports/Transparency-reports-Audited-accounts/DACS-Signed-Transparency-Report-2023.pdf?v=1725362108</w:t>
        </w:r>
      </w:hyperlink>
      <w:r w:rsidR="0037171C" w:rsidRPr="00FB172C">
        <w:rPr>
          <w:lang w:val="en-AU"/>
        </w:rPr>
        <w:t xml:space="preserve"> (viewed 12 February 2025).</w:t>
      </w:r>
    </w:p>
  </w:footnote>
  <w:footnote w:id="147">
    <w:p w14:paraId="2717B84A" w14:textId="7B42C0F4" w:rsidR="008E37F3" w:rsidRPr="00FB172C" w:rsidRDefault="008E37F3" w:rsidP="0015390C">
      <w:pPr>
        <w:pStyle w:val="FootnoteText"/>
        <w:spacing w:before="120" w:after="120"/>
        <w:rPr>
          <w:lang w:val="en-AU"/>
        </w:rPr>
      </w:pPr>
      <w:r w:rsidRPr="00FB172C">
        <w:rPr>
          <w:rStyle w:val="FootnoteReference"/>
        </w:rPr>
        <w:footnoteRef/>
      </w:r>
      <w:r w:rsidRPr="00FB172C">
        <w:t xml:space="preserve"> </w:t>
      </w:r>
      <w:r w:rsidR="00906698" w:rsidRPr="00FB172C">
        <w:rPr>
          <w:lang w:val="en-AU"/>
        </w:rPr>
        <w:t xml:space="preserve">Communication from Pictoright, 13 February 2025. </w:t>
      </w:r>
    </w:p>
  </w:footnote>
  <w:footnote w:id="148">
    <w:p w14:paraId="3D4A3997" w14:textId="19550004" w:rsidR="009A5545" w:rsidRPr="00FB172C" w:rsidRDefault="009A5545" w:rsidP="0015390C">
      <w:pPr>
        <w:pStyle w:val="FootnoteText"/>
        <w:spacing w:before="120" w:after="120"/>
        <w:rPr>
          <w:lang w:val="en-AU"/>
        </w:rPr>
      </w:pPr>
      <w:r w:rsidRPr="00FB172C">
        <w:rPr>
          <w:rStyle w:val="FootnoteReference"/>
        </w:rPr>
        <w:footnoteRef/>
      </w:r>
      <w:r w:rsidRPr="00FB172C">
        <w:t xml:space="preserve"> </w:t>
      </w:r>
      <w:r w:rsidRPr="00FB172C">
        <w:rPr>
          <w:lang w:val="en-AU"/>
        </w:rPr>
        <w:t>169,303 HUF at exchange rate at 29 December 2023.</w:t>
      </w:r>
    </w:p>
  </w:footnote>
  <w:footnote w:id="149">
    <w:p w14:paraId="43BFC983" w14:textId="588003B6" w:rsidR="009A5545" w:rsidRPr="00FB172C" w:rsidRDefault="009A5545" w:rsidP="0015390C">
      <w:pPr>
        <w:pStyle w:val="FootnoteText"/>
        <w:spacing w:before="120" w:after="120"/>
        <w:rPr>
          <w:lang w:val="en-AU"/>
        </w:rPr>
      </w:pPr>
      <w:r w:rsidRPr="00FB172C">
        <w:rPr>
          <w:rStyle w:val="FootnoteReference"/>
        </w:rPr>
        <w:footnoteRef/>
      </w:r>
      <w:r w:rsidRPr="00FB172C">
        <w:t xml:space="preserve"> </w:t>
      </w:r>
      <w:r w:rsidRPr="00FB172C">
        <w:rPr>
          <w:lang w:val="en-AU"/>
        </w:rPr>
        <w:t>Communication from HUNGART, 14 February 2025.</w:t>
      </w:r>
    </w:p>
  </w:footnote>
  <w:footnote w:id="150">
    <w:p w14:paraId="012C62CC" w14:textId="61AF4271" w:rsidR="00447495" w:rsidRPr="0015390C" w:rsidRDefault="00447495" w:rsidP="0015390C">
      <w:pPr>
        <w:pStyle w:val="FootnoteText"/>
        <w:jc w:val="both"/>
        <w:rPr>
          <w:lang w:val="en-AU"/>
        </w:rPr>
      </w:pPr>
      <w:r w:rsidRPr="0049127C">
        <w:rPr>
          <w:rStyle w:val="FootnoteReference"/>
        </w:rPr>
        <w:footnoteRef/>
      </w:r>
      <w:r w:rsidRPr="0049127C">
        <w:t xml:space="preserve"> </w:t>
      </w:r>
      <w:r w:rsidRPr="0049127C">
        <w:rPr>
          <w:lang w:val="en-AU"/>
        </w:rPr>
        <w:t xml:space="preserve">In Australia, for instance, it took some time before specific legislation was adopted in 2009, beginning with an important report by the Australia Council in 1980 calling for such a right. An important impetus also was provided by the growing commercial significance of the market for artworks by Aboriginal and Torres Strait Islanders, as highlighted in the landmark report by Terri Janke, </w:t>
      </w:r>
      <w:r w:rsidRPr="0049127C">
        <w:rPr>
          <w:i/>
          <w:iCs/>
          <w:lang w:val="en-AU"/>
        </w:rPr>
        <w:t xml:space="preserve">Our Culture: Our Future: Cultural and Intellectual Property Rights, </w:t>
      </w:r>
      <w:r w:rsidRPr="0049127C">
        <w:rPr>
          <w:lang w:val="en-AU"/>
        </w:rPr>
        <w:t xml:space="preserve">1998, pp 208ff, available at </w:t>
      </w:r>
      <w:hyperlink r:id="rId43" w:history="1">
        <w:r w:rsidRPr="0049127C">
          <w:rPr>
            <w:rStyle w:val="Hyperlink"/>
            <w:lang w:val="en-AU"/>
          </w:rPr>
          <w:t>https://www.terrijanke.com.au/_files/ugd/7bf9b4_2740d8cff7d24320b70f8a34015f9a53.pdf</w:t>
        </w:r>
      </w:hyperlink>
      <w:r w:rsidRPr="0049127C">
        <w:rPr>
          <w:lang w:val="en-AU"/>
        </w:rPr>
        <w:t xml:space="preserve"> (viewed 10 February 2025). Subsequently, this was made part of the Labor Party’s election platform for the federal election of 2007 and the benefit to </w:t>
      </w:r>
      <w:r w:rsidRPr="0049127C">
        <w:rPr>
          <w:rFonts w:cs="Times New Roman"/>
          <w:szCs w:val="16"/>
          <w:lang w:val="en-AU"/>
        </w:rPr>
        <w:t>Aboriginal and Torres Straits artists was one of the matters emphasised by the government when it introduced its ARR legislation in 2008: see Part I, note 28</w:t>
      </w:r>
      <w:r w:rsidRPr="0049127C">
        <w:rPr>
          <w:rFonts w:cs="Times New Roman"/>
          <w:szCs w:val="16"/>
          <w:lang w:val="en-GB"/>
        </w:rPr>
        <w:t xml:space="preserve">. Another important development was the formation of a visual artists collecting society (VISCOPY) in the mid-1990s, later absorbed into CA, which began to promote the interests of visual artist, including ARR. Other important organizations that have been concerned with promoting awareness of the rights of visual artists, including ARR and Indigenous artists, are Arts Law (see at </w:t>
      </w:r>
      <w:hyperlink r:id="rId44" w:history="1">
        <w:r w:rsidR="00DD66FF" w:rsidRPr="00DD66FF">
          <w:rPr>
            <w:rStyle w:val="Hyperlink"/>
            <w:rFonts w:cs="Times New Roman"/>
            <w:szCs w:val="16"/>
            <w:lang w:val="en-GB"/>
          </w:rPr>
          <w:t>https://www.artslaw.com.au/</w:t>
        </w:r>
      </w:hyperlink>
      <w:r w:rsidRPr="0049127C">
        <w:rPr>
          <w:rFonts w:cs="Times New Roman"/>
          <w:szCs w:val="16"/>
          <w:lang w:val="en-GB"/>
        </w:rPr>
        <w:t xml:space="preserve"> viewed 11 February 2025) and the National Association for the Visual Arts or NAVA (see at </w:t>
      </w:r>
      <w:hyperlink r:id="rId45" w:history="1">
        <w:r w:rsidRPr="0049127C">
          <w:rPr>
            <w:rStyle w:val="Hyperlink"/>
            <w:rFonts w:cs="Times New Roman"/>
            <w:szCs w:val="16"/>
            <w:lang w:val="en-GB"/>
          </w:rPr>
          <w:t>https://visualarts.net.au/</w:t>
        </w:r>
      </w:hyperlink>
      <w:r w:rsidRPr="0049127C">
        <w:rPr>
          <w:rFonts w:cs="Times New Roman"/>
          <w:szCs w:val="16"/>
          <w:lang w:val="en-GB"/>
        </w:rPr>
        <w:t>, viewed 11 February 2025).</w:t>
      </w:r>
    </w:p>
  </w:footnote>
  <w:footnote w:id="151">
    <w:p w14:paraId="4C1FB5D1" w14:textId="1E5F852F" w:rsidR="003D6031" w:rsidRPr="00E53B80" w:rsidRDefault="003D6031" w:rsidP="0015390C">
      <w:pPr>
        <w:pStyle w:val="FootnoteText"/>
        <w:spacing w:before="120" w:after="120"/>
        <w:jc w:val="both"/>
        <w:rPr>
          <w:szCs w:val="18"/>
          <w:lang w:val="en-AU"/>
        </w:rPr>
      </w:pPr>
      <w:r w:rsidRPr="00E53B80">
        <w:rPr>
          <w:rStyle w:val="FootnoteReference"/>
          <w:szCs w:val="18"/>
        </w:rPr>
        <w:footnoteRef/>
      </w:r>
      <w:r w:rsidRPr="00E53B80">
        <w:rPr>
          <w:szCs w:val="18"/>
        </w:rPr>
        <w:t xml:space="preserve"> </w:t>
      </w:r>
      <w:r w:rsidRPr="00E53B80">
        <w:rPr>
          <w:szCs w:val="18"/>
          <w:lang w:val="en-AU"/>
        </w:rPr>
        <w:t>The increase in value approach is also adopted in the laws of several other Latin American countries, including Chile and Ecuador, where it may be supposed similar difficulties in collection will arise.</w:t>
      </w:r>
      <w:r>
        <w:rPr>
          <w:szCs w:val="18"/>
          <w:lang w:val="en-AU"/>
        </w:rPr>
        <w:t xml:space="preserve"> In this regard, it may be noted that Uruguay</w:t>
      </w:r>
      <w:r w:rsidR="00CF4B99">
        <w:rPr>
          <w:szCs w:val="18"/>
          <w:lang w:val="en-AU"/>
        </w:rPr>
        <w:t>,</w:t>
      </w:r>
      <w:r>
        <w:rPr>
          <w:szCs w:val="18"/>
          <w:lang w:val="en-AU"/>
        </w:rPr>
        <w:t xml:space="preserve"> which originally provided for a generous ARR of 25% of the increase of value on resale in its 1937 law amended this to 3% of the resale price in 2003: information supplied to the author by Laura Vill</w:t>
      </w:r>
      <w:r w:rsidR="00E64EA7">
        <w:rPr>
          <w:szCs w:val="18"/>
          <w:lang w:val="en-AU"/>
        </w:rPr>
        <w:t>a</w:t>
      </w:r>
      <w:r>
        <w:rPr>
          <w:szCs w:val="18"/>
          <w:lang w:val="en-AU"/>
        </w:rPr>
        <w:t>rraga Albino, graduate student at Queen Mary University, London who has also provided very helpful information with respect to ARR in Latin American countries generally.</w:t>
      </w:r>
    </w:p>
  </w:footnote>
  <w:footnote w:id="152">
    <w:p w14:paraId="785FC28A" w14:textId="4B756C18" w:rsidR="00447495" w:rsidRPr="0015390C" w:rsidRDefault="00447495" w:rsidP="0015390C">
      <w:pPr>
        <w:pStyle w:val="FootnoteText"/>
        <w:spacing w:before="120" w:after="120"/>
        <w:rPr>
          <w:lang w:val="en-AU"/>
        </w:rPr>
      </w:pPr>
      <w:r w:rsidRPr="00CF4B99">
        <w:rPr>
          <w:rStyle w:val="FootnoteReference"/>
        </w:rPr>
        <w:footnoteRef/>
      </w:r>
      <w:r w:rsidRPr="00CF4B99">
        <w:t xml:space="preserve"> </w:t>
      </w:r>
      <w:r w:rsidRPr="00CF4B99">
        <w:rPr>
          <w:lang w:val="en-AU"/>
        </w:rPr>
        <w:t>In the case of Australia, see note 1</w:t>
      </w:r>
      <w:r w:rsidR="00E4512A">
        <w:rPr>
          <w:lang w:val="en-AU"/>
        </w:rPr>
        <w:t xml:space="preserve">49 </w:t>
      </w:r>
      <w:r w:rsidRPr="00CF4B99">
        <w:rPr>
          <w:lang w:val="en-AU"/>
        </w:rPr>
        <w:t xml:space="preserve">above. </w:t>
      </w:r>
      <w:r w:rsidRPr="00CF4B99">
        <w:rPr>
          <w:rFonts w:cs="Times New Roman"/>
          <w:szCs w:val="16"/>
          <w:lang w:val="en-GB"/>
        </w:rPr>
        <w:t xml:space="preserve">In New Zealand, </w:t>
      </w:r>
      <w:r w:rsidRPr="00CF4B99">
        <w:rPr>
          <w:rFonts w:cs="Times New Roman"/>
          <w:bCs/>
          <w:szCs w:val="16"/>
          <w:lang w:val="en-GB"/>
        </w:rPr>
        <w:t xml:space="preserve">there is specific reference to </w:t>
      </w:r>
      <w:r w:rsidRPr="00CF4B99">
        <w:rPr>
          <w:rFonts w:cs="Times New Roman"/>
          <w:szCs w:val="16"/>
          <w:lang w:val="en-GB" w:eastAsia="fr-CH"/>
        </w:rPr>
        <w:t>Māori</w:t>
      </w:r>
      <w:r w:rsidRPr="00CF4B99">
        <w:rPr>
          <w:rFonts w:cs="Times New Roman"/>
          <w:bCs/>
          <w:szCs w:val="16"/>
          <w:lang w:val="en-GB"/>
        </w:rPr>
        <w:t xml:space="preserve"> artists in their recently adopted legislation: </w:t>
      </w:r>
      <w:r w:rsidRPr="00CF4B99">
        <w:rPr>
          <w:rFonts w:cs="Times New Roman"/>
          <w:i/>
          <w:iCs/>
          <w:szCs w:val="16"/>
          <w:lang w:val="en-GB" w:eastAsia="fr-CH"/>
        </w:rPr>
        <w:t>Resale Right for Visual Artists Act 2023</w:t>
      </w:r>
      <w:r w:rsidRPr="00CF4B99">
        <w:rPr>
          <w:rFonts w:cs="Times New Roman"/>
          <w:szCs w:val="16"/>
          <w:lang w:val="en-GB" w:eastAsia="fr-CH"/>
        </w:rPr>
        <w:t>, s 3(1) (NZ)</w:t>
      </w:r>
      <w:r w:rsidRPr="00CF4B99">
        <w:rPr>
          <w:rFonts w:cs="Times New Roman"/>
          <w:szCs w:val="16"/>
          <w:lang w:val="en-AU"/>
        </w:rPr>
        <w:t xml:space="preserve">. For information on the recently introduced NZ legislation, see at </w:t>
      </w:r>
      <w:hyperlink r:id="rId46" w:anchor="review-and-public-consultation" w:history="1">
        <w:r w:rsidRPr="00CF4B99">
          <w:rPr>
            <w:rStyle w:val="Hyperlink"/>
            <w:rFonts w:cs="Times New Roman"/>
            <w:szCs w:val="16"/>
            <w:lang w:val="en-AU"/>
          </w:rPr>
          <w:t>https://www.mch.govt.nz/our-work/arts-sector/artist-resale-royalty-scheme#review-and-public-consultation</w:t>
        </w:r>
      </w:hyperlink>
      <w:r w:rsidRPr="00CF4B99">
        <w:rPr>
          <w:rFonts w:cs="Times New Roman"/>
          <w:szCs w:val="16"/>
          <w:lang w:val="en-AU"/>
        </w:rPr>
        <w:t>, viewed 11 February 2025.</w:t>
      </w:r>
    </w:p>
  </w:footnote>
  <w:footnote w:id="153">
    <w:p w14:paraId="4C46C2B0" w14:textId="7EF5BA68" w:rsidR="00545FF1" w:rsidRPr="0015390C" w:rsidRDefault="00545FF1" w:rsidP="0015390C">
      <w:pPr>
        <w:pStyle w:val="FootnoteText"/>
        <w:spacing w:before="120" w:after="120"/>
        <w:rPr>
          <w:lang w:val="en-AU"/>
        </w:rPr>
      </w:pPr>
      <w:r>
        <w:rPr>
          <w:rStyle w:val="FootnoteReference"/>
        </w:rPr>
        <w:footnoteRef/>
      </w:r>
      <w:r>
        <w:t xml:space="preserve"> See</w:t>
      </w:r>
      <w:r w:rsidRPr="0058575E">
        <w:t xml:space="preserve"> here, WIPO Connect at </w:t>
      </w:r>
      <w:hyperlink r:id="rId47" w:history="1">
        <w:r w:rsidRPr="0058575E">
          <w:rPr>
            <w:rStyle w:val="Hyperlink"/>
            <w:color w:val="auto"/>
          </w:rPr>
          <w:t>https://www.wipo.int/global_ip/en/activities/wipo_connect/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A3C7" w14:textId="77777777" w:rsidR="0011738E" w:rsidRDefault="00117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48AA744D" w:rsidR="00EC4E49" w:rsidRDefault="003D6031" w:rsidP="00477D6B">
    <w:pPr>
      <w:jc w:val="right"/>
    </w:pPr>
    <w:bookmarkStart w:id="14" w:name="Code2"/>
    <w:bookmarkEnd w:id="14"/>
    <w:r>
      <w:t>SCCR/</w:t>
    </w:r>
    <w:r w:rsidR="00132AC0">
      <w:t>45</w:t>
    </w:r>
    <w:r>
      <w:t>/</w:t>
    </w:r>
    <w:r w:rsidR="008D2AE9">
      <w:t>INF/2</w:t>
    </w:r>
    <w:r w:rsidR="0011738E">
      <w:t xml:space="preserve"> Rev.</w:t>
    </w:r>
  </w:p>
  <w:p w14:paraId="4614E3F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7DC5" w14:textId="77777777" w:rsidR="0011738E" w:rsidRDefault="00117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6"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AD3E4D"/>
    <w:multiLevelType w:val="hybridMultilevel"/>
    <w:tmpl w:val="EE527798"/>
    <w:lvl w:ilvl="0" w:tplc="F49E138E">
      <w:start w:val="36"/>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65803946"/>
    <w:lvl w:ilvl="0">
      <w:start w:val="1"/>
      <w:numFmt w:val="decimal"/>
      <w:lvlText w:val="%1."/>
      <w:lvlJc w:val="left"/>
      <w:pPr>
        <w:ind w:left="360" w:hanging="360"/>
      </w:pPr>
      <w:rPr>
        <w:rFonts w:hint="default"/>
        <w:sz w:val="20"/>
      </w:rPr>
    </w:lvl>
    <w:lvl w:ilvl="1">
      <w:start w:val="8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B96A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CEC4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D43949"/>
    <w:multiLevelType w:val="hybridMultilevel"/>
    <w:tmpl w:val="C4CC590E"/>
    <w:lvl w:ilvl="0" w:tplc="F49E138E">
      <w:start w:val="3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0B2449"/>
    <w:multiLevelType w:val="hybridMultilevel"/>
    <w:tmpl w:val="15501A3C"/>
    <w:lvl w:ilvl="0" w:tplc="DFAA17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3"/>
  </w:num>
  <w:num w:numId="3" w16cid:durableId="1127430456">
    <w:abstractNumId w:val="9"/>
  </w:num>
  <w:num w:numId="4" w16cid:durableId="2117944128">
    <w:abstractNumId w:val="34"/>
  </w:num>
  <w:num w:numId="5" w16cid:durableId="282427063">
    <w:abstractNumId w:val="5"/>
  </w:num>
  <w:num w:numId="6" w16cid:durableId="285696226">
    <w:abstractNumId w:val="21"/>
  </w:num>
  <w:num w:numId="7" w16cid:durableId="2022513408">
    <w:abstractNumId w:val="16"/>
  </w:num>
  <w:num w:numId="8" w16cid:durableId="37508081">
    <w:abstractNumId w:val="20"/>
  </w:num>
  <w:num w:numId="9" w16cid:durableId="851338846">
    <w:abstractNumId w:val="40"/>
  </w:num>
  <w:num w:numId="10" w16cid:durableId="1743330407">
    <w:abstractNumId w:val="0"/>
  </w:num>
  <w:num w:numId="11" w16cid:durableId="907375556">
    <w:abstractNumId w:val="2"/>
  </w:num>
  <w:num w:numId="12" w16cid:durableId="138960913">
    <w:abstractNumId w:val="19"/>
  </w:num>
  <w:num w:numId="13" w16cid:durableId="986666541">
    <w:abstractNumId w:val="48"/>
  </w:num>
  <w:num w:numId="14" w16cid:durableId="1424303278">
    <w:abstractNumId w:val="26"/>
  </w:num>
  <w:num w:numId="15" w16cid:durableId="1777288034">
    <w:abstractNumId w:val="33"/>
  </w:num>
  <w:num w:numId="16" w16cid:durableId="1212613588">
    <w:abstractNumId w:val="1"/>
  </w:num>
  <w:num w:numId="17" w16cid:durableId="405567689">
    <w:abstractNumId w:val="12"/>
  </w:num>
  <w:num w:numId="18" w16cid:durableId="1126580919">
    <w:abstractNumId w:val="15"/>
  </w:num>
  <w:num w:numId="19" w16cid:durableId="456680750">
    <w:abstractNumId w:val="39"/>
  </w:num>
  <w:num w:numId="20" w16cid:durableId="1826778085">
    <w:abstractNumId w:val="18"/>
  </w:num>
  <w:num w:numId="21" w16cid:durableId="2054499044">
    <w:abstractNumId w:val="43"/>
  </w:num>
  <w:num w:numId="22" w16cid:durableId="523520137">
    <w:abstractNumId w:val="45"/>
  </w:num>
  <w:num w:numId="23" w16cid:durableId="1752894800">
    <w:abstractNumId w:val="25"/>
  </w:num>
  <w:num w:numId="24" w16cid:durableId="1292898933">
    <w:abstractNumId w:val="30"/>
  </w:num>
  <w:num w:numId="25" w16cid:durableId="955596075">
    <w:abstractNumId w:val="32"/>
  </w:num>
  <w:num w:numId="26" w16cid:durableId="458762816">
    <w:abstractNumId w:val="6"/>
  </w:num>
  <w:num w:numId="27" w16cid:durableId="892273664">
    <w:abstractNumId w:val="17"/>
  </w:num>
  <w:num w:numId="28" w16cid:durableId="991183056">
    <w:abstractNumId w:val="14"/>
  </w:num>
  <w:num w:numId="29" w16cid:durableId="186679261">
    <w:abstractNumId w:val="4"/>
  </w:num>
  <w:num w:numId="30" w16cid:durableId="354430281">
    <w:abstractNumId w:val="41"/>
  </w:num>
  <w:num w:numId="31" w16cid:durableId="1365251748">
    <w:abstractNumId w:val="35"/>
  </w:num>
  <w:num w:numId="32" w16cid:durableId="836307284">
    <w:abstractNumId w:val="7"/>
  </w:num>
  <w:num w:numId="33" w16cid:durableId="1664966645">
    <w:abstractNumId w:val="42"/>
  </w:num>
  <w:num w:numId="34" w16cid:durableId="992876559">
    <w:abstractNumId w:val="11"/>
  </w:num>
  <w:num w:numId="35" w16cid:durableId="859898881">
    <w:abstractNumId w:val="24"/>
  </w:num>
  <w:num w:numId="36" w16cid:durableId="196236202">
    <w:abstractNumId w:val="44"/>
  </w:num>
  <w:num w:numId="37" w16cid:durableId="557939509">
    <w:abstractNumId w:val="37"/>
  </w:num>
  <w:num w:numId="38" w16cid:durableId="813840060">
    <w:abstractNumId w:val="46"/>
  </w:num>
  <w:num w:numId="39" w16cid:durableId="1887109268">
    <w:abstractNumId w:val="31"/>
  </w:num>
  <w:num w:numId="40" w16cid:durableId="887111547">
    <w:abstractNumId w:val="8"/>
  </w:num>
  <w:num w:numId="41" w16cid:durableId="925571808">
    <w:abstractNumId w:val="23"/>
  </w:num>
  <w:num w:numId="42" w16cid:durableId="558907377">
    <w:abstractNumId w:val="22"/>
  </w:num>
  <w:num w:numId="43" w16cid:durableId="140736111">
    <w:abstractNumId w:val="27"/>
  </w:num>
  <w:num w:numId="44" w16cid:durableId="646012215">
    <w:abstractNumId w:val="38"/>
  </w:num>
  <w:num w:numId="45" w16cid:durableId="793403156">
    <w:abstractNumId w:val="28"/>
  </w:num>
  <w:num w:numId="46" w16cid:durableId="1413696926">
    <w:abstractNumId w:val="13"/>
  </w:num>
  <w:num w:numId="47" w16cid:durableId="546187010">
    <w:abstractNumId w:val="10"/>
  </w:num>
  <w:num w:numId="48" w16cid:durableId="163278637">
    <w:abstractNumId w:val="36"/>
  </w:num>
  <w:num w:numId="49" w16cid:durableId="1933272949">
    <w:abstractNumId w:val="4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THERLAND Hannah">
    <w15:presenceInfo w15:providerId="AD" w15:userId="S::hannah.sutherland@wipo.int::e67071f3-4164-460c-bc85-148ffb04d5a7"/>
  </w15:person>
  <w15:person w15:author="LANGER Christina">
    <w15:presenceInfo w15:providerId="AD" w15:userId="S::christina.langer@wipo.int::ae78379b-4e0a-42a5-ba8f-3679b67ed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5F9F"/>
    <w:rsid w:val="00010F79"/>
    <w:rsid w:val="0001647B"/>
    <w:rsid w:val="0002233E"/>
    <w:rsid w:val="0004058F"/>
    <w:rsid w:val="00043CAA"/>
    <w:rsid w:val="00045B58"/>
    <w:rsid w:val="00050EC7"/>
    <w:rsid w:val="00054E69"/>
    <w:rsid w:val="000566C3"/>
    <w:rsid w:val="00060989"/>
    <w:rsid w:val="000625A9"/>
    <w:rsid w:val="000628A3"/>
    <w:rsid w:val="000642B5"/>
    <w:rsid w:val="000743A3"/>
    <w:rsid w:val="00075432"/>
    <w:rsid w:val="00076FB5"/>
    <w:rsid w:val="000968ED"/>
    <w:rsid w:val="00096B1A"/>
    <w:rsid w:val="000976D4"/>
    <w:rsid w:val="000C3C70"/>
    <w:rsid w:val="000C7A38"/>
    <w:rsid w:val="000D0922"/>
    <w:rsid w:val="000E1877"/>
    <w:rsid w:val="000F1847"/>
    <w:rsid w:val="000F35FC"/>
    <w:rsid w:val="000F5E56"/>
    <w:rsid w:val="00100A2A"/>
    <w:rsid w:val="001024FE"/>
    <w:rsid w:val="00104010"/>
    <w:rsid w:val="00105258"/>
    <w:rsid w:val="001124D4"/>
    <w:rsid w:val="00113D86"/>
    <w:rsid w:val="0011738E"/>
    <w:rsid w:val="0012014E"/>
    <w:rsid w:val="00132AC0"/>
    <w:rsid w:val="001362EE"/>
    <w:rsid w:val="00142868"/>
    <w:rsid w:val="0014338B"/>
    <w:rsid w:val="0015390C"/>
    <w:rsid w:val="00155BF0"/>
    <w:rsid w:val="00164700"/>
    <w:rsid w:val="00176CEE"/>
    <w:rsid w:val="001832A6"/>
    <w:rsid w:val="00190333"/>
    <w:rsid w:val="00194C35"/>
    <w:rsid w:val="001A1C7B"/>
    <w:rsid w:val="001A2165"/>
    <w:rsid w:val="001B57FB"/>
    <w:rsid w:val="001C6808"/>
    <w:rsid w:val="001D01BE"/>
    <w:rsid w:val="001D1DA3"/>
    <w:rsid w:val="001E5413"/>
    <w:rsid w:val="001E6F9A"/>
    <w:rsid w:val="001E7A99"/>
    <w:rsid w:val="001F19F5"/>
    <w:rsid w:val="001F2271"/>
    <w:rsid w:val="001F5403"/>
    <w:rsid w:val="001F6D09"/>
    <w:rsid w:val="00201C86"/>
    <w:rsid w:val="0020741A"/>
    <w:rsid w:val="002121FA"/>
    <w:rsid w:val="00222588"/>
    <w:rsid w:val="002373DE"/>
    <w:rsid w:val="00244F42"/>
    <w:rsid w:val="002460F7"/>
    <w:rsid w:val="00247A2D"/>
    <w:rsid w:val="002634C4"/>
    <w:rsid w:val="00270CFE"/>
    <w:rsid w:val="00271622"/>
    <w:rsid w:val="0028193E"/>
    <w:rsid w:val="00282D4F"/>
    <w:rsid w:val="00290094"/>
    <w:rsid w:val="002928D3"/>
    <w:rsid w:val="00292FE7"/>
    <w:rsid w:val="002931C0"/>
    <w:rsid w:val="0029559E"/>
    <w:rsid w:val="002A2F2B"/>
    <w:rsid w:val="002A4A99"/>
    <w:rsid w:val="002A6975"/>
    <w:rsid w:val="002B10D4"/>
    <w:rsid w:val="002B1412"/>
    <w:rsid w:val="002B50F0"/>
    <w:rsid w:val="002C45B9"/>
    <w:rsid w:val="002D0063"/>
    <w:rsid w:val="002D1956"/>
    <w:rsid w:val="002D2FDF"/>
    <w:rsid w:val="002D5866"/>
    <w:rsid w:val="002D703F"/>
    <w:rsid w:val="002E0632"/>
    <w:rsid w:val="002E238D"/>
    <w:rsid w:val="002E3012"/>
    <w:rsid w:val="002F00A7"/>
    <w:rsid w:val="002F1FE6"/>
    <w:rsid w:val="002F4E68"/>
    <w:rsid w:val="00304715"/>
    <w:rsid w:val="0031141F"/>
    <w:rsid w:val="00312C0E"/>
    <w:rsid w:val="00312F7F"/>
    <w:rsid w:val="00320962"/>
    <w:rsid w:val="003228B7"/>
    <w:rsid w:val="0032561B"/>
    <w:rsid w:val="003257C2"/>
    <w:rsid w:val="003331C6"/>
    <w:rsid w:val="0033473F"/>
    <w:rsid w:val="003462F3"/>
    <w:rsid w:val="00346EE1"/>
    <w:rsid w:val="003478FD"/>
    <w:rsid w:val="003508A3"/>
    <w:rsid w:val="00365260"/>
    <w:rsid w:val="003653F6"/>
    <w:rsid w:val="00365A00"/>
    <w:rsid w:val="003673CF"/>
    <w:rsid w:val="003708C5"/>
    <w:rsid w:val="0037171C"/>
    <w:rsid w:val="003752F5"/>
    <w:rsid w:val="00382DAF"/>
    <w:rsid w:val="003845C1"/>
    <w:rsid w:val="00386D0E"/>
    <w:rsid w:val="00395721"/>
    <w:rsid w:val="003A6F89"/>
    <w:rsid w:val="003B05BB"/>
    <w:rsid w:val="003B2384"/>
    <w:rsid w:val="003B271D"/>
    <w:rsid w:val="003B38C1"/>
    <w:rsid w:val="003C66F6"/>
    <w:rsid w:val="003C6FF9"/>
    <w:rsid w:val="003D0050"/>
    <w:rsid w:val="003D352A"/>
    <w:rsid w:val="003D6031"/>
    <w:rsid w:val="003E7B7F"/>
    <w:rsid w:val="003F3AEF"/>
    <w:rsid w:val="003F4808"/>
    <w:rsid w:val="003F5487"/>
    <w:rsid w:val="003F5C86"/>
    <w:rsid w:val="0040475A"/>
    <w:rsid w:val="00404811"/>
    <w:rsid w:val="0040501C"/>
    <w:rsid w:val="00410859"/>
    <w:rsid w:val="004229E5"/>
    <w:rsid w:val="00423E3E"/>
    <w:rsid w:val="00424B83"/>
    <w:rsid w:val="00424B98"/>
    <w:rsid w:val="004251F8"/>
    <w:rsid w:val="00426826"/>
    <w:rsid w:val="00427AF4"/>
    <w:rsid w:val="00430876"/>
    <w:rsid w:val="0043124D"/>
    <w:rsid w:val="004400E2"/>
    <w:rsid w:val="00441858"/>
    <w:rsid w:val="00444C62"/>
    <w:rsid w:val="004463E1"/>
    <w:rsid w:val="00447495"/>
    <w:rsid w:val="00453318"/>
    <w:rsid w:val="00461632"/>
    <w:rsid w:val="0046455F"/>
    <w:rsid w:val="004647DA"/>
    <w:rsid w:val="00474062"/>
    <w:rsid w:val="0047693C"/>
    <w:rsid w:val="00477D6B"/>
    <w:rsid w:val="00486F5F"/>
    <w:rsid w:val="0049127C"/>
    <w:rsid w:val="004A0AEE"/>
    <w:rsid w:val="004A3CCD"/>
    <w:rsid w:val="004A61DC"/>
    <w:rsid w:val="004B25CE"/>
    <w:rsid w:val="004C5062"/>
    <w:rsid w:val="004D39C4"/>
    <w:rsid w:val="004E030D"/>
    <w:rsid w:val="004E073B"/>
    <w:rsid w:val="004E7966"/>
    <w:rsid w:val="00501DF4"/>
    <w:rsid w:val="00512FDE"/>
    <w:rsid w:val="0052031C"/>
    <w:rsid w:val="005245A6"/>
    <w:rsid w:val="00527357"/>
    <w:rsid w:val="0053057A"/>
    <w:rsid w:val="00534ADB"/>
    <w:rsid w:val="00540992"/>
    <w:rsid w:val="00540D02"/>
    <w:rsid w:val="005410FA"/>
    <w:rsid w:val="00545869"/>
    <w:rsid w:val="00545FF1"/>
    <w:rsid w:val="00553F29"/>
    <w:rsid w:val="00560A29"/>
    <w:rsid w:val="00564EA3"/>
    <w:rsid w:val="00577A09"/>
    <w:rsid w:val="00577BFE"/>
    <w:rsid w:val="00580289"/>
    <w:rsid w:val="00582BF2"/>
    <w:rsid w:val="00590FB5"/>
    <w:rsid w:val="00594D27"/>
    <w:rsid w:val="005A1507"/>
    <w:rsid w:val="005B562E"/>
    <w:rsid w:val="005B642D"/>
    <w:rsid w:val="005B6905"/>
    <w:rsid w:val="005B6FDC"/>
    <w:rsid w:val="005C3AE6"/>
    <w:rsid w:val="005C3CB8"/>
    <w:rsid w:val="005D1989"/>
    <w:rsid w:val="005D47C4"/>
    <w:rsid w:val="005D5122"/>
    <w:rsid w:val="005E1C71"/>
    <w:rsid w:val="005E3BF4"/>
    <w:rsid w:val="005E44AE"/>
    <w:rsid w:val="005E456A"/>
    <w:rsid w:val="005F1958"/>
    <w:rsid w:val="005F27F7"/>
    <w:rsid w:val="005F31BF"/>
    <w:rsid w:val="006012F0"/>
    <w:rsid w:val="00601760"/>
    <w:rsid w:val="00605827"/>
    <w:rsid w:val="0061102D"/>
    <w:rsid w:val="0062302E"/>
    <w:rsid w:val="006257B4"/>
    <w:rsid w:val="0062585D"/>
    <w:rsid w:val="00627B91"/>
    <w:rsid w:val="0063440F"/>
    <w:rsid w:val="00640D02"/>
    <w:rsid w:val="00641FC5"/>
    <w:rsid w:val="00646050"/>
    <w:rsid w:val="00653DFD"/>
    <w:rsid w:val="006665F3"/>
    <w:rsid w:val="006713CA"/>
    <w:rsid w:val="00676C5C"/>
    <w:rsid w:val="00682966"/>
    <w:rsid w:val="00695558"/>
    <w:rsid w:val="006972D6"/>
    <w:rsid w:val="006A0FB3"/>
    <w:rsid w:val="006A4872"/>
    <w:rsid w:val="006B08BE"/>
    <w:rsid w:val="006B524D"/>
    <w:rsid w:val="006B6D75"/>
    <w:rsid w:val="006C2BA5"/>
    <w:rsid w:val="006C5F72"/>
    <w:rsid w:val="006D4E43"/>
    <w:rsid w:val="006D5E0F"/>
    <w:rsid w:val="006D7E32"/>
    <w:rsid w:val="006E46C6"/>
    <w:rsid w:val="006E4A18"/>
    <w:rsid w:val="006F2688"/>
    <w:rsid w:val="006F63F5"/>
    <w:rsid w:val="007058FB"/>
    <w:rsid w:val="00706341"/>
    <w:rsid w:val="00710039"/>
    <w:rsid w:val="00711719"/>
    <w:rsid w:val="00713D0D"/>
    <w:rsid w:val="007246B6"/>
    <w:rsid w:val="00727946"/>
    <w:rsid w:val="00731CF8"/>
    <w:rsid w:val="007349BC"/>
    <w:rsid w:val="00737FC3"/>
    <w:rsid w:val="00744680"/>
    <w:rsid w:val="00744BB1"/>
    <w:rsid w:val="0074698C"/>
    <w:rsid w:val="00750DBB"/>
    <w:rsid w:val="00755568"/>
    <w:rsid w:val="00765357"/>
    <w:rsid w:val="007732D8"/>
    <w:rsid w:val="00777B30"/>
    <w:rsid w:val="007811AB"/>
    <w:rsid w:val="00781706"/>
    <w:rsid w:val="00782CAC"/>
    <w:rsid w:val="0079795E"/>
    <w:rsid w:val="007A23CD"/>
    <w:rsid w:val="007B2809"/>
    <w:rsid w:val="007B4322"/>
    <w:rsid w:val="007B6A58"/>
    <w:rsid w:val="007B7C16"/>
    <w:rsid w:val="007C0E11"/>
    <w:rsid w:val="007C6C71"/>
    <w:rsid w:val="007C7624"/>
    <w:rsid w:val="007D1613"/>
    <w:rsid w:val="007D1893"/>
    <w:rsid w:val="007D2935"/>
    <w:rsid w:val="007D59B0"/>
    <w:rsid w:val="007D6020"/>
    <w:rsid w:val="007F3796"/>
    <w:rsid w:val="007F541D"/>
    <w:rsid w:val="00801D98"/>
    <w:rsid w:val="008033CD"/>
    <w:rsid w:val="00804D0C"/>
    <w:rsid w:val="00810149"/>
    <w:rsid w:val="00811703"/>
    <w:rsid w:val="008129C6"/>
    <w:rsid w:val="00822353"/>
    <w:rsid w:val="008332E8"/>
    <w:rsid w:val="00834AD2"/>
    <w:rsid w:val="00837CE7"/>
    <w:rsid w:val="008601E6"/>
    <w:rsid w:val="00873EE5"/>
    <w:rsid w:val="00876936"/>
    <w:rsid w:val="00877691"/>
    <w:rsid w:val="0088203B"/>
    <w:rsid w:val="00883B98"/>
    <w:rsid w:val="0089538F"/>
    <w:rsid w:val="0089580A"/>
    <w:rsid w:val="008A01EB"/>
    <w:rsid w:val="008A3575"/>
    <w:rsid w:val="008A7C53"/>
    <w:rsid w:val="008B060E"/>
    <w:rsid w:val="008B2CC1"/>
    <w:rsid w:val="008B4B5E"/>
    <w:rsid w:val="008B60B2"/>
    <w:rsid w:val="008C21D5"/>
    <w:rsid w:val="008D2AE9"/>
    <w:rsid w:val="008D2B3A"/>
    <w:rsid w:val="008D34BA"/>
    <w:rsid w:val="008D68D7"/>
    <w:rsid w:val="008E1C00"/>
    <w:rsid w:val="008E37F3"/>
    <w:rsid w:val="008E44CF"/>
    <w:rsid w:val="008F4FAC"/>
    <w:rsid w:val="00906698"/>
    <w:rsid w:val="0090731E"/>
    <w:rsid w:val="0091214E"/>
    <w:rsid w:val="009141EE"/>
    <w:rsid w:val="00915DF2"/>
    <w:rsid w:val="00916EE2"/>
    <w:rsid w:val="00922330"/>
    <w:rsid w:val="0092347C"/>
    <w:rsid w:val="00925FE1"/>
    <w:rsid w:val="0093188F"/>
    <w:rsid w:val="00936635"/>
    <w:rsid w:val="00941CB3"/>
    <w:rsid w:val="00943B9A"/>
    <w:rsid w:val="00945207"/>
    <w:rsid w:val="00946F0D"/>
    <w:rsid w:val="00950DE6"/>
    <w:rsid w:val="0095384C"/>
    <w:rsid w:val="00966A22"/>
    <w:rsid w:val="0096722F"/>
    <w:rsid w:val="00980843"/>
    <w:rsid w:val="00982F59"/>
    <w:rsid w:val="00987278"/>
    <w:rsid w:val="009948D9"/>
    <w:rsid w:val="009A3B18"/>
    <w:rsid w:val="009A5545"/>
    <w:rsid w:val="009B5658"/>
    <w:rsid w:val="009C4D39"/>
    <w:rsid w:val="009D4687"/>
    <w:rsid w:val="009E2791"/>
    <w:rsid w:val="009E3F6F"/>
    <w:rsid w:val="009E43D1"/>
    <w:rsid w:val="009E7A12"/>
    <w:rsid w:val="009F08BB"/>
    <w:rsid w:val="009F2C46"/>
    <w:rsid w:val="009F3BF9"/>
    <w:rsid w:val="009F499F"/>
    <w:rsid w:val="009F5AC9"/>
    <w:rsid w:val="00A02C01"/>
    <w:rsid w:val="00A06AF8"/>
    <w:rsid w:val="00A11EA5"/>
    <w:rsid w:val="00A14DE4"/>
    <w:rsid w:val="00A226E0"/>
    <w:rsid w:val="00A330E5"/>
    <w:rsid w:val="00A4205A"/>
    <w:rsid w:val="00A42DAF"/>
    <w:rsid w:val="00A45BD8"/>
    <w:rsid w:val="00A45DEE"/>
    <w:rsid w:val="00A5081E"/>
    <w:rsid w:val="00A51669"/>
    <w:rsid w:val="00A5508C"/>
    <w:rsid w:val="00A5633B"/>
    <w:rsid w:val="00A56C54"/>
    <w:rsid w:val="00A5792C"/>
    <w:rsid w:val="00A64023"/>
    <w:rsid w:val="00A778BF"/>
    <w:rsid w:val="00A84F73"/>
    <w:rsid w:val="00A85B8E"/>
    <w:rsid w:val="00A97861"/>
    <w:rsid w:val="00AB07D2"/>
    <w:rsid w:val="00AB2BB9"/>
    <w:rsid w:val="00AB5797"/>
    <w:rsid w:val="00AB75EF"/>
    <w:rsid w:val="00AC079B"/>
    <w:rsid w:val="00AC205C"/>
    <w:rsid w:val="00AC490A"/>
    <w:rsid w:val="00AD0434"/>
    <w:rsid w:val="00AE2FC8"/>
    <w:rsid w:val="00AE5EBA"/>
    <w:rsid w:val="00AF5C73"/>
    <w:rsid w:val="00B00733"/>
    <w:rsid w:val="00B03595"/>
    <w:rsid w:val="00B05A69"/>
    <w:rsid w:val="00B0710E"/>
    <w:rsid w:val="00B16FE2"/>
    <w:rsid w:val="00B22A62"/>
    <w:rsid w:val="00B33380"/>
    <w:rsid w:val="00B40431"/>
    <w:rsid w:val="00B40598"/>
    <w:rsid w:val="00B4312B"/>
    <w:rsid w:val="00B45DA5"/>
    <w:rsid w:val="00B4700B"/>
    <w:rsid w:val="00B50B99"/>
    <w:rsid w:val="00B519EA"/>
    <w:rsid w:val="00B56815"/>
    <w:rsid w:val="00B57292"/>
    <w:rsid w:val="00B62CD9"/>
    <w:rsid w:val="00B65812"/>
    <w:rsid w:val="00B70DFE"/>
    <w:rsid w:val="00B85B8C"/>
    <w:rsid w:val="00B868BC"/>
    <w:rsid w:val="00B9734B"/>
    <w:rsid w:val="00BA0225"/>
    <w:rsid w:val="00BA2EBE"/>
    <w:rsid w:val="00BA79A3"/>
    <w:rsid w:val="00BC0F29"/>
    <w:rsid w:val="00BD3E49"/>
    <w:rsid w:val="00BD4BB6"/>
    <w:rsid w:val="00BD6067"/>
    <w:rsid w:val="00BD7A0B"/>
    <w:rsid w:val="00BE0B30"/>
    <w:rsid w:val="00BE1EC1"/>
    <w:rsid w:val="00BE452A"/>
    <w:rsid w:val="00BE620B"/>
    <w:rsid w:val="00BF54EF"/>
    <w:rsid w:val="00C03139"/>
    <w:rsid w:val="00C0316C"/>
    <w:rsid w:val="00C0759E"/>
    <w:rsid w:val="00C11BFE"/>
    <w:rsid w:val="00C12BF2"/>
    <w:rsid w:val="00C20961"/>
    <w:rsid w:val="00C25F1D"/>
    <w:rsid w:val="00C260A6"/>
    <w:rsid w:val="00C2666C"/>
    <w:rsid w:val="00C3439C"/>
    <w:rsid w:val="00C35028"/>
    <w:rsid w:val="00C35607"/>
    <w:rsid w:val="00C53C4E"/>
    <w:rsid w:val="00C85958"/>
    <w:rsid w:val="00C911E5"/>
    <w:rsid w:val="00C94629"/>
    <w:rsid w:val="00C94B15"/>
    <w:rsid w:val="00CA08AE"/>
    <w:rsid w:val="00CA13A3"/>
    <w:rsid w:val="00CA13D9"/>
    <w:rsid w:val="00CA4DE4"/>
    <w:rsid w:val="00CB57DA"/>
    <w:rsid w:val="00CB58FC"/>
    <w:rsid w:val="00CB65D7"/>
    <w:rsid w:val="00CC49B2"/>
    <w:rsid w:val="00CC7DA1"/>
    <w:rsid w:val="00CD3978"/>
    <w:rsid w:val="00CD5EB6"/>
    <w:rsid w:val="00CE0FA9"/>
    <w:rsid w:val="00CE65D4"/>
    <w:rsid w:val="00CF1120"/>
    <w:rsid w:val="00CF175E"/>
    <w:rsid w:val="00CF4B99"/>
    <w:rsid w:val="00CF60EA"/>
    <w:rsid w:val="00D068D4"/>
    <w:rsid w:val="00D3431B"/>
    <w:rsid w:val="00D374E1"/>
    <w:rsid w:val="00D37DCE"/>
    <w:rsid w:val="00D43B31"/>
    <w:rsid w:val="00D45252"/>
    <w:rsid w:val="00D45E75"/>
    <w:rsid w:val="00D46383"/>
    <w:rsid w:val="00D52436"/>
    <w:rsid w:val="00D601E9"/>
    <w:rsid w:val="00D60D91"/>
    <w:rsid w:val="00D614C8"/>
    <w:rsid w:val="00D615BC"/>
    <w:rsid w:val="00D6685B"/>
    <w:rsid w:val="00D71B4D"/>
    <w:rsid w:val="00D83162"/>
    <w:rsid w:val="00D93D55"/>
    <w:rsid w:val="00D94C5B"/>
    <w:rsid w:val="00DA0AE6"/>
    <w:rsid w:val="00DA5053"/>
    <w:rsid w:val="00DA727D"/>
    <w:rsid w:val="00DB0BB0"/>
    <w:rsid w:val="00DB52D7"/>
    <w:rsid w:val="00DD0836"/>
    <w:rsid w:val="00DD2E56"/>
    <w:rsid w:val="00DD66FF"/>
    <w:rsid w:val="00DE12E9"/>
    <w:rsid w:val="00DE4C18"/>
    <w:rsid w:val="00DF1132"/>
    <w:rsid w:val="00DF7CC1"/>
    <w:rsid w:val="00E0435D"/>
    <w:rsid w:val="00E045CA"/>
    <w:rsid w:val="00E046D9"/>
    <w:rsid w:val="00E0715A"/>
    <w:rsid w:val="00E161A2"/>
    <w:rsid w:val="00E1703C"/>
    <w:rsid w:val="00E23794"/>
    <w:rsid w:val="00E25814"/>
    <w:rsid w:val="00E264CE"/>
    <w:rsid w:val="00E266F3"/>
    <w:rsid w:val="00E335FE"/>
    <w:rsid w:val="00E34344"/>
    <w:rsid w:val="00E41E97"/>
    <w:rsid w:val="00E44721"/>
    <w:rsid w:val="00E4512A"/>
    <w:rsid w:val="00E5021F"/>
    <w:rsid w:val="00E5050A"/>
    <w:rsid w:val="00E508B9"/>
    <w:rsid w:val="00E50CCE"/>
    <w:rsid w:val="00E57ACA"/>
    <w:rsid w:val="00E617FA"/>
    <w:rsid w:val="00E61FBB"/>
    <w:rsid w:val="00E64EA7"/>
    <w:rsid w:val="00E671A6"/>
    <w:rsid w:val="00E71011"/>
    <w:rsid w:val="00E7234F"/>
    <w:rsid w:val="00E74D38"/>
    <w:rsid w:val="00E74F87"/>
    <w:rsid w:val="00E753A3"/>
    <w:rsid w:val="00E76DEF"/>
    <w:rsid w:val="00E77DEE"/>
    <w:rsid w:val="00E95157"/>
    <w:rsid w:val="00EA17EB"/>
    <w:rsid w:val="00EA6D97"/>
    <w:rsid w:val="00EB050A"/>
    <w:rsid w:val="00EB36FC"/>
    <w:rsid w:val="00EC250C"/>
    <w:rsid w:val="00EC32DF"/>
    <w:rsid w:val="00EC3C73"/>
    <w:rsid w:val="00EC4C31"/>
    <w:rsid w:val="00EC4E49"/>
    <w:rsid w:val="00EC72AC"/>
    <w:rsid w:val="00EC7311"/>
    <w:rsid w:val="00ED4124"/>
    <w:rsid w:val="00ED77FB"/>
    <w:rsid w:val="00EE0AB1"/>
    <w:rsid w:val="00EF05B8"/>
    <w:rsid w:val="00EF22BE"/>
    <w:rsid w:val="00EF623E"/>
    <w:rsid w:val="00F021A6"/>
    <w:rsid w:val="00F05EA1"/>
    <w:rsid w:val="00F11D94"/>
    <w:rsid w:val="00F35E40"/>
    <w:rsid w:val="00F57AB2"/>
    <w:rsid w:val="00F66152"/>
    <w:rsid w:val="00F72D66"/>
    <w:rsid w:val="00F85847"/>
    <w:rsid w:val="00F956C3"/>
    <w:rsid w:val="00FA7EAE"/>
    <w:rsid w:val="00FB172C"/>
    <w:rsid w:val="00FB5CC6"/>
    <w:rsid w:val="00FC3A57"/>
    <w:rsid w:val="00FC5481"/>
    <w:rsid w:val="00FE5389"/>
    <w:rsid w:val="00FF1F48"/>
    <w:rsid w:val="00FF646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aleroyalty.org.au/Registration.aspx" TargetMode="External"/><Relationship Id="rId18" Type="http://schemas.openxmlformats.org/officeDocument/2006/relationships/hyperlink" Target="https://www.m-culture.gov.dz/index.php/fr/arts-vivants-et-spectacles/etablissements-sous-tutelletablissements-sous-tutelle/onda" TargetMode="External"/><Relationship Id="rId26" Type="http://schemas.openxmlformats.org/officeDocument/2006/relationships/hyperlink" Target="https://www.visda.dk" TargetMode="External"/><Relationship Id="rId39" Type="http://schemas.openxmlformats.org/officeDocument/2006/relationships/hyperlink" Target="https://www.lasodav.sn/web/" TargetMode="External"/><Relationship Id="rId21" Type="http://schemas.openxmlformats.org/officeDocument/2006/relationships/hyperlink" Target="https://www.sofam.be/nl/" TargetMode="External"/><Relationship Id="rId34" Type="http://schemas.openxmlformats.org/officeDocument/2006/relationships/hyperlink" Target="https://www.somaap.mx" TargetMode="External"/><Relationship Id="rId42" Type="http://schemas.openxmlformats.org/officeDocument/2006/relationships/hyperlink" Target="https://bildupphovsratt.se/english" TargetMode="External"/><Relationship Id="rId47" Type="http://schemas.openxmlformats.org/officeDocument/2006/relationships/hyperlink" Target="https://www.mch.govt.nz/our-work/arts-sector/artist-resale-royalty-scheme" TargetMode="External"/><Relationship Id="rId50" Type="http://schemas.openxmlformats.org/officeDocument/2006/relationships/hyperlink" Target="https://www.wipo.in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sda.dk/en/artists-resale-right/?lang=en" TargetMode="External"/><Relationship Id="rId29" Type="http://schemas.openxmlformats.org/officeDocument/2006/relationships/hyperlink" Target="https://www.bildkunst.de/homepage" TargetMode="External"/><Relationship Id="rId11" Type="http://schemas.microsoft.com/office/2016/09/relationships/commentsIds" Target="commentsIds.xml"/><Relationship Id="rId24" Type="http://schemas.openxmlformats.org/officeDocument/2006/relationships/hyperlink" Target="https://www.carfac.ca" TargetMode="External"/><Relationship Id="rId32" Type="http://schemas.openxmlformats.org/officeDocument/2006/relationships/hyperlink" Target="http://jaspar.or.jp/en/history" TargetMode="External"/><Relationship Id="rId37" Type="http://schemas.openxmlformats.org/officeDocument/2006/relationships/hyperlink" Target="https://www.spautores.pt/en/home-page-en-2/" TargetMode="External"/><Relationship Id="rId40" Type="http://schemas.openxmlformats.org/officeDocument/2006/relationships/hyperlink" Target="https://www.lita.sk" TargetMode="External"/><Relationship Id="rId45" Type="http://schemas.openxmlformats.org/officeDocument/2006/relationships/hyperlink" Target="https://www.dacs.org.uk/"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copyright.com.au/" TargetMode="External"/><Relationship Id="rId14" Type="http://schemas.openxmlformats.org/officeDocument/2006/relationships/hyperlink" Target="https://www.bildkunst.de/lizenzen/bildrechte_klaeren/kuenstlersuche/" TargetMode="External"/><Relationship Id="rId22" Type="http://schemas.openxmlformats.org/officeDocument/2006/relationships/hyperlink" Target="https://cosbots.com/" TargetMode="External"/><Relationship Id="rId27" Type="http://schemas.openxmlformats.org/officeDocument/2006/relationships/hyperlink" Target="https://eau.org/en/" TargetMode="External"/><Relationship Id="rId30" Type="http://schemas.openxmlformats.org/officeDocument/2006/relationships/hyperlink" Target="http://www.hungart.org/en/" TargetMode="External"/><Relationship Id="rId35" Type="http://schemas.openxmlformats.org/officeDocument/2006/relationships/hyperlink" Target="https://bmda.ma/" TargetMode="External"/><Relationship Id="rId43" Type="http://schemas.openxmlformats.org/officeDocument/2006/relationships/hyperlink" Target="http://www.otdav.tn/index.php/fr/" TargetMode="External"/><Relationship Id="rId48" Type="http://schemas.openxmlformats.org/officeDocument/2006/relationships/hyperlink" Target="https://www.apsav.org.pe/"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cisac.org"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dacs.org.uk/artists-resale-right/register-for-arr" TargetMode="External"/><Relationship Id="rId25" Type="http://schemas.openxmlformats.org/officeDocument/2006/relationships/hyperlink" Target="http://www.gestor.cz/en/" TargetMode="External"/><Relationship Id="rId33" Type="http://schemas.openxmlformats.org/officeDocument/2006/relationships/hyperlink" Target="https://www.akka-laa.lv/en" TargetMode="External"/><Relationship Id="rId38" Type="http://schemas.openxmlformats.org/officeDocument/2006/relationships/hyperlink" Target="https://www.visarta.ro/" TargetMode="External"/><Relationship Id="rId46" Type="http://schemas.openxmlformats.org/officeDocument/2006/relationships/hyperlink" Target="https://www.copyright.co.nz" TargetMode="External"/><Relationship Id="rId59" Type="http://schemas.openxmlformats.org/officeDocument/2006/relationships/fontTable" Target="fontTable.xml"/><Relationship Id="rId20" Type="http://schemas.openxmlformats.org/officeDocument/2006/relationships/hyperlink" Target="https://www.bildrecht.at/" TargetMode="External"/><Relationship Id="rId41" Type="http://schemas.openxmlformats.org/officeDocument/2006/relationships/hyperlink" Target="https://vegap.e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dagp.fr/en/i-am-exploiting-or-selling-work/my-toolbox/artists-directory" TargetMode="External"/><Relationship Id="rId23" Type="http://schemas.openxmlformats.org/officeDocument/2006/relationships/hyperlink" Target="https://autvis.org.br" TargetMode="External"/><Relationship Id="rId28" Type="http://schemas.openxmlformats.org/officeDocument/2006/relationships/hyperlink" Target="https://www.adagp.fr/" TargetMode="External"/><Relationship Id="rId36" Type="http://schemas.openxmlformats.org/officeDocument/2006/relationships/hyperlink" Target="https://pictoright.nl/en/" TargetMode="External"/><Relationship Id="rId49" Type="http://schemas.openxmlformats.org/officeDocument/2006/relationships/hyperlink" Target="https://artistscollectingsociety.org" TargetMode="External"/><Relationship Id="rId57" Type="http://schemas.openxmlformats.org/officeDocument/2006/relationships/header" Target="header3.xml"/><Relationship Id="rId10" Type="http://schemas.microsoft.com/office/2011/relationships/commentsExtended" Target="commentsExtended.xml"/><Relationship Id="rId31" Type="http://schemas.openxmlformats.org/officeDocument/2006/relationships/hyperlink" Target="https://www.siae.it/it/" TargetMode="External"/><Relationship Id="rId44" Type="http://schemas.openxmlformats.org/officeDocument/2006/relationships/hyperlink" Target="https://www.dacs.org.uk/" TargetMode="External"/><Relationship Id="rId52" Type="http://schemas.openxmlformats.org/officeDocument/2006/relationships/hyperlink" Target="https://www.evartists.org"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digitalcommons.lmu.edu/elr/vol15/iss3/2" TargetMode="External"/><Relationship Id="rId21" Type="http://schemas.openxmlformats.org/officeDocument/2006/relationships/hyperlink" Target="https://www.visda.dk/en/artists-resale-right/?lang=en%20(viewed%209%20January%202025).%20" TargetMode="External"/><Relationship Id="rId34" Type="http://schemas.openxmlformats.org/officeDocument/2006/relationships/hyperlink" Target="https://committees.parliament.uk/writtenevidence/114737/html/" TargetMode="External"/><Relationship Id="rId42" Type="http://schemas.openxmlformats.org/officeDocument/2006/relationships/hyperlink" Target="https://cdn.dacs.org.uk/uploads/documents/Annual-Reports/Transparency-reports-Audited-accounts/DACS-Signed-Transparency-Report-2023.pdf?v=1725362108" TargetMode="External"/><Relationship Id="rId47" Type="http://schemas.openxmlformats.org/officeDocument/2006/relationships/hyperlink" Target="https://www.wipo.int/global_ip/en/activities/wipo_connect/"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en/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en/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viewed%209"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artistscollectingsociety.org/collecting-socities/" TargetMode="External"/><Relationship Id="rId40" Type="http://schemas.openxmlformats.org/officeDocument/2006/relationships/hyperlink" Target="https://www.supremecourt.gov/search.aspx?filename=/docketfiles/15-280.htm" TargetMode="External"/><Relationship Id="rId45" Type="http://schemas.openxmlformats.org/officeDocument/2006/relationships/hyperlink" Target="https://visualarts.net.au/"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res.cloudinary.com/void-sarl/raw/upload/v1656491807/2022-06/LISTE%20INDICATIVE%20DES%20PAYS%20Droit%20de%20suite.pdf"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www.artslaw.com.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www.terrijanke.com.au/indigenous-cultural-protocols-and-arts%20(10" TargetMode="External"/><Relationship Id="rId43" Type="http://schemas.openxmlformats.org/officeDocument/2006/relationships/hyperlink" Target="https://www.terrijanke.com.au/_files/ugd/7bf9b4_2740d8cff7d24320b70f8a34015f9a53.pdf"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startbahn.io/startrail31" TargetMode="External"/><Relationship Id="rId38" Type="http://schemas.openxmlformats.org/officeDocument/2006/relationships/hyperlink" Target="https://www.resaleroyalty.org.au/About.aspx" TargetMode="External"/><Relationship Id="rId46" Type="http://schemas.openxmlformats.org/officeDocument/2006/relationships/hyperlink" Target="https://www.mch.govt.nz/our-work/arts-sector/artist-resale-royalty-scheme"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url.au.m.mimecastprotect.com/s/VmJ6CnxyvXcXQJpQqH9fPTJ26Pk?domain=adag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4</TotalTime>
  <Pages>72</Pages>
  <Words>27959</Words>
  <Characters>159371</Characters>
  <Application>Microsoft Office Word</Application>
  <DocSecurity>4</DocSecurity>
  <Lines>1328</Lines>
  <Paragraphs>373</Paragraphs>
  <ScaleCrop>false</ScaleCrop>
  <HeadingPairs>
    <vt:vector size="2" baseType="variant">
      <vt:variant>
        <vt:lpstr>Title</vt:lpstr>
      </vt:variant>
      <vt:variant>
        <vt:i4>1</vt:i4>
      </vt:variant>
    </vt:vector>
  </HeadingPairs>
  <TitlesOfParts>
    <vt:vector size="1" baseType="lpstr">
      <vt:lpstr>SCCR/45/INF/2</vt:lpstr>
    </vt:vector>
  </TitlesOfParts>
  <Company>WIPO</Company>
  <LinksUpToDate>false</LinksUpToDate>
  <CharactersWithSpaces>186957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HAIZEL Francesca</cp:lastModifiedBy>
  <cp:revision>2</cp:revision>
  <cp:lastPrinted>2025-02-17T13:07:00Z</cp:lastPrinted>
  <dcterms:created xsi:type="dcterms:W3CDTF">2026-04-17T07:56:00Z</dcterms:created>
  <dcterms:modified xsi:type="dcterms:W3CDTF">2026-04-17T07:56:00Z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3a91b809dd07da4e16997853efa49261510b8807313abb89ae19faf604c50d48</vt:lpwstr>
  </property>
</Properties>
</file>