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9704B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9704B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704B1" w:rsidRDefault="005A297C" w:rsidP="00AB613D">
            <w:r w:rsidRPr="009704B1">
              <w:rPr>
                <w:noProof/>
                <w:lang w:val="en-US" w:eastAsia="en-US"/>
              </w:rPr>
              <w:drawing>
                <wp:inline distT="0" distB="0" distL="0" distR="0" wp14:anchorId="5EE3C460" wp14:editId="62F18FA8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704B1" w:rsidRDefault="00E504E5" w:rsidP="00AB613D">
            <w:pPr>
              <w:jc w:val="right"/>
            </w:pPr>
            <w:r w:rsidRPr="009704B1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9704B1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704B1" w:rsidRDefault="00561732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704B1">
              <w:rPr>
                <w:rFonts w:ascii="Arial Black" w:hAnsi="Arial Black"/>
                <w:sz w:val="15"/>
              </w:rPr>
              <w:t>SCCR/2</w:t>
            </w:r>
            <w:bookmarkStart w:id="0" w:name="Code"/>
            <w:bookmarkEnd w:id="0"/>
            <w:r w:rsidR="00E04DA8">
              <w:rPr>
                <w:rFonts w:ascii="Arial Black" w:hAnsi="Arial Black"/>
                <w:sz w:val="15"/>
              </w:rPr>
              <w:t>6/</w:t>
            </w:r>
            <w:bookmarkStart w:id="1" w:name="_GoBack"/>
            <w:bookmarkEnd w:id="1"/>
            <w:r w:rsidRPr="009704B1">
              <w:rPr>
                <w:rFonts w:ascii="Arial Black" w:hAnsi="Arial Black"/>
                <w:sz w:val="15"/>
              </w:rPr>
              <w:t>8</w:t>
            </w:r>
          </w:p>
        </w:tc>
      </w:tr>
      <w:tr w:rsidR="008B2CC1" w:rsidRPr="009704B1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704B1" w:rsidRDefault="00561732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704B1">
              <w:rPr>
                <w:rFonts w:ascii="Arial Black" w:hAnsi="Arial Black"/>
                <w:sz w:val="15"/>
              </w:rPr>
              <w:t xml:space="preserve">ORIGINAL:  </w:t>
            </w:r>
            <w:bookmarkStart w:id="2" w:name="Original"/>
            <w:bookmarkEnd w:id="2"/>
            <w:r w:rsidRPr="009704B1">
              <w:rPr>
                <w:rFonts w:ascii="Arial Black" w:hAnsi="Arial Black"/>
                <w:sz w:val="15"/>
              </w:rPr>
              <w:t>INGLÉS</w:t>
            </w:r>
          </w:p>
        </w:tc>
      </w:tr>
      <w:tr w:rsidR="008B2CC1" w:rsidRPr="009704B1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704B1" w:rsidRDefault="00561732" w:rsidP="000A202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704B1">
              <w:rPr>
                <w:rFonts w:ascii="Arial Black" w:hAnsi="Arial Black"/>
                <w:sz w:val="15"/>
              </w:rPr>
              <w:t xml:space="preserve">FECHA:  </w:t>
            </w:r>
            <w:bookmarkStart w:id="3" w:name="Date"/>
            <w:bookmarkEnd w:id="3"/>
            <w:r w:rsidRPr="009704B1">
              <w:rPr>
                <w:rFonts w:ascii="Arial Black" w:hAnsi="Arial Black"/>
                <w:sz w:val="15"/>
              </w:rPr>
              <w:t>10 DE ENERO DE 2014</w:t>
            </w:r>
          </w:p>
        </w:tc>
      </w:tr>
    </w:tbl>
    <w:p w:rsidR="0027616D" w:rsidRPr="009704B1" w:rsidRDefault="0027616D" w:rsidP="008B2CC1"/>
    <w:p w:rsidR="0027616D" w:rsidRPr="009704B1" w:rsidRDefault="0027616D" w:rsidP="008B2CC1"/>
    <w:p w:rsidR="0027616D" w:rsidRPr="009704B1" w:rsidRDefault="0027616D" w:rsidP="008B2CC1"/>
    <w:p w:rsidR="0027616D" w:rsidRPr="009704B1" w:rsidRDefault="0027616D" w:rsidP="008B2CC1"/>
    <w:p w:rsidR="0027616D" w:rsidRPr="009704B1" w:rsidRDefault="0027616D" w:rsidP="008B2CC1"/>
    <w:p w:rsidR="0027616D" w:rsidRPr="009704B1" w:rsidRDefault="00B765D4" w:rsidP="003845C1">
      <w:r w:rsidRPr="009704B1">
        <w:rPr>
          <w:b/>
          <w:sz w:val="28"/>
          <w:szCs w:val="28"/>
        </w:rPr>
        <w:t>Comité Permanente de Derecho de Autor y Derechos Conexos</w:t>
      </w:r>
    </w:p>
    <w:p w:rsidR="0027616D" w:rsidRPr="009704B1" w:rsidRDefault="0027616D" w:rsidP="003845C1"/>
    <w:p w:rsidR="0027616D" w:rsidRPr="009704B1" w:rsidRDefault="00B765D4" w:rsidP="00B67CDC">
      <w:pPr>
        <w:rPr>
          <w:b/>
          <w:sz w:val="24"/>
          <w:szCs w:val="24"/>
        </w:rPr>
      </w:pPr>
      <w:r w:rsidRPr="009704B1">
        <w:rPr>
          <w:b/>
          <w:sz w:val="24"/>
          <w:szCs w:val="24"/>
        </w:rPr>
        <w:t>Vigésima sexta sesión</w:t>
      </w:r>
    </w:p>
    <w:p w:rsidR="0027616D" w:rsidRPr="009704B1" w:rsidRDefault="00550DAB" w:rsidP="008B2CC1">
      <w:r w:rsidRPr="009704B1">
        <w:rPr>
          <w:b/>
          <w:sz w:val="24"/>
          <w:szCs w:val="24"/>
        </w:rPr>
        <w:t>Ginebra, 16 a 20</w:t>
      </w:r>
      <w:r w:rsidR="00B765D4" w:rsidRPr="009704B1">
        <w:rPr>
          <w:b/>
          <w:sz w:val="24"/>
          <w:szCs w:val="24"/>
        </w:rPr>
        <w:t xml:space="preserve"> </w:t>
      </w:r>
      <w:r w:rsidRPr="009704B1">
        <w:rPr>
          <w:b/>
          <w:sz w:val="24"/>
          <w:szCs w:val="24"/>
        </w:rPr>
        <w:t>de diciembre</w:t>
      </w:r>
      <w:r w:rsidR="00B765D4" w:rsidRPr="009704B1">
        <w:rPr>
          <w:b/>
          <w:sz w:val="24"/>
          <w:szCs w:val="24"/>
        </w:rPr>
        <w:t xml:space="preserve"> 2013</w:t>
      </w:r>
    </w:p>
    <w:p w:rsidR="0027616D" w:rsidRPr="009704B1" w:rsidRDefault="0027616D" w:rsidP="008B2CC1"/>
    <w:p w:rsidR="0027616D" w:rsidRPr="009704B1" w:rsidRDefault="0027616D" w:rsidP="008B2CC1"/>
    <w:p w:rsidR="0027616D" w:rsidRPr="009704B1" w:rsidRDefault="00A31BED" w:rsidP="00A31BED">
      <w:pPr>
        <w:rPr>
          <w:caps/>
          <w:sz w:val="24"/>
        </w:rPr>
      </w:pPr>
      <w:bookmarkStart w:id="4" w:name="TitleOfDoc"/>
      <w:bookmarkEnd w:id="4"/>
      <w:r w:rsidRPr="009704B1">
        <w:rPr>
          <w:color w:val="000000"/>
          <w:sz w:val="24"/>
        </w:rPr>
        <w:t>OBJETIVOS Y PRINCIPIOS RELATIVOS A LAS EXCEPCIONES Y LIMITACIONES EN FAVOR DE LAS BIBLIOTECAS Y LOS ARCHIVOS</w:t>
      </w:r>
    </w:p>
    <w:p w:rsidR="0027616D" w:rsidRPr="009704B1" w:rsidRDefault="0027616D" w:rsidP="000A2029"/>
    <w:p w:rsidR="0027616D" w:rsidRPr="009704B1" w:rsidRDefault="00A31BED" w:rsidP="00A31BED">
      <w:bookmarkStart w:id="5" w:name="Prepared"/>
      <w:bookmarkEnd w:id="5"/>
      <w:r w:rsidRPr="009704B1">
        <w:rPr>
          <w:i/>
        </w:rPr>
        <w:t>Documento presentado por los Estados Unidos de América</w:t>
      </w:r>
    </w:p>
    <w:p w:rsidR="0027616D" w:rsidRPr="009704B1" w:rsidRDefault="0027616D" w:rsidP="000A2029"/>
    <w:p w:rsidR="0027616D" w:rsidRPr="009704B1" w:rsidRDefault="0027616D" w:rsidP="000A2029"/>
    <w:p w:rsidR="0027616D" w:rsidRPr="00A80EEC" w:rsidRDefault="000A2029" w:rsidP="0027616D">
      <w:pPr>
        <w:pStyle w:val="Heading1"/>
        <w:rPr>
          <w:szCs w:val="22"/>
        </w:rPr>
      </w:pPr>
      <w:r w:rsidRPr="009704B1">
        <w:br w:type="page"/>
      </w:r>
      <w:r w:rsidR="0027616D" w:rsidRPr="00A80EEC">
        <w:rPr>
          <w:caps w:val="0"/>
          <w:color w:val="000000"/>
        </w:rPr>
        <w:lastRenderedPageBreak/>
        <w:t>ADOPCIÓN DE EXCEPCIONES NACIONALES</w:t>
      </w:r>
    </w:p>
    <w:p w:rsidR="0027616D" w:rsidRPr="00A80EEC" w:rsidRDefault="0027616D" w:rsidP="0027616D">
      <w:pPr>
        <w:pStyle w:val="Heading4"/>
        <w:keepNext w:val="0"/>
        <w:rPr>
          <w:b/>
          <w:szCs w:val="22"/>
        </w:rPr>
      </w:pPr>
      <w:r w:rsidRPr="00A80EEC">
        <w:t>Objetivo</w:t>
      </w:r>
      <w:r w:rsidRPr="00A80EEC">
        <w:rPr>
          <w:i w:val="0"/>
          <w:color w:val="008000"/>
        </w:rPr>
        <w:t>:</w:t>
      </w:r>
    </w:p>
    <w:p w:rsidR="0027616D" w:rsidRPr="00A80EEC" w:rsidRDefault="0027616D" w:rsidP="000A2029">
      <w:pPr>
        <w:tabs>
          <w:tab w:val="left" w:pos="4770"/>
        </w:tabs>
        <w:rPr>
          <w:szCs w:val="22"/>
        </w:rPr>
      </w:pPr>
    </w:p>
    <w:p w:rsidR="00CB6F46" w:rsidRPr="00A80EEC" w:rsidRDefault="0027616D" w:rsidP="0027616D">
      <w:pPr>
        <w:tabs>
          <w:tab w:val="left" w:pos="4770"/>
        </w:tabs>
        <w:rPr>
          <w:color w:val="000000"/>
          <w:szCs w:val="22"/>
        </w:rPr>
      </w:pPr>
      <w:r w:rsidRPr="00A80EEC">
        <w:rPr>
          <w:color w:val="000000"/>
          <w:szCs w:val="22"/>
        </w:rPr>
        <w:t xml:space="preserve">Instar a los Estados miembros a que adopten excepciones y limitaciones en sus legislaciones nacionales, acordes con </w:t>
      </w:r>
      <w:r w:rsidR="001F180F" w:rsidRPr="00A80EEC">
        <w:rPr>
          <w:color w:val="000000"/>
          <w:szCs w:val="22"/>
        </w:rPr>
        <w:t>sus</w:t>
      </w:r>
      <w:r w:rsidRPr="00A80EEC">
        <w:rPr>
          <w:color w:val="000000"/>
          <w:szCs w:val="22"/>
        </w:rPr>
        <w:t xml:space="preserve"> obligaciones internacionales</w:t>
      </w:r>
      <w:r w:rsidR="00A80EEC" w:rsidRPr="00A80EEC">
        <w:rPr>
          <w:color w:val="000000"/>
          <w:szCs w:val="22"/>
        </w:rPr>
        <w:t>, q</w:t>
      </w:r>
      <w:r w:rsidRPr="00A80EEC">
        <w:rPr>
          <w:color w:val="000000"/>
          <w:szCs w:val="22"/>
        </w:rPr>
        <w:t>ue faciliten la función de servicio público de las bibliotecas y los archivos, manteniendo el equilibrio entre los derechos de los autores y el interés del público en general, especialmente, en cuanto a la educación, la investigación y el acceso a la información</w:t>
      </w:r>
      <w:r w:rsidR="00CB6F46" w:rsidRPr="00A80EEC">
        <w:rPr>
          <w:color w:val="000000"/>
          <w:szCs w:val="22"/>
        </w:rPr>
        <w:t>.</w:t>
      </w:r>
    </w:p>
    <w:p w:rsidR="0027616D" w:rsidRPr="00A80EEC" w:rsidRDefault="0027616D" w:rsidP="0027616D">
      <w:pPr>
        <w:pStyle w:val="Heading4"/>
        <w:keepNext w:val="0"/>
      </w:pPr>
      <w:r w:rsidRPr="00A80EEC">
        <w:t>Principios</w:t>
      </w:r>
      <w:r w:rsidRPr="00A80EEC">
        <w:rPr>
          <w:b/>
          <w:i w:val="0"/>
          <w:color w:val="000000"/>
        </w:rPr>
        <w:t>:</w:t>
      </w:r>
    </w:p>
    <w:p w:rsidR="0027616D" w:rsidRPr="00A80EEC" w:rsidRDefault="0027616D" w:rsidP="000A2029">
      <w:pPr>
        <w:tabs>
          <w:tab w:val="left" w:pos="4770"/>
        </w:tabs>
        <w:rPr>
          <w:szCs w:val="22"/>
        </w:rPr>
      </w:pPr>
    </w:p>
    <w:p w:rsidR="0027616D" w:rsidRPr="00A80EEC" w:rsidRDefault="0027616D" w:rsidP="0027616D">
      <w:pPr>
        <w:tabs>
          <w:tab w:val="left" w:pos="4770"/>
        </w:tabs>
        <w:rPr>
          <w:szCs w:val="22"/>
        </w:rPr>
      </w:pPr>
      <w:r w:rsidRPr="00A80EEC">
        <w:rPr>
          <w:color w:val="000000"/>
          <w:szCs w:val="22"/>
        </w:rPr>
        <w:t xml:space="preserve">Las excepciones y limitaciones, que forman parte esencial de los sistemas nacionales de derecho de autor, desempeñan una función fundamental al hacer posible que las bibliotecas y los archivos satisfagan las necesidades del público, </w:t>
      </w:r>
      <w:r w:rsidR="001F180F" w:rsidRPr="00A80EEC">
        <w:rPr>
          <w:color w:val="000000"/>
          <w:szCs w:val="22"/>
        </w:rPr>
        <w:t>contribuyendo</w:t>
      </w:r>
      <w:r w:rsidRPr="00A80EEC">
        <w:rPr>
          <w:color w:val="000000"/>
          <w:szCs w:val="22"/>
        </w:rPr>
        <w:t xml:space="preserve"> a que las personas desarrollen todo su potencial y se relacionen entre sí.</w:t>
      </w:r>
    </w:p>
    <w:p w:rsidR="0027616D" w:rsidRPr="00A80EEC" w:rsidRDefault="0027616D" w:rsidP="000A2029">
      <w:pPr>
        <w:tabs>
          <w:tab w:val="left" w:pos="4770"/>
        </w:tabs>
        <w:rPr>
          <w:szCs w:val="22"/>
        </w:rPr>
      </w:pPr>
    </w:p>
    <w:p w:rsidR="0027616D" w:rsidRPr="00A80EEC" w:rsidRDefault="0027616D" w:rsidP="0027616D">
      <w:pPr>
        <w:tabs>
          <w:tab w:val="left" w:pos="4770"/>
        </w:tabs>
        <w:rPr>
          <w:szCs w:val="22"/>
        </w:rPr>
      </w:pPr>
      <w:r w:rsidRPr="00A80EEC">
        <w:rPr>
          <w:color w:val="000000"/>
          <w:szCs w:val="22"/>
        </w:rPr>
        <w:t>Las excepciones y limitaciones en favor de las bibliotecas y los archivos contribuyen a que estas instituciones presten asistencia a las personas al buscar, recibir e impartir información de manera que puedan participar provechosamente en la vida pública.</w:t>
      </w:r>
    </w:p>
    <w:p w:rsidR="0027616D" w:rsidRPr="00A80EEC" w:rsidRDefault="0027616D" w:rsidP="000A2029">
      <w:pPr>
        <w:rPr>
          <w:szCs w:val="22"/>
        </w:rPr>
      </w:pPr>
    </w:p>
    <w:p w:rsidR="00CB6F46" w:rsidRPr="00A80EEC" w:rsidRDefault="0027616D" w:rsidP="0027616D">
      <w:pPr>
        <w:rPr>
          <w:color w:val="000000"/>
          <w:szCs w:val="22"/>
        </w:rPr>
      </w:pPr>
      <w:r w:rsidRPr="00A80EEC">
        <w:rPr>
          <w:color w:val="000000"/>
          <w:szCs w:val="22"/>
        </w:rPr>
        <w:t>Las excepciones y limitaciones fomentan asimismo los conocimientos al conservar el patrimonio cultural, artístico y científico mundial y proporcionar acceso a ese patrimonio</w:t>
      </w:r>
      <w:r w:rsidR="00CB6F46" w:rsidRPr="00A80EEC">
        <w:rPr>
          <w:color w:val="000000"/>
          <w:szCs w:val="22"/>
        </w:rPr>
        <w:t>.</w:t>
      </w:r>
    </w:p>
    <w:p w:rsidR="0027616D" w:rsidRPr="00A80EEC" w:rsidRDefault="0027616D" w:rsidP="000A2029">
      <w:pPr>
        <w:rPr>
          <w:szCs w:val="22"/>
        </w:rPr>
      </w:pPr>
    </w:p>
    <w:p w:rsidR="00CB6F46" w:rsidRPr="00A80EEC" w:rsidRDefault="0027616D" w:rsidP="0027616D">
      <w:pPr>
        <w:rPr>
          <w:color w:val="000000"/>
          <w:szCs w:val="22"/>
        </w:rPr>
      </w:pPr>
      <w:r w:rsidRPr="00A80EEC">
        <w:rPr>
          <w:color w:val="000000"/>
          <w:szCs w:val="22"/>
        </w:rPr>
        <w:t>Tanto la protección afirmativa de los autores como las excepciones y limitaciones, entre las que figuran las aplicables a las bibliotecas y los servicios de archivo, son esenciales para alcanzar los objetivos del sistema de derecho de autor consistentes en fomentar la creatividad, la innovación y el aprendizaje</w:t>
      </w:r>
      <w:r w:rsidR="00CB6F46" w:rsidRPr="00A80EEC">
        <w:rPr>
          <w:color w:val="000000"/>
          <w:szCs w:val="22"/>
        </w:rPr>
        <w:t>.</w:t>
      </w:r>
    </w:p>
    <w:p w:rsidR="0027616D" w:rsidRPr="00A80EEC" w:rsidRDefault="0027616D" w:rsidP="0027616D">
      <w:pPr>
        <w:pStyle w:val="Heading1"/>
        <w:keepNext w:val="0"/>
      </w:pPr>
      <w:r w:rsidRPr="00A80EEC">
        <w:rPr>
          <w:caps w:val="0"/>
          <w:color w:val="000000"/>
        </w:rPr>
        <w:t>CONSERVACIÓN</w:t>
      </w:r>
    </w:p>
    <w:p w:rsidR="0027616D" w:rsidRPr="00A80EEC" w:rsidRDefault="0027616D" w:rsidP="0027616D">
      <w:pPr>
        <w:pStyle w:val="Heading4"/>
        <w:keepNext w:val="0"/>
        <w:rPr>
          <w:b/>
          <w:szCs w:val="22"/>
        </w:rPr>
      </w:pPr>
      <w:r w:rsidRPr="00A80EEC">
        <w:t>Objetivo</w:t>
      </w:r>
      <w:r w:rsidRPr="00A80EEC">
        <w:rPr>
          <w:i w:val="0"/>
          <w:color w:val="808000"/>
        </w:rPr>
        <w:t>:</w:t>
      </w:r>
    </w:p>
    <w:p w:rsidR="0027616D" w:rsidRPr="00A80EEC" w:rsidRDefault="00A008EB" w:rsidP="00A008EB">
      <w:pPr>
        <w:pStyle w:val="Heading4"/>
        <w:keepNext w:val="0"/>
        <w:rPr>
          <w:i w:val="0"/>
        </w:rPr>
      </w:pPr>
      <w:r w:rsidRPr="00A80EEC">
        <w:rPr>
          <w:i w:val="0"/>
        </w:rPr>
        <w:t>Permitir que las bibliotecas y los archivos desempeñen la labor de servicio público de conservación de obras.</w:t>
      </w:r>
    </w:p>
    <w:p w:rsidR="0027616D" w:rsidRPr="00A80EEC" w:rsidRDefault="00A008EB" w:rsidP="00A008EB">
      <w:pPr>
        <w:pStyle w:val="Heading4"/>
        <w:keepNext w:val="0"/>
      </w:pPr>
      <w:r w:rsidRPr="00A80EEC">
        <w:t>Principios</w:t>
      </w:r>
      <w:r w:rsidRPr="00A80EEC">
        <w:rPr>
          <w:i w:val="0"/>
        </w:rPr>
        <w:t>:</w:t>
      </w:r>
    </w:p>
    <w:p w:rsidR="0027616D" w:rsidRPr="00A80EEC" w:rsidRDefault="0027616D" w:rsidP="000A2029">
      <w:pPr>
        <w:tabs>
          <w:tab w:val="left" w:pos="1170"/>
        </w:tabs>
        <w:rPr>
          <w:szCs w:val="22"/>
        </w:rPr>
      </w:pPr>
    </w:p>
    <w:p w:rsidR="0027616D" w:rsidRPr="00A80EEC" w:rsidRDefault="00A008EB" w:rsidP="00A008EB">
      <w:pPr>
        <w:tabs>
          <w:tab w:val="left" w:pos="1170"/>
        </w:tabs>
        <w:rPr>
          <w:szCs w:val="22"/>
        </w:rPr>
      </w:pPr>
      <w:r w:rsidRPr="00A80EEC">
        <w:rPr>
          <w:szCs w:val="22"/>
        </w:rPr>
        <w:t>Las excepciones y limitaciones pueden y deben permitir a las bibliotecas y a los archivos llevar a cabo su función de servicio público de conservación de las obras en las que se recogen los conocimientos y el patrimonio acumulados por las naciones y los pueblos del mundo.</w:t>
      </w:r>
    </w:p>
    <w:p w:rsidR="0027616D" w:rsidRPr="00A80EEC" w:rsidRDefault="0027616D" w:rsidP="000A2029">
      <w:pPr>
        <w:tabs>
          <w:tab w:val="left" w:pos="1170"/>
        </w:tabs>
        <w:rPr>
          <w:szCs w:val="22"/>
        </w:rPr>
      </w:pPr>
    </w:p>
    <w:p w:rsidR="0027616D" w:rsidRPr="00A80EEC" w:rsidRDefault="00A008EB" w:rsidP="00A008EB">
      <w:pPr>
        <w:tabs>
          <w:tab w:val="left" w:pos="1170"/>
        </w:tabs>
        <w:rPr>
          <w:szCs w:val="22"/>
        </w:rPr>
      </w:pPr>
      <w:r w:rsidRPr="00A80EEC">
        <w:rPr>
          <w:szCs w:val="22"/>
        </w:rPr>
        <w:t>Con tal fin, las excepciones y limitaciones pueden y deben permitir a las bibliotecas y a los archivos hacer copias de obras publicadas y sin publicar, incluidas las obras muy efímeras, como las obras destinadas a su conservación y sustitución, en las circunstancias adecuadas.</w:t>
      </w:r>
    </w:p>
    <w:p w:rsidR="0027616D" w:rsidRPr="00A80EEC" w:rsidRDefault="0027616D" w:rsidP="000A2029">
      <w:pPr>
        <w:tabs>
          <w:tab w:val="left" w:pos="1170"/>
        </w:tabs>
        <w:rPr>
          <w:rFonts w:eastAsia="MS Mincho"/>
          <w:i/>
          <w:szCs w:val="22"/>
        </w:rPr>
      </w:pPr>
    </w:p>
    <w:p w:rsidR="00CB6F46" w:rsidRPr="00A80EEC" w:rsidRDefault="00A008EB" w:rsidP="00A008EB">
      <w:pPr>
        <w:tabs>
          <w:tab w:val="left" w:pos="1170"/>
        </w:tabs>
        <w:rPr>
          <w:szCs w:val="22"/>
        </w:rPr>
      </w:pPr>
      <w:r w:rsidRPr="00A80EEC">
        <w:rPr>
          <w:szCs w:val="22"/>
        </w:rPr>
        <w:t xml:space="preserve">Esa necesidad de conservación existe en diversos medios y formatos, y puede comprender la migración de contenidos </w:t>
      </w:r>
      <w:r w:rsidR="001F180F" w:rsidRPr="00A80EEC">
        <w:rPr>
          <w:szCs w:val="22"/>
        </w:rPr>
        <w:t>de</w:t>
      </w:r>
      <w:r w:rsidRPr="00A80EEC">
        <w:rPr>
          <w:szCs w:val="22"/>
        </w:rPr>
        <w:t xml:space="preserve"> formatos de almacenamiento obsoletos</w:t>
      </w:r>
      <w:r w:rsidR="001F180F" w:rsidRPr="00A80EEC">
        <w:rPr>
          <w:szCs w:val="22"/>
        </w:rPr>
        <w:t xml:space="preserve"> a diferentes formatos</w:t>
      </w:r>
      <w:r w:rsidR="00CB6F46" w:rsidRPr="00A80EEC">
        <w:rPr>
          <w:szCs w:val="22"/>
        </w:rPr>
        <w:t>.</w:t>
      </w:r>
    </w:p>
    <w:p w:rsidR="0027616D" w:rsidRPr="00A80EEC" w:rsidRDefault="00A008EB" w:rsidP="00561732">
      <w:pPr>
        <w:pStyle w:val="Heading1"/>
      </w:pPr>
      <w:r w:rsidRPr="00A80EEC">
        <w:rPr>
          <w:caps w:val="0"/>
          <w:color w:val="000000"/>
        </w:rPr>
        <w:lastRenderedPageBreak/>
        <w:t>APOYO A LA INVES</w:t>
      </w:r>
      <w:r w:rsidR="00561732" w:rsidRPr="00A80EEC">
        <w:rPr>
          <w:caps w:val="0"/>
          <w:color w:val="000000"/>
        </w:rPr>
        <w:t>TIGACIÓN Y AL DESARROLLO HUMANO</w:t>
      </w:r>
    </w:p>
    <w:p w:rsidR="0027616D" w:rsidRPr="00A80EEC" w:rsidRDefault="00A008EB" w:rsidP="00561732">
      <w:pPr>
        <w:pStyle w:val="Heading4"/>
      </w:pPr>
      <w:r w:rsidRPr="00A80EEC">
        <w:t>Objetivo</w:t>
      </w:r>
      <w:r w:rsidRPr="00A80EEC">
        <w:rPr>
          <w:i w:val="0"/>
          <w:color w:val="808000"/>
        </w:rPr>
        <w:t>:</w:t>
      </w:r>
    </w:p>
    <w:p w:rsidR="0027616D" w:rsidRPr="00A80EEC" w:rsidRDefault="0027616D" w:rsidP="00561732">
      <w:pPr>
        <w:keepNext/>
      </w:pPr>
    </w:p>
    <w:p w:rsidR="0027616D" w:rsidRPr="00A80EEC" w:rsidRDefault="00A008EB" w:rsidP="00561732">
      <w:pPr>
        <w:pStyle w:val="Heading4"/>
        <w:spacing w:before="0" w:after="0" w:line="260" w:lineRule="atLeast"/>
        <w:rPr>
          <w:i w:val="0"/>
        </w:rPr>
      </w:pPr>
      <w:r w:rsidRPr="00A80EEC">
        <w:rPr>
          <w:i w:val="0"/>
          <w:color w:val="000000"/>
        </w:rPr>
        <w:t>Permitir a las bibliotecas y a los archivos que lleven a cabo su función de servicio público de fomento de la investigación y los conocimientos.</w:t>
      </w:r>
    </w:p>
    <w:p w:rsidR="0027616D" w:rsidRPr="00A80EEC" w:rsidRDefault="00A008EB" w:rsidP="00561732">
      <w:pPr>
        <w:pStyle w:val="Heading4"/>
      </w:pPr>
      <w:r w:rsidRPr="00A80EEC">
        <w:t>Principios</w:t>
      </w:r>
      <w:r w:rsidRPr="00A80EEC">
        <w:rPr>
          <w:i w:val="0"/>
          <w:color w:val="808000"/>
        </w:rPr>
        <w:t>:</w:t>
      </w:r>
    </w:p>
    <w:p w:rsidR="0027616D" w:rsidRPr="00A80EEC" w:rsidRDefault="0027616D" w:rsidP="000A2029">
      <w:pPr>
        <w:tabs>
          <w:tab w:val="left" w:pos="1170"/>
        </w:tabs>
        <w:rPr>
          <w:i/>
          <w:szCs w:val="22"/>
        </w:rPr>
      </w:pPr>
    </w:p>
    <w:p w:rsidR="00CB6F46" w:rsidRPr="00A80EEC" w:rsidRDefault="001F180F" w:rsidP="00A008EB">
      <w:pPr>
        <w:tabs>
          <w:tab w:val="left" w:pos="1170"/>
        </w:tabs>
        <w:rPr>
          <w:color w:val="000000"/>
          <w:szCs w:val="22"/>
        </w:rPr>
      </w:pPr>
      <w:r w:rsidRPr="00A80EEC">
        <w:t xml:space="preserve">Las bibliotecas y los archivos fomentan </w:t>
      </w:r>
      <w:r w:rsidR="00A008EB" w:rsidRPr="00A80EEC">
        <w:rPr>
          <w:color w:val="000000"/>
          <w:szCs w:val="22"/>
        </w:rPr>
        <w:t>los conocimientos al proporcionar acceso a sus colecciones, que contienen los conocimientos acumulados de las naciones y pueblos del mundo</w:t>
      </w:r>
      <w:r w:rsidR="00CB6F46" w:rsidRPr="00A80EEC">
        <w:rPr>
          <w:color w:val="000000"/>
          <w:szCs w:val="22"/>
        </w:rPr>
        <w:t>.</w:t>
      </w:r>
    </w:p>
    <w:p w:rsidR="0027616D" w:rsidRPr="00A80EEC" w:rsidRDefault="0027616D" w:rsidP="000A2029">
      <w:pPr>
        <w:tabs>
          <w:tab w:val="left" w:pos="1170"/>
        </w:tabs>
        <w:rPr>
          <w:szCs w:val="22"/>
        </w:rPr>
      </w:pPr>
    </w:p>
    <w:p w:rsidR="00CB6F46" w:rsidRPr="00A80EEC" w:rsidRDefault="000D338F" w:rsidP="000D338F">
      <w:pPr>
        <w:tabs>
          <w:tab w:val="left" w:pos="1170"/>
        </w:tabs>
        <w:rPr>
          <w:color w:val="000000"/>
          <w:szCs w:val="22"/>
        </w:rPr>
      </w:pPr>
      <w:r w:rsidRPr="00A80EEC">
        <w:rPr>
          <w:color w:val="000000"/>
          <w:szCs w:val="22"/>
        </w:rPr>
        <w:t>Las bibliotecas y los archivos son esenciales en la economía del conocimiento del siglo XXI, ya que favorecen la investigación, el aprendizaje, la innovación y la actividad creativa, proporcionan acceso a distintas colecciones y suministran información y servicios al público en general, en el que se incluyen las comunidades desfavorecidas y los miembros vulnerables de la sociedad</w:t>
      </w:r>
      <w:r w:rsidR="00CB6F46" w:rsidRPr="00A80EEC">
        <w:rPr>
          <w:color w:val="000000"/>
          <w:szCs w:val="22"/>
        </w:rPr>
        <w:t>.</w:t>
      </w:r>
    </w:p>
    <w:p w:rsidR="0027616D" w:rsidRPr="00A80EEC" w:rsidRDefault="0027616D" w:rsidP="000A2029">
      <w:pPr>
        <w:tabs>
          <w:tab w:val="left" w:pos="1170"/>
        </w:tabs>
        <w:rPr>
          <w:szCs w:val="22"/>
        </w:rPr>
      </w:pPr>
    </w:p>
    <w:p w:rsidR="0027616D" w:rsidRPr="00A80EEC" w:rsidRDefault="000D338F" w:rsidP="000D338F">
      <w:pPr>
        <w:pStyle w:val="BodyTextIndent3"/>
        <w:spacing w:line="240" w:lineRule="auto"/>
        <w:ind w:left="0"/>
        <w:rPr>
          <w:rFonts w:ascii="Arial" w:hAnsi="Arial" w:cs="Arial"/>
          <w:color w:val="auto"/>
          <w:sz w:val="22"/>
          <w:szCs w:val="22"/>
          <w:lang w:val="es-ES"/>
        </w:rPr>
      </w:pPr>
      <w:r w:rsidRPr="00A80EEC">
        <w:rPr>
          <w:rFonts w:ascii="Arial" w:hAnsi="Arial" w:cs="Arial"/>
          <w:sz w:val="22"/>
          <w:szCs w:val="22"/>
          <w:lang w:val="es-ES"/>
        </w:rPr>
        <w:t>Las excepciones y limitaciones razonables pueden y deben establecer el marco que permita a las bibliotecas y a los archivos suministrar ejemplares de determinados materiales a investigadores y a otros usuarios de forma directa o por medio de bibliotecas intermediarias.</w:t>
      </w:r>
    </w:p>
    <w:p w:rsidR="0027616D" w:rsidRPr="00A80EEC" w:rsidRDefault="000D338F" w:rsidP="000D338F">
      <w:pPr>
        <w:pStyle w:val="Heading1"/>
        <w:keepNext w:val="0"/>
      </w:pPr>
      <w:r w:rsidRPr="00A80EEC">
        <w:rPr>
          <w:caps w:val="0"/>
        </w:rPr>
        <w:t>DEPÓSITO LEGAL</w:t>
      </w:r>
    </w:p>
    <w:p w:rsidR="0027616D" w:rsidRPr="00A80EEC" w:rsidRDefault="000D338F" w:rsidP="000D338F">
      <w:pPr>
        <w:pStyle w:val="Heading4"/>
        <w:keepNext w:val="0"/>
        <w:spacing w:line="260" w:lineRule="atLeast"/>
      </w:pPr>
      <w:r w:rsidRPr="00A80EEC">
        <w:t>Objetivo</w:t>
      </w:r>
      <w:r w:rsidRPr="00A80EEC">
        <w:rPr>
          <w:i w:val="0"/>
        </w:rPr>
        <w:t>:</w:t>
      </w:r>
    </w:p>
    <w:p w:rsidR="0027616D" w:rsidRPr="00A80EEC" w:rsidRDefault="000D338F" w:rsidP="000D338F">
      <w:pPr>
        <w:pStyle w:val="Heading4"/>
        <w:keepNext w:val="0"/>
        <w:spacing w:line="260" w:lineRule="atLeast"/>
        <w:rPr>
          <w:i w:val="0"/>
        </w:rPr>
      </w:pPr>
      <w:r w:rsidRPr="00A80EEC">
        <w:rPr>
          <w:i w:val="0"/>
        </w:rPr>
        <w:t>Promover la adopción de leyes y sistemas nacionales de depósito legal.</w:t>
      </w:r>
    </w:p>
    <w:p w:rsidR="0027616D" w:rsidRPr="00A80EEC" w:rsidRDefault="000D338F" w:rsidP="000D338F">
      <w:pPr>
        <w:pStyle w:val="Heading4"/>
        <w:keepNext w:val="0"/>
        <w:spacing w:line="260" w:lineRule="atLeast"/>
      </w:pPr>
      <w:r w:rsidRPr="00A80EEC">
        <w:t>Principios</w:t>
      </w:r>
      <w:r w:rsidRPr="00A80EEC">
        <w:rPr>
          <w:i w:val="0"/>
        </w:rPr>
        <w:t>:</w:t>
      </w:r>
    </w:p>
    <w:p w:rsidR="0027616D" w:rsidRPr="00A80EEC" w:rsidRDefault="0027616D" w:rsidP="000A2029">
      <w:pPr>
        <w:tabs>
          <w:tab w:val="left" w:pos="1170"/>
        </w:tabs>
        <w:rPr>
          <w:i/>
          <w:szCs w:val="22"/>
        </w:rPr>
      </w:pPr>
    </w:p>
    <w:p w:rsidR="00CB6F46" w:rsidRPr="00A80EEC" w:rsidRDefault="000D338F" w:rsidP="000D338F">
      <w:pPr>
        <w:tabs>
          <w:tab w:val="left" w:pos="1170"/>
        </w:tabs>
        <w:rPr>
          <w:color w:val="000000"/>
          <w:szCs w:val="22"/>
        </w:rPr>
      </w:pPr>
      <w:r w:rsidRPr="00A80EEC">
        <w:rPr>
          <w:color w:val="000000"/>
          <w:szCs w:val="22"/>
        </w:rPr>
        <w:t>Los sistemas de depósito legal contribuyen a fomentar las colecciones nacionales y pueden contribuir a las iniciativas de conservación, especialmente si comprenden muchas categorías de obras publicadas en distintos formatos</w:t>
      </w:r>
      <w:r w:rsidR="00CB6F46" w:rsidRPr="00A80EEC">
        <w:rPr>
          <w:color w:val="000000"/>
          <w:szCs w:val="22"/>
        </w:rPr>
        <w:t>.</w:t>
      </w:r>
    </w:p>
    <w:p w:rsidR="0027616D" w:rsidRPr="00A80EEC" w:rsidRDefault="0027616D" w:rsidP="000A2029">
      <w:pPr>
        <w:tabs>
          <w:tab w:val="left" w:pos="1170"/>
        </w:tabs>
        <w:rPr>
          <w:szCs w:val="22"/>
        </w:rPr>
      </w:pPr>
    </w:p>
    <w:p w:rsidR="0027616D" w:rsidRPr="00A80EEC" w:rsidRDefault="000D338F" w:rsidP="000D338F">
      <w:pPr>
        <w:tabs>
          <w:tab w:val="left" w:pos="1170"/>
        </w:tabs>
        <w:rPr>
          <w:szCs w:val="22"/>
        </w:rPr>
      </w:pPr>
      <w:r w:rsidRPr="00A80EEC">
        <w:rPr>
          <w:color w:val="000000"/>
          <w:szCs w:val="22"/>
        </w:rPr>
        <w:t xml:space="preserve">Las bibliotecas y los archivos también sirven al público </w:t>
      </w:r>
      <w:r w:rsidR="001F180F" w:rsidRPr="00A80EEC">
        <w:rPr>
          <w:color w:val="000000"/>
          <w:szCs w:val="22"/>
        </w:rPr>
        <w:t>por medio de la conservación de</w:t>
      </w:r>
      <w:r w:rsidRPr="00A80EEC">
        <w:rPr>
          <w:color w:val="000000"/>
          <w:szCs w:val="22"/>
        </w:rPr>
        <w:t xml:space="preserve"> información gubernamental de carácter e</w:t>
      </w:r>
      <w:r w:rsidR="001F180F" w:rsidRPr="00A80EEC">
        <w:rPr>
          <w:color w:val="000000"/>
          <w:szCs w:val="22"/>
        </w:rPr>
        <w:t xml:space="preserve">sencial.  </w:t>
      </w:r>
      <w:r w:rsidRPr="00A80EEC">
        <w:rPr>
          <w:color w:val="000000"/>
          <w:szCs w:val="22"/>
        </w:rPr>
        <w:t>Las restricciones del derecho de autor sobre materiales gubernamentales no deberán limitar la capacidad de las bibliotecas y de los archivos de recibir, conservar y difundir ob</w:t>
      </w:r>
      <w:r w:rsidR="003F4646" w:rsidRPr="00A80EEC">
        <w:rPr>
          <w:color w:val="000000"/>
          <w:szCs w:val="22"/>
        </w:rPr>
        <w:t>ras de carácter gubernamental.</w:t>
      </w:r>
    </w:p>
    <w:p w:rsidR="0027616D" w:rsidRPr="00A80EEC" w:rsidRDefault="000D338F" w:rsidP="00561732">
      <w:pPr>
        <w:pStyle w:val="Heading1"/>
        <w:keepNext w:val="0"/>
      </w:pPr>
      <w:r w:rsidRPr="00A80EEC">
        <w:rPr>
          <w:caps w:val="0"/>
          <w:color w:val="000000"/>
        </w:rPr>
        <w:t>EXCEPCIONES Y LIMITACIONES EN EL ENTORNO DIGI</w:t>
      </w:r>
      <w:r w:rsidR="003F4646" w:rsidRPr="00A80EEC">
        <w:rPr>
          <w:caps w:val="0"/>
          <w:color w:val="000000"/>
        </w:rPr>
        <w:t>TAL</w:t>
      </w:r>
    </w:p>
    <w:p w:rsidR="0027616D" w:rsidRPr="00A80EEC" w:rsidRDefault="000D338F" w:rsidP="000D338F">
      <w:pPr>
        <w:pStyle w:val="Heading4"/>
        <w:keepNext w:val="0"/>
        <w:spacing w:line="260" w:lineRule="atLeast"/>
      </w:pPr>
      <w:r w:rsidRPr="00A80EEC">
        <w:t>Objetivo</w:t>
      </w:r>
      <w:r w:rsidRPr="00A80EEC">
        <w:rPr>
          <w:i w:val="0"/>
        </w:rPr>
        <w:t>:</w:t>
      </w:r>
    </w:p>
    <w:p w:rsidR="0027616D" w:rsidRPr="00A80EEC" w:rsidRDefault="0027616D" w:rsidP="000A2029">
      <w:pPr>
        <w:tabs>
          <w:tab w:val="left" w:pos="1170"/>
        </w:tabs>
        <w:rPr>
          <w:szCs w:val="22"/>
        </w:rPr>
      </w:pPr>
    </w:p>
    <w:p w:rsidR="00CB6F46" w:rsidRPr="00A80EEC" w:rsidRDefault="000D338F" w:rsidP="000D338F">
      <w:pPr>
        <w:tabs>
          <w:tab w:val="left" w:pos="1170"/>
        </w:tabs>
        <w:rPr>
          <w:szCs w:val="22"/>
        </w:rPr>
      </w:pPr>
      <w:r w:rsidRPr="00A80EEC">
        <w:rPr>
          <w:szCs w:val="22"/>
        </w:rPr>
        <w:t>Permitir a las bibliotecas y a los archivos que lleven a cabo su función de servicio público en el entorno digital</w:t>
      </w:r>
      <w:r w:rsidR="00CB6F46" w:rsidRPr="00A80EEC">
        <w:rPr>
          <w:szCs w:val="22"/>
        </w:rPr>
        <w:t>.</w:t>
      </w:r>
    </w:p>
    <w:p w:rsidR="0027616D" w:rsidRPr="00A80EEC" w:rsidRDefault="000D338F" w:rsidP="000D338F">
      <w:pPr>
        <w:pStyle w:val="Heading4"/>
        <w:keepNext w:val="0"/>
        <w:spacing w:line="260" w:lineRule="atLeast"/>
      </w:pPr>
      <w:r w:rsidRPr="00A80EEC">
        <w:t>Principios</w:t>
      </w:r>
      <w:r w:rsidRPr="00A80EEC">
        <w:rPr>
          <w:i w:val="0"/>
        </w:rPr>
        <w:t>:</w:t>
      </w:r>
    </w:p>
    <w:p w:rsidR="0027616D" w:rsidRPr="00A80EEC" w:rsidRDefault="0027616D" w:rsidP="000A2029">
      <w:pPr>
        <w:tabs>
          <w:tab w:val="left" w:pos="1170"/>
        </w:tabs>
        <w:rPr>
          <w:i/>
          <w:szCs w:val="22"/>
        </w:rPr>
      </w:pPr>
    </w:p>
    <w:p w:rsidR="00CB6F46" w:rsidRPr="00A80EEC" w:rsidRDefault="000D338F" w:rsidP="000D338F">
      <w:pPr>
        <w:tabs>
          <w:tab w:val="left" w:pos="1170"/>
        </w:tabs>
        <w:rPr>
          <w:color w:val="000000"/>
          <w:szCs w:val="22"/>
        </w:rPr>
      </w:pPr>
      <w:r w:rsidRPr="00A80EEC">
        <w:rPr>
          <w:color w:val="000000"/>
          <w:szCs w:val="22"/>
        </w:rPr>
        <w:t>Las tecnologías digitales están cambiando la manera en que las bibliotecas y los archivos obtienen y conservan los contenidos digitales, y facilitan acceso a los mismos</w:t>
      </w:r>
      <w:r w:rsidR="00CB6F46" w:rsidRPr="00A80EEC">
        <w:rPr>
          <w:color w:val="000000"/>
          <w:szCs w:val="22"/>
        </w:rPr>
        <w:t>.</w:t>
      </w:r>
    </w:p>
    <w:p w:rsidR="0027616D" w:rsidRPr="00A80EEC" w:rsidRDefault="0027616D" w:rsidP="000A2029">
      <w:pPr>
        <w:tabs>
          <w:tab w:val="left" w:pos="1170"/>
        </w:tabs>
        <w:rPr>
          <w:szCs w:val="22"/>
        </w:rPr>
      </w:pPr>
    </w:p>
    <w:p w:rsidR="0027616D" w:rsidRPr="00A80EEC" w:rsidRDefault="00631E29" w:rsidP="00631E29">
      <w:pPr>
        <w:tabs>
          <w:tab w:val="left" w:pos="1170"/>
        </w:tabs>
        <w:rPr>
          <w:szCs w:val="22"/>
        </w:rPr>
      </w:pPr>
      <w:r w:rsidRPr="00A80EEC">
        <w:rPr>
          <w:color w:val="000000"/>
          <w:szCs w:val="22"/>
        </w:rPr>
        <w:t>Las excepciones y limitaciones deben actuar como una garantía efica</w:t>
      </w:r>
      <w:r w:rsidR="00CB6F46" w:rsidRPr="00A80EEC">
        <w:rPr>
          <w:color w:val="000000"/>
          <w:szCs w:val="22"/>
        </w:rPr>
        <w:t>z p</w:t>
      </w:r>
      <w:r w:rsidRPr="00A80EEC">
        <w:rPr>
          <w:color w:val="000000"/>
          <w:szCs w:val="22"/>
        </w:rPr>
        <w:t xml:space="preserve">ara que las bibliotecas y los archivos puedan conservar la información desarrollada y/o difundida en formato digital y por medio de tecnologías conectadas en </w:t>
      </w:r>
      <w:r w:rsidR="00561732" w:rsidRPr="00A80EEC">
        <w:rPr>
          <w:color w:val="000000"/>
          <w:szCs w:val="22"/>
        </w:rPr>
        <w:t>red, y brindar acceso a ésta.</w:t>
      </w:r>
    </w:p>
    <w:p w:rsidR="001F180F" w:rsidRPr="00A80EEC" w:rsidRDefault="001F180F" w:rsidP="009C18FF">
      <w:pPr>
        <w:rPr>
          <w:szCs w:val="22"/>
        </w:rPr>
      </w:pPr>
    </w:p>
    <w:p w:rsidR="0027616D" w:rsidRPr="00A80EEC" w:rsidRDefault="005F6B57" w:rsidP="009C18FF">
      <w:pPr>
        <w:rPr>
          <w:b/>
          <w:szCs w:val="22"/>
        </w:rPr>
      </w:pPr>
      <w:r w:rsidRPr="00A80EEC">
        <w:rPr>
          <w:b/>
          <w:caps/>
          <w:color w:val="000000"/>
        </w:rPr>
        <w:t>OTROS PRINCIPIOS GENERALES</w:t>
      </w:r>
    </w:p>
    <w:p w:rsidR="0027616D" w:rsidRPr="00A80EEC" w:rsidRDefault="0027616D" w:rsidP="000A2029">
      <w:pPr>
        <w:rPr>
          <w:szCs w:val="22"/>
        </w:rPr>
      </w:pPr>
    </w:p>
    <w:p w:rsidR="0027616D" w:rsidRPr="00A80EEC" w:rsidRDefault="009C18FF" w:rsidP="009C18FF">
      <w:pPr>
        <w:tabs>
          <w:tab w:val="left" w:pos="1170"/>
        </w:tabs>
        <w:rPr>
          <w:szCs w:val="22"/>
        </w:rPr>
      </w:pPr>
      <w:r w:rsidRPr="00A80EEC">
        <w:rPr>
          <w:color w:val="000000"/>
          <w:szCs w:val="22"/>
        </w:rPr>
        <w:t>Otras excepciones y limitaciones, entre las que figuran las excepciones de uso general, pueden desempeñar asimismo una función importante al permitir a las bibliotecas y a los archivos llevar a cabo su misión de servicio público.</w:t>
      </w:r>
    </w:p>
    <w:p w:rsidR="0027616D" w:rsidRPr="00A80EEC" w:rsidRDefault="0027616D" w:rsidP="000A2029">
      <w:pPr>
        <w:pStyle w:val="BodyTextIndent2"/>
        <w:ind w:left="0"/>
        <w:rPr>
          <w:rFonts w:ascii="Arial" w:hAnsi="Arial" w:cs="Arial"/>
          <w:i w:val="0"/>
          <w:sz w:val="22"/>
          <w:szCs w:val="22"/>
          <w:lang w:val="es-ES"/>
        </w:rPr>
      </w:pPr>
    </w:p>
    <w:p w:rsidR="0027616D" w:rsidRPr="00A80EEC" w:rsidRDefault="009C485E" w:rsidP="009C18FF">
      <w:pPr>
        <w:pStyle w:val="BodyTextIndent2"/>
        <w:ind w:left="0"/>
        <w:rPr>
          <w:rFonts w:ascii="Arial" w:hAnsi="Arial" w:cs="Arial"/>
          <w:i w:val="0"/>
          <w:sz w:val="22"/>
          <w:szCs w:val="22"/>
          <w:lang w:val="es-ES"/>
        </w:rPr>
      </w:pPr>
      <w:r w:rsidRPr="00A80EEC">
        <w:rPr>
          <w:rFonts w:ascii="Arial" w:hAnsi="Arial" w:cs="Arial"/>
          <w:i w:val="0"/>
          <w:color w:val="000000"/>
          <w:sz w:val="22"/>
          <w:szCs w:val="22"/>
          <w:lang w:val="es-ES"/>
        </w:rPr>
        <w:t>Los Estados m</w:t>
      </w:r>
      <w:r w:rsidR="009C18FF" w:rsidRPr="00A80EEC">
        <w:rPr>
          <w:rFonts w:ascii="Arial" w:hAnsi="Arial" w:cs="Arial"/>
          <w:i w:val="0"/>
          <w:color w:val="000000"/>
          <w:sz w:val="22"/>
          <w:szCs w:val="22"/>
          <w:lang w:val="es-ES"/>
        </w:rPr>
        <w:t>iembro</w:t>
      </w:r>
      <w:r w:rsidR="00902AB2" w:rsidRPr="00A80EEC">
        <w:rPr>
          <w:rFonts w:ascii="Arial" w:hAnsi="Arial" w:cs="Arial"/>
          <w:i w:val="0"/>
          <w:color w:val="000000"/>
          <w:sz w:val="22"/>
          <w:szCs w:val="22"/>
          <w:lang w:val="es-ES"/>
        </w:rPr>
        <w:t>s</w:t>
      </w:r>
      <w:r w:rsidR="009C18FF" w:rsidRPr="00A80EEC">
        <w:rPr>
          <w:rFonts w:ascii="Arial" w:hAnsi="Arial" w:cs="Arial"/>
          <w:i w:val="0"/>
          <w:color w:val="000000"/>
          <w:sz w:val="22"/>
          <w:szCs w:val="22"/>
          <w:lang w:val="es-ES"/>
        </w:rPr>
        <w:t xml:space="preserve"> deben reconocer limitaciones sobre la responsabilidad imputable, por determinados tipos de daños y perjuicios, a las bibliotecas y a los archivos, y a sus empleados y agentes que actúen de buena fe, creyendo o teniendo motivos fundados para creer que han actuado de conformidad con la legislación de derecho de autor.</w:t>
      </w:r>
    </w:p>
    <w:p w:rsidR="0027616D" w:rsidRPr="00A80EEC" w:rsidRDefault="0027616D" w:rsidP="000A2029">
      <w:pPr>
        <w:pStyle w:val="BodyTextIndent2"/>
        <w:ind w:left="0"/>
        <w:rPr>
          <w:rFonts w:ascii="Arial" w:hAnsi="Arial" w:cs="Arial"/>
          <w:sz w:val="22"/>
          <w:szCs w:val="22"/>
          <w:lang w:val="es-ES"/>
        </w:rPr>
      </w:pPr>
    </w:p>
    <w:p w:rsidR="0027616D" w:rsidRPr="00A80EEC" w:rsidRDefault="009C18FF" w:rsidP="009C18FF">
      <w:pPr>
        <w:pStyle w:val="BodyTextIndent2"/>
        <w:ind w:left="0"/>
        <w:rPr>
          <w:rFonts w:ascii="Arial" w:hAnsi="Arial" w:cs="Arial"/>
          <w:i w:val="0"/>
          <w:sz w:val="22"/>
          <w:szCs w:val="22"/>
          <w:lang w:val="es-ES"/>
        </w:rPr>
      </w:pPr>
      <w:r w:rsidRPr="00A80EEC">
        <w:rPr>
          <w:rFonts w:ascii="Arial" w:hAnsi="Arial" w:cs="Arial"/>
          <w:i w:val="0"/>
          <w:color w:val="000000"/>
          <w:sz w:val="22"/>
          <w:szCs w:val="22"/>
          <w:lang w:val="es-ES"/>
        </w:rPr>
        <w:t>Los titulares de los derechos desempeñan una función esencial al velar por el acceso sostenible a obras protegidas por derecho de autor en los países desarrollados y los países en desarrollo.</w:t>
      </w:r>
      <w:r w:rsidR="000A2029" w:rsidRPr="00A80EEC">
        <w:rPr>
          <w:rFonts w:ascii="Arial" w:hAnsi="Arial" w:cs="Arial"/>
          <w:i w:val="0"/>
          <w:sz w:val="22"/>
          <w:szCs w:val="22"/>
          <w:lang w:val="es-ES"/>
        </w:rPr>
        <w:t xml:space="preserve">  </w:t>
      </w:r>
      <w:r w:rsidRPr="00A80EEC">
        <w:rPr>
          <w:rFonts w:ascii="Arial" w:hAnsi="Arial" w:cs="Arial"/>
          <w:i w:val="0"/>
          <w:color w:val="000000"/>
          <w:sz w:val="22"/>
          <w:szCs w:val="22"/>
          <w:lang w:val="es-ES"/>
        </w:rPr>
        <w:t>Cuando sea necesario idear soluciones flexibles debido a los rápidos cambios en la tecnología, los Estados miembros deben fomentar soluciones basadas en la colaboración y la innovación entre todos los sectores interesados.</w:t>
      </w:r>
    </w:p>
    <w:p w:rsidR="0027616D" w:rsidRPr="00A80EEC" w:rsidRDefault="0027616D" w:rsidP="000A2029">
      <w:pPr>
        <w:pStyle w:val="BodyTextIndent2"/>
        <w:ind w:left="0"/>
        <w:rPr>
          <w:rFonts w:ascii="Arial" w:hAnsi="Arial" w:cs="Arial"/>
          <w:i w:val="0"/>
          <w:sz w:val="22"/>
          <w:szCs w:val="22"/>
          <w:lang w:val="es-ES"/>
        </w:rPr>
      </w:pPr>
    </w:p>
    <w:p w:rsidR="0027616D" w:rsidRPr="00A80EEC" w:rsidRDefault="009C18FF" w:rsidP="009C18FF">
      <w:pPr>
        <w:pStyle w:val="BodyTextIndent2"/>
        <w:ind w:left="0"/>
        <w:rPr>
          <w:rFonts w:ascii="Arial" w:hAnsi="Arial" w:cs="Arial"/>
          <w:i w:val="0"/>
          <w:sz w:val="22"/>
          <w:szCs w:val="22"/>
          <w:lang w:val="es-ES"/>
        </w:rPr>
      </w:pPr>
      <w:r w:rsidRPr="00A80EEC">
        <w:rPr>
          <w:rFonts w:ascii="Arial" w:hAnsi="Arial" w:cs="Arial"/>
          <w:i w:val="0"/>
          <w:color w:val="000000"/>
          <w:sz w:val="22"/>
          <w:szCs w:val="22"/>
          <w:lang w:val="es-ES"/>
        </w:rPr>
        <w:t xml:space="preserve">Los museos comparten muchas de las funciones de servicio público de las bibliotecas y los archivos, y conviene que los Estados miembros estudien la posibilidad de extender a los museos las mismas excepciones y </w:t>
      </w:r>
      <w:r w:rsidR="003F4646" w:rsidRPr="00A80EEC">
        <w:rPr>
          <w:rFonts w:ascii="Arial" w:hAnsi="Arial" w:cs="Arial"/>
          <w:i w:val="0"/>
          <w:color w:val="000000"/>
          <w:sz w:val="22"/>
          <w:szCs w:val="22"/>
          <w:lang w:val="es-ES"/>
        </w:rPr>
        <w:t>limitaciones u otras similares.</w:t>
      </w:r>
    </w:p>
    <w:p w:rsidR="0027616D" w:rsidRPr="00A80EEC" w:rsidRDefault="0027616D" w:rsidP="000A2029">
      <w:pPr>
        <w:pStyle w:val="BodyTextIndent2"/>
        <w:ind w:left="0"/>
        <w:rPr>
          <w:rFonts w:ascii="Arial" w:hAnsi="Arial" w:cs="Arial"/>
          <w:i w:val="0"/>
          <w:sz w:val="22"/>
          <w:szCs w:val="22"/>
          <w:lang w:val="es-ES"/>
        </w:rPr>
      </w:pPr>
    </w:p>
    <w:p w:rsidR="0027616D" w:rsidRPr="00A80EEC" w:rsidRDefault="00902AB2" w:rsidP="009C18FF">
      <w:pPr>
        <w:pStyle w:val="BodyTextIndent2"/>
        <w:ind w:left="0"/>
        <w:rPr>
          <w:rFonts w:ascii="Arial" w:hAnsi="Arial" w:cs="Arial"/>
          <w:sz w:val="22"/>
          <w:szCs w:val="22"/>
          <w:lang w:val="es-ES"/>
        </w:rPr>
      </w:pPr>
      <w:r w:rsidRPr="00A80EEC">
        <w:rPr>
          <w:rFonts w:ascii="Arial" w:hAnsi="Arial" w:cs="Arial"/>
          <w:i w:val="0"/>
          <w:color w:val="000000"/>
          <w:sz w:val="22"/>
          <w:szCs w:val="22"/>
          <w:lang w:val="es-ES"/>
        </w:rPr>
        <w:t>Se debe</w:t>
      </w:r>
      <w:r w:rsidR="009C18FF" w:rsidRPr="00A80EEC">
        <w:rPr>
          <w:rFonts w:ascii="Arial" w:hAnsi="Arial" w:cs="Arial"/>
          <w:i w:val="0"/>
          <w:color w:val="000000"/>
          <w:sz w:val="22"/>
          <w:szCs w:val="22"/>
          <w:lang w:val="es-ES"/>
        </w:rPr>
        <w:t xml:space="preserve">n establecer las salvaguardias adecuadas para velar por el ejercicio responsable y legítimo de las excepciones y limitaciones por </w:t>
      </w:r>
      <w:r w:rsidR="003F4646" w:rsidRPr="00A80EEC">
        <w:rPr>
          <w:rFonts w:ascii="Arial" w:hAnsi="Arial" w:cs="Arial"/>
          <w:i w:val="0"/>
          <w:color w:val="000000"/>
          <w:sz w:val="22"/>
          <w:szCs w:val="22"/>
          <w:lang w:val="es-ES"/>
        </w:rPr>
        <w:t>las bibliotecas y los archivos.</w:t>
      </w:r>
    </w:p>
    <w:p w:rsidR="0027616D" w:rsidRPr="00A80EEC" w:rsidRDefault="0027616D" w:rsidP="000A2029">
      <w:pPr>
        <w:pStyle w:val="BodyTextIndent2"/>
        <w:ind w:left="0"/>
        <w:rPr>
          <w:rFonts w:ascii="Arial" w:hAnsi="Arial" w:cs="Arial"/>
          <w:i w:val="0"/>
          <w:sz w:val="22"/>
          <w:szCs w:val="22"/>
          <w:lang w:val="es-ES"/>
        </w:rPr>
      </w:pPr>
    </w:p>
    <w:p w:rsidR="0027616D" w:rsidRPr="00A80EEC" w:rsidRDefault="0027616D" w:rsidP="000A2029">
      <w:pPr>
        <w:pStyle w:val="BodyTextIndent2"/>
        <w:tabs>
          <w:tab w:val="clear" w:pos="1170"/>
        </w:tabs>
        <w:ind w:left="0"/>
        <w:rPr>
          <w:rFonts w:ascii="Arial" w:hAnsi="Arial" w:cs="Arial"/>
          <w:i w:val="0"/>
          <w:sz w:val="22"/>
          <w:szCs w:val="22"/>
          <w:lang w:val="es-ES"/>
        </w:rPr>
      </w:pPr>
    </w:p>
    <w:p w:rsidR="0027616D" w:rsidRPr="00A80EEC" w:rsidRDefault="0027616D" w:rsidP="000A2029">
      <w:pPr>
        <w:pStyle w:val="BodyTextIndent2"/>
        <w:tabs>
          <w:tab w:val="clear" w:pos="1170"/>
        </w:tabs>
        <w:ind w:left="0"/>
        <w:rPr>
          <w:rFonts w:ascii="Arial" w:hAnsi="Arial" w:cs="Arial"/>
          <w:i w:val="0"/>
          <w:sz w:val="22"/>
          <w:szCs w:val="22"/>
          <w:lang w:val="es-ES"/>
        </w:rPr>
      </w:pPr>
    </w:p>
    <w:p w:rsidR="000A2029" w:rsidRPr="009704B1" w:rsidRDefault="009C18FF" w:rsidP="000A2029">
      <w:pPr>
        <w:pStyle w:val="Endofdocument-Annex"/>
        <w:ind w:left="5387"/>
        <w:rPr>
          <w:lang w:val="es-ES"/>
        </w:rPr>
      </w:pPr>
      <w:r w:rsidRPr="00A80EEC">
        <w:rPr>
          <w:lang w:val="es-ES"/>
        </w:rPr>
        <w:t>[Fin del documento]</w:t>
      </w:r>
    </w:p>
    <w:sectPr w:rsidR="000A2029" w:rsidRPr="009704B1" w:rsidSect="005A297C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97C" w:rsidRDefault="005A297C">
      <w:r>
        <w:separator/>
      </w:r>
    </w:p>
  </w:endnote>
  <w:endnote w:type="continuationSeparator" w:id="0">
    <w:p w:rsidR="005A297C" w:rsidRPr="009D30E6" w:rsidRDefault="005A297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A297C" w:rsidRPr="007E663E" w:rsidRDefault="005A297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A297C" w:rsidRPr="007E663E" w:rsidRDefault="005A297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97C" w:rsidRDefault="005A297C">
      <w:r>
        <w:separator/>
      </w:r>
    </w:p>
  </w:footnote>
  <w:footnote w:type="continuationSeparator" w:id="0">
    <w:p w:rsidR="005A297C" w:rsidRPr="009D30E6" w:rsidRDefault="005A297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A297C" w:rsidRPr="007E663E" w:rsidRDefault="005A297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A297C" w:rsidRPr="007E663E" w:rsidRDefault="005A297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5A297C" w:rsidP="00477D6B">
    <w:pPr>
      <w:jc w:val="right"/>
    </w:pPr>
    <w:bookmarkStart w:id="6" w:name="Code2"/>
    <w:bookmarkEnd w:id="6"/>
    <w:r>
      <w:t>SCCR/26/8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04DA8">
      <w:rPr>
        <w:noProof/>
      </w:rPr>
      <w:t>4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Administrative\Meetings|Administrative\Other|Administrative\Publications|Budget and Finance\Meetings|Copyright\Meetings|IP in General\Meetings|Patents\Meetings|Trademarks\Meetings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taff_RR|WorkspaceSTS\EN-ES\Glossaries\EN-E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5A297C"/>
    <w:rsid w:val="00010686"/>
    <w:rsid w:val="00011CE1"/>
    <w:rsid w:val="00052915"/>
    <w:rsid w:val="000845E4"/>
    <w:rsid w:val="000A2029"/>
    <w:rsid w:val="000D338F"/>
    <w:rsid w:val="000E3BB3"/>
    <w:rsid w:val="000F5E56"/>
    <w:rsid w:val="001362EE"/>
    <w:rsid w:val="00152CEA"/>
    <w:rsid w:val="001832A6"/>
    <w:rsid w:val="001F180F"/>
    <w:rsid w:val="002212AF"/>
    <w:rsid w:val="002634C4"/>
    <w:rsid w:val="0027616D"/>
    <w:rsid w:val="002E0F47"/>
    <w:rsid w:val="002F4E68"/>
    <w:rsid w:val="00313F72"/>
    <w:rsid w:val="00354647"/>
    <w:rsid w:val="00377273"/>
    <w:rsid w:val="003845C1"/>
    <w:rsid w:val="00387287"/>
    <w:rsid w:val="003A571D"/>
    <w:rsid w:val="003E48F1"/>
    <w:rsid w:val="003F347A"/>
    <w:rsid w:val="003F4646"/>
    <w:rsid w:val="00423E3E"/>
    <w:rsid w:val="00427AF4"/>
    <w:rsid w:val="0045231F"/>
    <w:rsid w:val="004647DA"/>
    <w:rsid w:val="00477745"/>
    <w:rsid w:val="00477808"/>
    <w:rsid w:val="00477D6B"/>
    <w:rsid w:val="004A6C37"/>
    <w:rsid w:val="004E297D"/>
    <w:rsid w:val="005332F0"/>
    <w:rsid w:val="0055013B"/>
    <w:rsid w:val="00550DAB"/>
    <w:rsid w:val="00561732"/>
    <w:rsid w:val="00571B99"/>
    <w:rsid w:val="005A297C"/>
    <w:rsid w:val="005F6B57"/>
    <w:rsid w:val="00605827"/>
    <w:rsid w:val="00631E29"/>
    <w:rsid w:val="00675021"/>
    <w:rsid w:val="006A06C6"/>
    <w:rsid w:val="007224C8"/>
    <w:rsid w:val="0078058D"/>
    <w:rsid w:val="00794BE2"/>
    <w:rsid w:val="007B71FE"/>
    <w:rsid w:val="007D781E"/>
    <w:rsid w:val="007E663E"/>
    <w:rsid w:val="00815082"/>
    <w:rsid w:val="0088395E"/>
    <w:rsid w:val="00895F60"/>
    <w:rsid w:val="008B2CC1"/>
    <w:rsid w:val="008E6BD6"/>
    <w:rsid w:val="00902AB2"/>
    <w:rsid w:val="0090731E"/>
    <w:rsid w:val="00966A22"/>
    <w:rsid w:val="009704B1"/>
    <w:rsid w:val="00972F03"/>
    <w:rsid w:val="009A0C8B"/>
    <w:rsid w:val="009B6241"/>
    <w:rsid w:val="009C18FF"/>
    <w:rsid w:val="009C485E"/>
    <w:rsid w:val="009F738E"/>
    <w:rsid w:val="00A008EB"/>
    <w:rsid w:val="00A16FC0"/>
    <w:rsid w:val="00A31BED"/>
    <w:rsid w:val="00A32C9E"/>
    <w:rsid w:val="00A80EEC"/>
    <w:rsid w:val="00AB613D"/>
    <w:rsid w:val="00AE7F20"/>
    <w:rsid w:val="00B65A0A"/>
    <w:rsid w:val="00B67CDC"/>
    <w:rsid w:val="00B72D36"/>
    <w:rsid w:val="00B765D4"/>
    <w:rsid w:val="00BC4164"/>
    <w:rsid w:val="00BD2DCC"/>
    <w:rsid w:val="00C90559"/>
    <w:rsid w:val="00CA2251"/>
    <w:rsid w:val="00CB6F46"/>
    <w:rsid w:val="00D56C7C"/>
    <w:rsid w:val="00D71B4D"/>
    <w:rsid w:val="00D90289"/>
    <w:rsid w:val="00D93D55"/>
    <w:rsid w:val="00DC4C60"/>
    <w:rsid w:val="00E0079A"/>
    <w:rsid w:val="00E04DA8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  <w:rsid w:val="00FE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character" w:customStyle="1" w:styleId="Heading1Char">
    <w:name w:val="Heading 1 Char"/>
    <w:link w:val="Heading1"/>
    <w:rsid w:val="000A202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4Char">
    <w:name w:val="Heading 4 Char"/>
    <w:link w:val="Heading4"/>
    <w:rsid w:val="000A2029"/>
    <w:rPr>
      <w:rFonts w:ascii="Arial" w:eastAsia="SimSun" w:hAnsi="Arial" w:cs="Arial"/>
      <w:bCs/>
      <w:i/>
      <w:sz w:val="22"/>
      <w:szCs w:val="28"/>
      <w:lang w:val="es-ES" w:eastAsia="zh-CN"/>
    </w:rPr>
  </w:style>
  <w:style w:type="paragraph" w:styleId="BodyTextIndent2">
    <w:name w:val="Body Text Indent 2"/>
    <w:basedOn w:val="Normal"/>
    <w:link w:val="BodyTextIndent2Char"/>
    <w:rsid w:val="000A2029"/>
    <w:pPr>
      <w:tabs>
        <w:tab w:val="left" w:pos="1170"/>
      </w:tabs>
      <w:spacing w:after="120" w:line="260" w:lineRule="atLeast"/>
      <w:ind w:left="720"/>
      <w:contextualSpacing/>
    </w:pPr>
    <w:rPr>
      <w:rFonts w:ascii="Californian FB" w:eastAsia="MS ??" w:hAnsi="Californian FB" w:cs="Times New Roman"/>
      <w:i/>
      <w:noProof/>
      <w:sz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A2029"/>
    <w:rPr>
      <w:rFonts w:ascii="Californian FB" w:eastAsia="MS ??" w:hAnsi="Californian FB"/>
      <w:i/>
      <w:noProof/>
    </w:rPr>
  </w:style>
  <w:style w:type="paragraph" w:styleId="BodyTextIndent3">
    <w:name w:val="Body Text Indent 3"/>
    <w:basedOn w:val="Normal"/>
    <w:link w:val="BodyTextIndent3Char"/>
    <w:rsid w:val="000A2029"/>
    <w:pPr>
      <w:tabs>
        <w:tab w:val="left" w:pos="1170"/>
      </w:tabs>
      <w:spacing w:after="120" w:line="260" w:lineRule="atLeast"/>
      <w:ind w:left="720"/>
      <w:contextualSpacing/>
    </w:pPr>
    <w:rPr>
      <w:rFonts w:ascii="Times New Roman" w:eastAsia="MS ??" w:hAnsi="Times New Roman" w:cs="Times New Roman"/>
      <w:noProof/>
      <w:color w:val="000000"/>
      <w:sz w:val="24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0A2029"/>
    <w:rPr>
      <w:rFonts w:eastAsia="MS ??"/>
      <w:noProof/>
      <w:color w:val="000000"/>
      <w:sz w:val="24"/>
    </w:rPr>
  </w:style>
  <w:style w:type="paragraph" w:styleId="BalloonText">
    <w:name w:val="Balloon Text"/>
    <w:basedOn w:val="Normal"/>
    <w:link w:val="BalloonTextChar"/>
    <w:rsid w:val="00895F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5F60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character" w:customStyle="1" w:styleId="Heading1Char">
    <w:name w:val="Heading 1 Char"/>
    <w:link w:val="Heading1"/>
    <w:rsid w:val="000A202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4Char">
    <w:name w:val="Heading 4 Char"/>
    <w:link w:val="Heading4"/>
    <w:rsid w:val="000A2029"/>
    <w:rPr>
      <w:rFonts w:ascii="Arial" w:eastAsia="SimSun" w:hAnsi="Arial" w:cs="Arial"/>
      <w:bCs/>
      <w:i/>
      <w:sz w:val="22"/>
      <w:szCs w:val="28"/>
      <w:lang w:val="es-ES" w:eastAsia="zh-CN"/>
    </w:rPr>
  </w:style>
  <w:style w:type="paragraph" w:styleId="BodyTextIndent2">
    <w:name w:val="Body Text Indent 2"/>
    <w:basedOn w:val="Normal"/>
    <w:link w:val="BodyTextIndent2Char"/>
    <w:rsid w:val="000A2029"/>
    <w:pPr>
      <w:tabs>
        <w:tab w:val="left" w:pos="1170"/>
      </w:tabs>
      <w:spacing w:after="120" w:line="260" w:lineRule="atLeast"/>
      <w:ind w:left="720"/>
      <w:contextualSpacing/>
    </w:pPr>
    <w:rPr>
      <w:rFonts w:ascii="Californian FB" w:eastAsia="MS ??" w:hAnsi="Californian FB" w:cs="Times New Roman"/>
      <w:i/>
      <w:noProof/>
      <w:sz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A2029"/>
    <w:rPr>
      <w:rFonts w:ascii="Californian FB" w:eastAsia="MS ??" w:hAnsi="Californian FB"/>
      <w:i/>
      <w:noProof/>
    </w:rPr>
  </w:style>
  <w:style w:type="paragraph" w:styleId="BodyTextIndent3">
    <w:name w:val="Body Text Indent 3"/>
    <w:basedOn w:val="Normal"/>
    <w:link w:val="BodyTextIndent3Char"/>
    <w:rsid w:val="000A2029"/>
    <w:pPr>
      <w:tabs>
        <w:tab w:val="left" w:pos="1170"/>
      </w:tabs>
      <w:spacing w:after="120" w:line="260" w:lineRule="atLeast"/>
      <w:ind w:left="720"/>
      <w:contextualSpacing/>
    </w:pPr>
    <w:rPr>
      <w:rFonts w:ascii="Times New Roman" w:eastAsia="MS ??" w:hAnsi="Times New Roman" w:cs="Times New Roman"/>
      <w:noProof/>
      <w:color w:val="000000"/>
      <w:sz w:val="24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0A2029"/>
    <w:rPr>
      <w:rFonts w:eastAsia="MS ??"/>
      <w:noProof/>
      <w:color w:val="000000"/>
      <w:sz w:val="24"/>
    </w:rPr>
  </w:style>
  <w:style w:type="paragraph" w:styleId="BalloonText">
    <w:name w:val="Balloon Text"/>
    <w:basedOn w:val="Normal"/>
    <w:link w:val="BalloonTextChar"/>
    <w:rsid w:val="00895F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5F60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26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26 (S)</Template>
  <TotalTime>0</TotalTime>
  <Pages>4</Pages>
  <Words>987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Objetivos y principios relativos a las excepciones y limitaciones en favor de las bibliotecas y los archivos</vt:lpstr>
    </vt:vector>
  </TitlesOfParts>
  <Company>WIPO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Objetivos y principios relativos a las excepciones y limitaciones en favor de las bibliotecas y los archivos</dc:title>
  <dc:subject>SCCR/26/8</dc:subject>
  <dc:creator>BOU LLORET Amparo</dc:creator>
  <dc:description>CGD
18/3/2014</dc:description>
  <cp:lastModifiedBy>HAIZEL Francesca</cp:lastModifiedBy>
  <cp:revision>3</cp:revision>
  <cp:lastPrinted>2014-03-18T13:17:00Z</cp:lastPrinted>
  <dcterms:created xsi:type="dcterms:W3CDTF">2014-03-18T14:14:00Z</dcterms:created>
  <dcterms:modified xsi:type="dcterms:W3CDTF">2014-03-18T14:29:00Z</dcterms:modified>
</cp:coreProperties>
</file>