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6783F" w:rsidRPr="00E6783F" w:rsidTr="00F252A7">
        <w:tc>
          <w:tcPr>
            <w:tcW w:w="4513" w:type="dxa"/>
            <w:tcBorders>
              <w:bottom w:val="single" w:sz="4" w:space="0" w:color="auto"/>
            </w:tcBorders>
            <w:tcMar>
              <w:bottom w:w="170" w:type="dxa"/>
            </w:tcMar>
          </w:tcPr>
          <w:p w:rsidR="00E0091A" w:rsidRPr="00E6783F" w:rsidRDefault="00E0091A" w:rsidP="00EE71CB">
            <w:pPr>
              <w:rPr>
                <w:lang w:val="fr-FR"/>
              </w:rPr>
            </w:pPr>
          </w:p>
        </w:tc>
        <w:tc>
          <w:tcPr>
            <w:tcW w:w="4337" w:type="dxa"/>
            <w:tcBorders>
              <w:bottom w:val="single" w:sz="4" w:space="0" w:color="auto"/>
            </w:tcBorders>
            <w:tcMar>
              <w:left w:w="0" w:type="dxa"/>
              <w:right w:w="0" w:type="dxa"/>
            </w:tcMar>
          </w:tcPr>
          <w:p w:rsidR="00E0091A" w:rsidRPr="00E6783F" w:rsidRDefault="00905E08" w:rsidP="00EE71CB">
            <w:pPr>
              <w:rPr>
                <w:lang w:val="fr-FR"/>
              </w:rPr>
            </w:pPr>
            <w:r w:rsidRPr="00E6783F">
              <w:rPr>
                <w:noProof/>
                <w:lang w:val="en-US" w:eastAsia="en-US"/>
              </w:rPr>
              <w:drawing>
                <wp:inline distT="0" distB="0" distL="0" distR="0" wp14:anchorId="09A1EB80" wp14:editId="23D451C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E6783F" w:rsidRDefault="00E0091A" w:rsidP="00EE71CB">
            <w:pPr>
              <w:jc w:val="right"/>
              <w:rPr>
                <w:lang w:val="fr-FR"/>
              </w:rPr>
            </w:pPr>
            <w:r w:rsidRPr="00E6783F">
              <w:rPr>
                <w:b/>
                <w:sz w:val="40"/>
                <w:szCs w:val="40"/>
                <w:lang w:val="fr-FR"/>
              </w:rPr>
              <w:t>F</w:t>
            </w:r>
          </w:p>
        </w:tc>
      </w:tr>
      <w:tr w:rsidR="00E6783F" w:rsidRPr="00E6783F"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E6783F" w:rsidRDefault="00905E08" w:rsidP="00566D81">
            <w:pPr>
              <w:jc w:val="right"/>
              <w:rPr>
                <w:rFonts w:ascii="Arial Black" w:hAnsi="Arial Black"/>
                <w:caps/>
                <w:sz w:val="15"/>
                <w:lang w:val="fr-FR"/>
              </w:rPr>
            </w:pPr>
            <w:r w:rsidRPr="00E6783F">
              <w:rPr>
                <w:rFonts w:ascii="Arial Black" w:hAnsi="Arial Black"/>
                <w:caps/>
                <w:sz w:val="15"/>
                <w:lang w:val="fr-FR"/>
              </w:rPr>
              <w:t>SCCR/31/</w:t>
            </w:r>
            <w:bookmarkStart w:id="0" w:name="Code"/>
            <w:bookmarkEnd w:id="0"/>
            <w:r w:rsidR="00566D81" w:rsidRPr="00E6783F">
              <w:rPr>
                <w:rFonts w:ascii="Arial Black" w:hAnsi="Arial Black"/>
                <w:caps/>
                <w:sz w:val="15"/>
                <w:lang w:val="fr-FR"/>
              </w:rPr>
              <w:t>4</w:t>
            </w:r>
            <w:r w:rsidR="00011B7D" w:rsidRPr="00E6783F">
              <w:rPr>
                <w:rFonts w:ascii="Arial Black" w:hAnsi="Arial Black"/>
                <w:caps/>
                <w:sz w:val="15"/>
                <w:lang w:val="fr-FR"/>
              </w:rPr>
              <w:t xml:space="preserve"> </w:t>
            </w:r>
          </w:p>
        </w:tc>
      </w:tr>
      <w:tr w:rsidR="00E6783F" w:rsidRPr="00E6783F" w:rsidTr="00EE71CB">
        <w:trPr>
          <w:trHeight w:hRule="exact" w:val="170"/>
        </w:trPr>
        <w:tc>
          <w:tcPr>
            <w:tcW w:w="9356" w:type="dxa"/>
            <w:gridSpan w:val="3"/>
            <w:noWrap/>
            <w:tcMar>
              <w:left w:w="0" w:type="dxa"/>
              <w:right w:w="0" w:type="dxa"/>
            </w:tcMar>
            <w:vAlign w:val="bottom"/>
          </w:tcPr>
          <w:p w:rsidR="008B2CC1" w:rsidRPr="00E6783F" w:rsidRDefault="008B2CC1" w:rsidP="00566D81">
            <w:pPr>
              <w:jc w:val="right"/>
              <w:rPr>
                <w:rFonts w:ascii="Arial Black" w:hAnsi="Arial Black"/>
                <w:caps/>
                <w:sz w:val="15"/>
                <w:lang w:val="fr-FR"/>
              </w:rPr>
            </w:pPr>
            <w:r w:rsidRPr="00E6783F">
              <w:rPr>
                <w:rFonts w:ascii="Arial Black" w:hAnsi="Arial Black"/>
                <w:caps/>
                <w:sz w:val="15"/>
                <w:lang w:val="fr-FR"/>
              </w:rPr>
              <w:t>ORIGINAL</w:t>
            </w:r>
            <w:r w:rsidR="00E14572" w:rsidRPr="00E6783F">
              <w:rPr>
                <w:rFonts w:ascii="Arial Black" w:hAnsi="Arial Black"/>
                <w:caps/>
                <w:sz w:val="15"/>
                <w:lang w:val="fr-FR"/>
              </w:rPr>
              <w:t> </w:t>
            </w:r>
            <w:r w:rsidRPr="00E6783F">
              <w:rPr>
                <w:rFonts w:ascii="Arial Black" w:hAnsi="Arial Black"/>
                <w:caps/>
                <w:sz w:val="15"/>
                <w:lang w:val="fr-FR"/>
              </w:rPr>
              <w:t>:</w:t>
            </w:r>
            <w:r w:rsidR="00905E08" w:rsidRPr="00E6783F">
              <w:rPr>
                <w:rFonts w:ascii="Arial Black" w:hAnsi="Arial Black"/>
                <w:caps/>
                <w:sz w:val="15"/>
                <w:lang w:val="fr-FR"/>
              </w:rPr>
              <w:t xml:space="preserve"> </w:t>
            </w:r>
            <w:bookmarkStart w:id="1" w:name="Original"/>
            <w:bookmarkEnd w:id="1"/>
            <w:r w:rsidR="00566D81" w:rsidRPr="00E6783F">
              <w:rPr>
                <w:rFonts w:ascii="Arial Black" w:hAnsi="Arial Black"/>
                <w:caps/>
                <w:sz w:val="15"/>
                <w:lang w:val="fr-FR"/>
              </w:rPr>
              <w:t>anglais</w:t>
            </w:r>
          </w:p>
        </w:tc>
      </w:tr>
      <w:tr w:rsidR="008B2CC1" w:rsidRPr="00E6783F" w:rsidTr="00EE71CB">
        <w:trPr>
          <w:trHeight w:hRule="exact" w:val="198"/>
        </w:trPr>
        <w:tc>
          <w:tcPr>
            <w:tcW w:w="9356" w:type="dxa"/>
            <w:gridSpan w:val="3"/>
            <w:tcMar>
              <w:left w:w="0" w:type="dxa"/>
              <w:right w:w="0" w:type="dxa"/>
            </w:tcMar>
            <w:vAlign w:val="bottom"/>
          </w:tcPr>
          <w:p w:rsidR="008B2CC1" w:rsidRPr="00E6783F" w:rsidRDefault="008B2CC1" w:rsidP="00566D81">
            <w:pPr>
              <w:jc w:val="right"/>
              <w:rPr>
                <w:rFonts w:ascii="Arial Black" w:hAnsi="Arial Black"/>
                <w:caps/>
                <w:sz w:val="15"/>
                <w:lang w:val="fr-FR"/>
              </w:rPr>
            </w:pPr>
            <w:r w:rsidRPr="00E6783F">
              <w:rPr>
                <w:rFonts w:ascii="Arial Black" w:hAnsi="Arial Black"/>
                <w:caps/>
                <w:sz w:val="15"/>
                <w:lang w:val="fr-FR"/>
              </w:rPr>
              <w:t>DATE</w:t>
            </w:r>
            <w:r w:rsidR="00E14572" w:rsidRPr="00E6783F">
              <w:rPr>
                <w:rFonts w:ascii="Arial Black" w:hAnsi="Arial Black"/>
                <w:caps/>
                <w:sz w:val="15"/>
                <w:lang w:val="fr-FR"/>
              </w:rPr>
              <w:t> </w:t>
            </w:r>
            <w:r w:rsidRPr="00E6783F">
              <w:rPr>
                <w:rFonts w:ascii="Arial Black" w:hAnsi="Arial Black"/>
                <w:caps/>
                <w:sz w:val="15"/>
                <w:lang w:val="fr-FR"/>
              </w:rPr>
              <w:t xml:space="preserve">: </w:t>
            </w:r>
            <w:bookmarkStart w:id="2" w:name="Date"/>
            <w:bookmarkEnd w:id="2"/>
            <w:r w:rsidR="00566D81" w:rsidRPr="00E6783F">
              <w:rPr>
                <w:rFonts w:ascii="Arial Black" w:hAnsi="Arial Black"/>
                <w:caps/>
                <w:sz w:val="15"/>
                <w:lang w:val="fr-FR"/>
              </w:rPr>
              <w:t>1</w:t>
            </w:r>
            <w:r w:rsidR="00566D81" w:rsidRPr="00E6783F">
              <w:rPr>
                <w:rFonts w:ascii="Arial Black" w:hAnsi="Arial Black"/>
                <w:caps/>
                <w:sz w:val="15"/>
                <w:vertAlign w:val="superscript"/>
                <w:lang w:val="fr-FR"/>
              </w:rPr>
              <w:t>er</w:t>
            </w:r>
            <w:r w:rsidR="00566D81" w:rsidRPr="00E6783F">
              <w:rPr>
                <w:rFonts w:ascii="Arial Black" w:hAnsi="Arial Black"/>
                <w:caps/>
                <w:sz w:val="15"/>
                <w:lang w:val="fr-FR"/>
              </w:rPr>
              <w:t> décembre 2015</w:t>
            </w:r>
          </w:p>
        </w:tc>
      </w:tr>
    </w:tbl>
    <w:p w:rsidR="008B2CC1" w:rsidRPr="00E6783F" w:rsidRDefault="008B2CC1" w:rsidP="008B2CC1">
      <w:pPr>
        <w:rPr>
          <w:lang w:val="fr-FR"/>
        </w:rPr>
      </w:pPr>
    </w:p>
    <w:p w:rsidR="008B2CC1" w:rsidRPr="00E6783F" w:rsidRDefault="008B2CC1" w:rsidP="008B2CC1">
      <w:pPr>
        <w:rPr>
          <w:lang w:val="fr-FR"/>
        </w:rPr>
      </w:pPr>
    </w:p>
    <w:p w:rsidR="008B2CC1" w:rsidRPr="00E6783F" w:rsidRDefault="008B2CC1" w:rsidP="008B2CC1">
      <w:pPr>
        <w:rPr>
          <w:lang w:val="fr-FR"/>
        </w:rPr>
      </w:pPr>
    </w:p>
    <w:p w:rsidR="008B2CC1" w:rsidRPr="00E6783F" w:rsidRDefault="008B2CC1" w:rsidP="008B2CC1">
      <w:pPr>
        <w:rPr>
          <w:lang w:val="fr-FR"/>
        </w:rPr>
      </w:pPr>
    </w:p>
    <w:p w:rsidR="008B2CC1" w:rsidRPr="00E6783F" w:rsidRDefault="008B2CC1" w:rsidP="008B2CC1">
      <w:pPr>
        <w:rPr>
          <w:lang w:val="fr-FR"/>
        </w:rPr>
      </w:pPr>
    </w:p>
    <w:p w:rsidR="008B2CC1" w:rsidRPr="00E6783F" w:rsidRDefault="00905E08" w:rsidP="008B2CC1">
      <w:pPr>
        <w:rPr>
          <w:b/>
          <w:sz w:val="28"/>
          <w:szCs w:val="28"/>
          <w:lang w:val="fr-FR"/>
        </w:rPr>
      </w:pPr>
      <w:r w:rsidRPr="00E6783F">
        <w:rPr>
          <w:b/>
          <w:sz w:val="28"/>
          <w:szCs w:val="28"/>
          <w:lang w:val="fr-FR"/>
        </w:rPr>
        <w:t>Comité permanent du dro</w:t>
      </w:r>
      <w:bookmarkStart w:id="3" w:name="_GoBack"/>
      <w:bookmarkEnd w:id="3"/>
      <w:r w:rsidRPr="00E6783F">
        <w:rPr>
          <w:b/>
          <w:sz w:val="28"/>
          <w:szCs w:val="28"/>
          <w:lang w:val="fr-FR"/>
        </w:rPr>
        <w:t>it d</w:t>
      </w:r>
      <w:r w:rsidR="00F252A7" w:rsidRPr="00E6783F">
        <w:rPr>
          <w:b/>
          <w:sz w:val="28"/>
          <w:szCs w:val="28"/>
          <w:lang w:val="fr-FR"/>
        </w:rPr>
        <w:t>’</w:t>
      </w:r>
      <w:r w:rsidRPr="00E6783F">
        <w:rPr>
          <w:b/>
          <w:sz w:val="28"/>
          <w:szCs w:val="28"/>
          <w:lang w:val="fr-FR"/>
        </w:rPr>
        <w:t>auteur et des droits connexes</w:t>
      </w:r>
    </w:p>
    <w:p w:rsidR="003845C1" w:rsidRPr="00E6783F" w:rsidRDefault="003845C1" w:rsidP="003845C1">
      <w:pPr>
        <w:rPr>
          <w:lang w:val="fr-FR"/>
        </w:rPr>
      </w:pPr>
    </w:p>
    <w:p w:rsidR="003845C1" w:rsidRPr="00E6783F" w:rsidRDefault="003845C1" w:rsidP="003845C1">
      <w:pPr>
        <w:rPr>
          <w:lang w:val="fr-FR"/>
        </w:rPr>
      </w:pPr>
    </w:p>
    <w:p w:rsidR="008B2CC1" w:rsidRPr="00E6783F" w:rsidRDefault="00566D81" w:rsidP="008B2CC1">
      <w:pPr>
        <w:rPr>
          <w:b/>
          <w:sz w:val="24"/>
          <w:szCs w:val="24"/>
          <w:lang w:val="fr-FR"/>
        </w:rPr>
      </w:pPr>
      <w:r w:rsidRPr="00E6783F">
        <w:rPr>
          <w:b/>
          <w:sz w:val="24"/>
          <w:szCs w:val="24"/>
          <w:lang w:val="fr-FR"/>
        </w:rPr>
        <w:t>Trente et </w:t>
      </w:r>
      <w:r w:rsidR="00905E08" w:rsidRPr="00E6783F">
        <w:rPr>
          <w:b/>
          <w:sz w:val="24"/>
          <w:szCs w:val="24"/>
          <w:lang w:val="fr-FR"/>
        </w:rPr>
        <w:t>unième</w:t>
      </w:r>
      <w:r w:rsidR="00E14572" w:rsidRPr="00E6783F">
        <w:rPr>
          <w:b/>
          <w:sz w:val="24"/>
          <w:szCs w:val="24"/>
          <w:lang w:val="fr-FR"/>
        </w:rPr>
        <w:t> </w:t>
      </w:r>
      <w:r w:rsidR="00905E08" w:rsidRPr="00E6783F">
        <w:rPr>
          <w:b/>
          <w:sz w:val="24"/>
          <w:szCs w:val="24"/>
          <w:lang w:val="fr-FR"/>
        </w:rPr>
        <w:t>s</w:t>
      </w:r>
      <w:r w:rsidR="003845C1" w:rsidRPr="00E6783F">
        <w:rPr>
          <w:b/>
          <w:sz w:val="24"/>
          <w:szCs w:val="24"/>
          <w:lang w:val="fr-FR"/>
        </w:rPr>
        <w:t>ession</w:t>
      </w:r>
    </w:p>
    <w:p w:rsidR="008B2CC1" w:rsidRPr="00E6783F" w:rsidRDefault="00905E08" w:rsidP="008B2CC1">
      <w:pPr>
        <w:rPr>
          <w:b/>
          <w:sz w:val="24"/>
          <w:szCs w:val="24"/>
          <w:lang w:val="fr-FR"/>
        </w:rPr>
      </w:pPr>
      <w:r w:rsidRPr="00E6783F">
        <w:rPr>
          <w:b/>
          <w:sz w:val="24"/>
          <w:szCs w:val="24"/>
          <w:lang w:val="fr-FR"/>
        </w:rPr>
        <w:t>Genève, 7 – 1</w:t>
      </w:r>
      <w:r w:rsidR="00F252A7" w:rsidRPr="00E6783F">
        <w:rPr>
          <w:b/>
          <w:sz w:val="24"/>
          <w:szCs w:val="24"/>
          <w:lang w:val="fr-FR"/>
        </w:rPr>
        <w:t>1 décembre 20</w:t>
      </w:r>
      <w:r w:rsidRPr="00E6783F">
        <w:rPr>
          <w:b/>
          <w:sz w:val="24"/>
          <w:szCs w:val="24"/>
          <w:lang w:val="fr-FR"/>
        </w:rPr>
        <w:t>15</w:t>
      </w:r>
    </w:p>
    <w:p w:rsidR="008B2CC1" w:rsidRPr="00E6783F" w:rsidRDefault="008B2CC1" w:rsidP="008B2CC1">
      <w:pPr>
        <w:rPr>
          <w:lang w:val="fr-FR"/>
        </w:rPr>
      </w:pPr>
    </w:p>
    <w:p w:rsidR="008B2CC1" w:rsidRPr="00E6783F" w:rsidRDefault="008B2CC1" w:rsidP="008B2CC1">
      <w:pPr>
        <w:rPr>
          <w:lang w:val="fr-FR"/>
        </w:rPr>
      </w:pPr>
    </w:p>
    <w:p w:rsidR="008B2CC1" w:rsidRPr="00E6783F" w:rsidRDefault="008B2CC1" w:rsidP="008B2CC1">
      <w:pPr>
        <w:rPr>
          <w:lang w:val="fr-FR"/>
        </w:rPr>
      </w:pPr>
    </w:p>
    <w:p w:rsidR="00566D81" w:rsidRPr="00E6783F" w:rsidRDefault="00566D81" w:rsidP="00E6783F">
      <w:pPr>
        <w:rPr>
          <w:caps/>
          <w:sz w:val="24"/>
          <w:lang w:val="fr-FR"/>
        </w:rPr>
      </w:pPr>
      <w:bookmarkStart w:id="4" w:name="TitleOfDoc"/>
      <w:bookmarkEnd w:id="4"/>
      <w:r w:rsidRPr="00E6783F">
        <w:rPr>
          <w:caps/>
          <w:sz w:val="24"/>
          <w:lang w:val="fr-FR"/>
        </w:rPr>
        <w:t xml:space="preserve">Proposition </w:t>
      </w:r>
      <w:r w:rsidR="00E6783F" w:rsidRPr="00E6783F">
        <w:rPr>
          <w:caps/>
          <w:sz w:val="24"/>
          <w:lang w:val="fr-FR"/>
        </w:rPr>
        <w:t>pour un examen</w:t>
      </w:r>
      <w:r w:rsidRPr="00E6783F">
        <w:rPr>
          <w:caps/>
          <w:sz w:val="24"/>
          <w:lang w:val="fr-FR"/>
        </w:rPr>
        <w:t xml:space="preserve"> du droit d</w:t>
      </w:r>
      <w:r w:rsidR="00F252A7" w:rsidRPr="00E6783F">
        <w:rPr>
          <w:caps/>
          <w:sz w:val="24"/>
          <w:lang w:val="fr-FR"/>
        </w:rPr>
        <w:t>’</w:t>
      </w:r>
      <w:r w:rsidRPr="00E6783F">
        <w:rPr>
          <w:caps/>
          <w:sz w:val="24"/>
          <w:lang w:val="fr-FR"/>
        </w:rPr>
        <w:t>auteur dans l</w:t>
      </w:r>
      <w:r w:rsidR="00F252A7" w:rsidRPr="00E6783F">
        <w:rPr>
          <w:caps/>
          <w:sz w:val="24"/>
          <w:lang w:val="fr-FR"/>
        </w:rPr>
        <w:t>’</w:t>
      </w:r>
      <w:r w:rsidRPr="00E6783F">
        <w:rPr>
          <w:caps/>
          <w:sz w:val="24"/>
          <w:lang w:val="fr-FR"/>
        </w:rPr>
        <w:t>environnement numérique</w:t>
      </w:r>
    </w:p>
    <w:p w:rsidR="00566D81" w:rsidRPr="00E6783F" w:rsidRDefault="00566D81" w:rsidP="00E6783F">
      <w:pPr>
        <w:rPr>
          <w:lang w:val="fr-FR"/>
        </w:rPr>
      </w:pPr>
    </w:p>
    <w:p w:rsidR="00F252A7" w:rsidRPr="00E6783F" w:rsidRDefault="00566D81" w:rsidP="00E6783F">
      <w:pPr>
        <w:rPr>
          <w:i/>
          <w:lang w:val="fr-FR"/>
        </w:rPr>
      </w:pPr>
      <w:bookmarkStart w:id="5" w:name="Prepared"/>
      <w:bookmarkEnd w:id="5"/>
      <w:r w:rsidRPr="00E6783F">
        <w:rPr>
          <w:i/>
          <w:lang w:val="fr-FR"/>
        </w:rPr>
        <w:t>Document présenté par le groupe des pays d</w:t>
      </w:r>
      <w:r w:rsidR="00F252A7" w:rsidRPr="00E6783F">
        <w:rPr>
          <w:i/>
          <w:lang w:val="fr-FR"/>
        </w:rPr>
        <w:t>’</w:t>
      </w:r>
      <w:r w:rsidRPr="00E6783F">
        <w:rPr>
          <w:i/>
          <w:lang w:val="fr-FR"/>
        </w:rPr>
        <w:t>Amérique latine et des Caraïbes (GRULAC)</w:t>
      </w:r>
    </w:p>
    <w:p w:rsidR="00566D81" w:rsidRPr="00E6783F" w:rsidRDefault="00566D81" w:rsidP="00E6783F">
      <w:pPr>
        <w:rPr>
          <w:lang w:val="fr-FR"/>
        </w:rPr>
      </w:pPr>
    </w:p>
    <w:p w:rsidR="00566D81" w:rsidRPr="00E6783F" w:rsidRDefault="00566D81" w:rsidP="00E6783F">
      <w:pPr>
        <w:rPr>
          <w:lang w:val="fr-FR"/>
        </w:rPr>
      </w:pPr>
    </w:p>
    <w:p w:rsidR="00566D81" w:rsidRPr="00E6783F" w:rsidRDefault="00566D81" w:rsidP="00E6783F">
      <w:pPr>
        <w:rPr>
          <w:lang w:val="fr-FR"/>
        </w:rPr>
      </w:pPr>
      <w:r w:rsidRPr="00E6783F">
        <w:rPr>
          <w:lang w:val="fr-FR"/>
        </w:rPr>
        <w:br w:type="page"/>
      </w:r>
    </w:p>
    <w:p w:rsidR="00566D81" w:rsidRPr="00E6783F" w:rsidRDefault="00181587" w:rsidP="00E6783F">
      <w:pPr>
        <w:spacing w:after="200"/>
        <w:rPr>
          <w:rFonts w:eastAsia="Times New Roman"/>
          <w:b/>
          <w:szCs w:val="22"/>
          <w:lang w:val="fr-FR" w:eastAsia="pt-BR"/>
        </w:rPr>
      </w:pPr>
      <w:r w:rsidRPr="00E6783F">
        <w:rPr>
          <w:rFonts w:eastAsia="Times New Roman"/>
          <w:b/>
          <w:szCs w:val="22"/>
          <w:lang w:val="fr-FR" w:eastAsia="pt-BR"/>
        </w:rPr>
        <w:lastRenderedPageBreak/>
        <w:t>I.</w:t>
      </w:r>
      <w:r w:rsidRPr="00E6783F">
        <w:rPr>
          <w:rFonts w:eastAsia="Times New Roman"/>
          <w:b/>
          <w:szCs w:val="22"/>
          <w:lang w:val="fr-FR" w:eastAsia="pt-BR"/>
        </w:rPr>
        <w:tab/>
      </w:r>
      <w:r w:rsidR="00566D81" w:rsidRPr="00E6783F">
        <w:rPr>
          <w:rFonts w:eastAsia="Times New Roman"/>
          <w:b/>
          <w:szCs w:val="22"/>
          <w:lang w:val="fr-FR" w:eastAsia="pt-BR"/>
        </w:rPr>
        <w:t>Introduction</w:t>
      </w:r>
    </w:p>
    <w:p w:rsidR="00F252A7"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Le GRULAC présente au Comité permanent du droit d</w:t>
      </w:r>
      <w:r w:rsidR="00F252A7" w:rsidRPr="00E6783F">
        <w:rPr>
          <w:rFonts w:eastAsia="Times New Roman"/>
          <w:bCs/>
          <w:szCs w:val="22"/>
          <w:lang w:val="fr-FR" w:eastAsia="pt-BR"/>
        </w:rPr>
        <w:t>’</w:t>
      </w:r>
      <w:r w:rsidRPr="00E6783F">
        <w:rPr>
          <w:rFonts w:eastAsia="Times New Roman"/>
          <w:bCs/>
          <w:szCs w:val="22"/>
          <w:lang w:val="fr-FR" w:eastAsia="pt-BR"/>
        </w:rPr>
        <w:t>auteur et des droits connexes de l</w:t>
      </w:r>
      <w:r w:rsidR="00F252A7" w:rsidRPr="00E6783F">
        <w:rPr>
          <w:rFonts w:eastAsia="Times New Roman"/>
          <w:bCs/>
          <w:szCs w:val="22"/>
          <w:lang w:val="fr-FR" w:eastAsia="pt-BR"/>
        </w:rPr>
        <w:t>’</w:t>
      </w:r>
      <w:r w:rsidRPr="00E6783F">
        <w:rPr>
          <w:rFonts w:eastAsia="Times New Roman"/>
          <w:bCs/>
          <w:szCs w:val="22"/>
          <w:lang w:val="fr-FR" w:eastAsia="pt-BR"/>
        </w:rPr>
        <w:t>Organisation Mondiale de la Propriété Intellectuelle (SCCR) une proposition de travaux visant à aligner le droit d</w:t>
      </w:r>
      <w:r w:rsidR="00F252A7" w:rsidRPr="00E6783F">
        <w:rPr>
          <w:rFonts w:eastAsia="Times New Roman"/>
          <w:bCs/>
          <w:szCs w:val="22"/>
          <w:lang w:val="fr-FR" w:eastAsia="pt-BR"/>
        </w:rPr>
        <w:t>’</w:t>
      </w:r>
      <w:r w:rsidRPr="00E6783F">
        <w:rPr>
          <w:rFonts w:eastAsia="Times New Roman"/>
          <w:bCs/>
          <w:szCs w:val="22"/>
          <w:lang w:val="fr-FR" w:eastAsia="pt-BR"/>
        </w:rPr>
        <w:t>auteur sur les utilisations actuelles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des biens protégés par la propriété intellectuelle.</w:t>
      </w:r>
    </w:p>
    <w:p w:rsidR="00F252A7" w:rsidRPr="00E6783F" w:rsidRDefault="00181587"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Différentes</w:t>
      </w:r>
      <w:r w:rsidR="00566D81" w:rsidRPr="00E6783F">
        <w:rPr>
          <w:rFonts w:eastAsia="Times New Roman"/>
          <w:bCs/>
          <w:szCs w:val="22"/>
          <w:lang w:val="fr-FR" w:eastAsia="pt-BR"/>
        </w:rPr>
        <w:t xml:space="preserve"> parties prenantes</w:t>
      </w:r>
      <w:r w:rsidR="00F252A7" w:rsidRPr="00E6783F">
        <w:rPr>
          <w:rFonts w:eastAsia="Times New Roman"/>
          <w:bCs/>
          <w:szCs w:val="22"/>
          <w:lang w:val="fr-FR" w:eastAsia="pt-BR"/>
        </w:rPr>
        <w:t xml:space="preserve"> – </w:t>
      </w:r>
      <w:r w:rsidR="00566D81" w:rsidRPr="00E6783F">
        <w:rPr>
          <w:rFonts w:eastAsia="Times New Roman"/>
          <w:bCs/>
          <w:szCs w:val="22"/>
          <w:lang w:val="fr-FR" w:eastAsia="pt-BR"/>
        </w:rPr>
        <w:t>des créateurs et artistes interprètes ou exécutants aux représentants de gouvernements</w:t>
      </w:r>
      <w:r w:rsidR="00F252A7" w:rsidRPr="00E6783F">
        <w:rPr>
          <w:rFonts w:eastAsia="Times New Roman"/>
          <w:bCs/>
          <w:szCs w:val="22"/>
          <w:lang w:val="fr-FR" w:eastAsia="pt-BR"/>
        </w:rPr>
        <w:t xml:space="preserve"> – </w:t>
      </w:r>
      <w:r w:rsidR="00566D81" w:rsidRPr="00E6783F">
        <w:rPr>
          <w:rFonts w:eastAsia="Times New Roman"/>
          <w:bCs/>
          <w:szCs w:val="22"/>
          <w:lang w:val="fr-FR" w:eastAsia="pt-BR"/>
        </w:rPr>
        <w:t>ont fait état de la nécessité d</w:t>
      </w:r>
      <w:r w:rsidR="00F252A7" w:rsidRPr="00E6783F">
        <w:rPr>
          <w:rFonts w:eastAsia="Times New Roman"/>
          <w:bCs/>
          <w:szCs w:val="22"/>
          <w:lang w:val="fr-FR" w:eastAsia="pt-BR"/>
        </w:rPr>
        <w:t>’</w:t>
      </w:r>
      <w:r w:rsidR="00566D81" w:rsidRPr="00E6783F">
        <w:rPr>
          <w:rFonts w:eastAsia="Times New Roman"/>
          <w:bCs/>
          <w:szCs w:val="22"/>
          <w:lang w:val="fr-FR" w:eastAsia="pt-BR"/>
        </w:rPr>
        <w:t>un débat sur l</w:t>
      </w:r>
      <w:r w:rsidR="00F252A7" w:rsidRPr="00E6783F">
        <w:rPr>
          <w:rFonts w:eastAsia="Times New Roman"/>
          <w:bCs/>
          <w:szCs w:val="22"/>
          <w:lang w:val="fr-FR" w:eastAsia="pt-BR"/>
        </w:rPr>
        <w:t>’</w:t>
      </w:r>
      <w:r w:rsidR="00566D81" w:rsidRPr="00E6783F">
        <w:rPr>
          <w:rFonts w:eastAsia="Times New Roman"/>
          <w:bCs/>
          <w:szCs w:val="22"/>
          <w:lang w:val="fr-FR" w:eastAsia="pt-BR"/>
        </w:rPr>
        <w:t>environnement numériq</w:t>
      </w:r>
      <w:r w:rsidR="00E06E81" w:rsidRPr="00E6783F">
        <w:rPr>
          <w:rFonts w:eastAsia="Times New Roman"/>
          <w:bCs/>
          <w:szCs w:val="22"/>
          <w:lang w:val="fr-FR" w:eastAsia="pt-BR"/>
        </w:rPr>
        <w:t>ue.  Il</w:t>
      </w:r>
      <w:r w:rsidR="00566D81" w:rsidRPr="00E6783F">
        <w:rPr>
          <w:rFonts w:eastAsia="Times New Roman"/>
          <w:bCs/>
          <w:szCs w:val="22"/>
          <w:lang w:val="fr-FR" w:eastAsia="pt-BR"/>
        </w:rPr>
        <w:t xml:space="preserve"> n</w:t>
      </w:r>
      <w:r w:rsidR="00F252A7" w:rsidRPr="00E6783F">
        <w:rPr>
          <w:rFonts w:eastAsia="Times New Roman"/>
          <w:bCs/>
          <w:szCs w:val="22"/>
          <w:lang w:val="fr-FR" w:eastAsia="pt-BR"/>
        </w:rPr>
        <w:t>’</w:t>
      </w:r>
      <w:r w:rsidR="00566D81" w:rsidRPr="00E6783F">
        <w:rPr>
          <w:rFonts w:eastAsia="Times New Roman"/>
          <w:bCs/>
          <w:szCs w:val="22"/>
          <w:lang w:val="fr-FR" w:eastAsia="pt-BR"/>
        </w:rPr>
        <w:t>est pas surprenant que, à l</w:t>
      </w:r>
      <w:r w:rsidR="00F252A7" w:rsidRPr="00E6783F">
        <w:rPr>
          <w:rFonts w:eastAsia="Times New Roman"/>
          <w:bCs/>
          <w:szCs w:val="22"/>
          <w:lang w:val="fr-FR" w:eastAsia="pt-BR"/>
        </w:rPr>
        <w:t>’</w:t>
      </w:r>
      <w:r w:rsidR="00566D81" w:rsidRPr="00E6783F">
        <w:rPr>
          <w:rFonts w:eastAsia="Times New Roman"/>
          <w:bCs/>
          <w:szCs w:val="22"/>
          <w:lang w:val="fr-FR" w:eastAsia="pt-BR"/>
        </w:rPr>
        <w:t xml:space="preserve">occasion de la Journée mondiale de la propriété intellectuelle 2015 placée </w:t>
      </w:r>
      <w:r w:rsidRPr="00E6783F">
        <w:rPr>
          <w:rFonts w:eastAsia="Times New Roman"/>
          <w:bCs/>
          <w:szCs w:val="22"/>
          <w:lang w:val="fr-FR" w:eastAsia="pt-BR"/>
        </w:rPr>
        <w:t xml:space="preserve">précisément </w:t>
      </w:r>
      <w:r w:rsidR="00566D81" w:rsidRPr="00E6783F">
        <w:rPr>
          <w:rFonts w:eastAsia="Times New Roman"/>
          <w:bCs/>
          <w:szCs w:val="22"/>
          <w:lang w:val="fr-FR" w:eastAsia="pt-BR"/>
        </w:rPr>
        <w:t>sous le thème “Tous pour la musique!”, le Directeur général de l</w:t>
      </w:r>
      <w:r w:rsidR="00F252A7" w:rsidRPr="00E6783F">
        <w:rPr>
          <w:rFonts w:eastAsia="Times New Roman"/>
          <w:bCs/>
          <w:szCs w:val="22"/>
          <w:lang w:val="fr-FR" w:eastAsia="pt-BR"/>
        </w:rPr>
        <w:t>’</w:t>
      </w:r>
      <w:r w:rsidR="00566D81" w:rsidRPr="00E6783F">
        <w:rPr>
          <w:rFonts w:eastAsia="Times New Roman"/>
          <w:bCs/>
          <w:szCs w:val="22"/>
          <w:lang w:val="fr-FR" w:eastAsia="pt-BR"/>
        </w:rPr>
        <w:t>OMPI, M.</w:t>
      </w:r>
      <w:r w:rsidR="00E14572" w:rsidRPr="00E6783F">
        <w:rPr>
          <w:rFonts w:eastAsia="Times New Roman"/>
          <w:bCs/>
          <w:szCs w:val="22"/>
          <w:lang w:val="fr-FR" w:eastAsia="pt-BR"/>
        </w:rPr>
        <w:t> </w:t>
      </w:r>
      <w:r w:rsidR="009F27E9" w:rsidRPr="00E6783F">
        <w:rPr>
          <w:rFonts w:eastAsia="Times New Roman"/>
          <w:bCs/>
          <w:szCs w:val="22"/>
          <w:lang w:val="fr-FR" w:eastAsia="pt-BR"/>
        </w:rPr>
        <w:t>Francis </w:t>
      </w:r>
      <w:r w:rsidR="00566D81" w:rsidRPr="00E6783F">
        <w:rPr>
          <w:rFonts w:eastAsia="Times New Roman"/>
          <w:bCs/>
          <w:szCs w:val="22"/>
          <w:lang w:val="fr-FR" w:eastAsia="pt-BR"/>
        </w:rPr>
        <w:t>Gurry, ait affirmé qu</w:t>
      </w:r>
      <w:r w:rsidR="00F252A7" w:rsidRPr="00E6783F">
        <w:rPr>
          <w:rFonts w:eastAsia="Times New Roman"/>
          <w:bCs/>
          <w:szCs w:val="22"/>
          <w:lang w:val="fr-FR" w:eastAsia="pt-BR"/>
        </w:rPr>
        <w:t>’</w:t>
      </w:r>
      <w:r w:rsidR="00566D81" w:rsidRPr="00E6783F">
        <w:rPr>
          <w:rFonts w:eastAsia="Times New Roman"/>
          <w:bCs/>
          <w:szCs w:val="22"/>
          <w:lang w:val="fr-FR" w:eastAsia="pt-BR"/>
        </w:rPr>
        <w:t xml:space="preserve">il était temps de se </w:t>
      </w:r>
      <w:r w:rsidR="00E14572" w:rsidRPr="00E6783F">
        <w:rPr>
          <w:rFonts w:eastAsia="Times New Roman"/>
          <w:bCs/>
          <w:szCs w:val="22"/>
          <w:lang w:val="fr-FR" w:eastAsia="pt-BR"/>
        </w:rPr>
        <w:t>“</w:t>
      </w:r>
      <w:r w:rsidR="00566D81" w:rsidRPr="00E6783F">
        <w:rPr>
          <w:rFonts w:eastAsia="Times New Roman"/>
          <w:bCs/>
          <w:szCs w:val="22"/>
          <w:lang w:val="fr-FR" w:eastAsia="pt-BR"/>
        </w:rPr>
        <w:t>mobiliser en faveur de la musique afin que les musiciens ne soient pas laissés pour compte et que leur créativité et leur contribution unique à notre qualité de vie soient dûment valorisées</w:t>
      </w:r>
      <w:r w:rsidR="00E14572" w:rsidRPr="00E6783F">
        <w:rPr>
          <w:rFonts w:eastAsia="Times New Roman"/>
          <w:bCs/>
          <w:szCs w:val="22"/>
          <w:lang w:val="fr-FR" w:eastAsia="pt-BR"/>
        </w:rPr>
        <w:t>”</w:t>
      </w:r>
      <w:r w:rsidR="007B3CE0" w:rsidRPr="00E6783F">
        <w:rPr>
          <w:rFonts w:eastAsia="Times New Roman"/>
          <w:bCs/>
          <w:szCs w:val="22"/>
          <w:lang w:val="fr-FR" w:eastAsia="pt-BR"/>
        </w:rPr>
        <w:t>.</w:t>
      </w:r>
      <w:r w:rsidR="00E14572" w:rsidRPr="00E6783F">
        <w:rPr>
          <w:rFonts w:eastAsia="Times New Roman"/>
          <w:bCs/>
          <w:szCs w:val="22"/>
          <w:lang w:val="fr-FR" w:eastAsia="pt-BR"/>
        </w:rPr>
        <w:t xml:space="preserve"> </w:t>
      </w:r>
      <w:r w:rsidR="00566D81" w:rsidRPr="00E6783F">
        <w:rPr>
          <w:lang w:val="fr-FR"/>
        </w:rPr>
        <w:t xml:space="preserve"> </w:t>
      </w:r>
      <w:r w:rsidR="00566D81" w:rsidRPr="00E6783F">
        <w:rPr>
          <w:rFonts w:eastAsia="Times New Roman"/>
          <w:bCs/>
          <w:szCs w:val="22"/>
          <w:lang w:val="fr-FR" w:eastAsia="pt-BR"/>
        </w:rPr>
        <w:t>Selon M.</w:t>
      </w:r>
      <w:r w:rsidR="00E14572" w:rsidRPr="00E6783F">
        <w:rPr>
          <w:rFonts w:eastAsia="Times New Roman"/>
          <w:bCs/>
          <w:szCs w:val="22"/>
          <w:lang w:val="fr-FR" w:eastAsia="pt-BR"/>
        </w:rPr>
        <w:t> </w:t>
      </w:r>
      <w:r w:rsidR="00566D81" w:rsidRPr="00E6783F">
        <w:rPr>
          <w:rFonts w:eastAsia="Times New Roman"/>
          <w:bCs/>
          <w:szCs w:val="22"/>
          <w:lang w:val="fr-FR" w:eastAsia="pt-BR"/>
        </w:rPr>
        <w:t xml:space="preserve">Gurry, nous ne devons pas perdre de vue le rôle que jouent les créateurs et les interprètes </w:t>
      </w:r>
      <w:r w:rsidR="00A234A5" w:rsidRPr="00E6783F">
        <w:rPr>
          <w:rFonts w:eastAsia="Times New Roman"/>
          <w:bCs/>
          <w:szCs w:val="22"/>
          <w:lang w:val="fr-FR" w:eastAsia="pt-BR"/>
        </w:rPr>
        <w:t xml:space="preserve">ou exécutants </w:t>
      </w:r>
      <w:r w:rsidR="00566D81" w:rsidRPr="00E6783F">
        <w:rPr>
          <w:rFonts w:eastAsia="Times New Roman"/>
          <w:bCs/>
          <w:szCs w:val="22"/>
          <w:lang w:val="fr-FR" w:eastAsia="pt-BR"/>
        </w:rPr>
        <w:t>dans la nouvelle économie numérique</w:t>
      </w:r>
      <w:r w:rsidR="00566D81" w:rsidRPr="00E6783F">
        <w:rPr>
          <w:rStyle w:val="FootnoteReference"/>
          <w:rFonts w:eastAsia="Times New Roman"/>
          <w:bCs/>
          <w:szCs w:val="22"/>
          <w:lang w:val="fr-FR" w:eastAsia="pt-BR"/>
        </w:rPr>
        <w:footnoteReference w:id="2"/>
      </w:r>
      <w:r w:rsidR="00566D81" w:rsidRPr="00E6783F">
        <w:rPr>
          <w:rFonts w:eastAsia="Times New Roman"/>
          <w:bCs/>
          <w:szCs w:val="22"/>
          <w:lang w:val="fr-FR" w:eastAsia="pt-BR"/>
        </w:rPr>
        <w:t>.</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La présente proposition fait écho à ces préoccupations et vise à définir des solutions communes dans l</w:t>
      </w:r>
      <w:r w:rsidR="00F252A7" w:rsidRPr="00E6783F">
        <w:rPr>
          <w:rFonts w:eastAsia="Times New Roman"/>
          <w:bCs/>
          <w:szCs w:val="22"/>
          <w:lang w:val="fr-FR" w:eastAsia="pt-BR"/>
        </w:rPr>
        <w:t>’</w:t>
      </w:r>
      <w:r w:rsidRPr="00E6783F">
        <w:rPr>
          <w:rFonts w:eastAsia="Times New Roman"/>
          <w:bCs/>
          <w:szCs w:val="22"/>
          <w:lang w:val="fr-FR" w:eastAsia="pt-BR"/>
        </w:rPr>
        <w:t>intérêt de la société et des titulaires de droits face aux enjeux que représentent les nouveaux droits sur les biens intellectuels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protégés par le droit d</w:t>
      </w:r>
      <w:r w:rsidR="00F252A7" w:rsidRPr="00E6783F">
        <w:rPr>
          <w:rFonts w:eastAsia="Times New Roman"/>
          <w:bCs/>
          <w:szCs w:val="22"/>
          <w:lang w:val="fr-FR" w:eastAsia="pt-BR"/>
        </w:rPr>
        <w:t>’</w:t>
      </w:r>
      <w:r w:rsidRPr="00E6783F">
        <w:rPr>
          <w:rFonts w:eastAsia="Times New Roman"/>
          <w:bCs/>
          <w:szCs w:val="22"/>
          <w:lang w:val="fr-FR" w:eastAsia="pt-BR"/>
        </w:rPr>
        <w:t>auteur.</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Le GRULAC propose</w:t>
      </w:r>
      <w:r w:rsidR="00F252A7" w:rsidRPr="00E6783F">
        <w:rPr>
          <w:rFonts w:eastAsia="Times New Roman"/>
          <w:bCs/>
          <w:szCs w:val="22"/>
          <w:lang w:val="fr-FR" w:eastAsia="pt-BR"/>
        </w:rPr>
        <w:t xml:space="preserve"> au SCC</w:t>
      </w:r>
      <w:r w:rsidRPr="00E6783F">
        <w:rPr>
          <w:rFonts w:eastAsia="Times New Roman"/>
          <w:bCs/>
          <w:szCs w:val="22"/>
          <w:lang w:val="fr-FR" w:eastAsia="pt-BR"/>
        </w:rPr>
        <w:t>R trois</w:t>
      </w:r>
      <w:r w:rsidR="00E14572" w:rsidRPr="00E6783F">
        <w:rPr>
          <w:rFonts w:eastAsia="Times New Roman"/>
          <w:bCs/>
          <w:szCs w:val="22"/>
          <w:lang w:val="fr-FR" w:eastAsia="pt-BR"/>
        </w:rPr>
        <w:t> </w:t>
      </w:r>
      <w:r w:rsidRPr="00E6783F">
        <w:rPr>
          <w:rFonts w:eastAsia="Times New Roman"/>
          <w:bCs/>
          <w:szCs w:val="22"/>
          <w:lang w:val="fr-FR" w:eastAsia="pt-BR"/>
        </w:rPr>
        <w:t>axes de travail</w:t>
      </w:r>
      <w:r w:rsidR="00E14572" w:rsidRPr="00E6783F">
        <w:rPr>
          <w:rFonts w:eastAsia="Times New Roman"/>
          <w:bCs/>
          <w:szCs w:val="22"/>
          <w:lang w:val="fr-FR" w:eastAsia="pt-BR"/>
        </w:rPr>
        <w:t> </w:t>
      </w:r>
      <w:r w:rsidRPr="00E6783F">
        <w:rPr>
          <w:rFonts w:eastAsia="Times New Roman"/>
          <w:bCs/>
          <w:szCs w:val="22"/>
          <w:lang w:val="fr-FR" w:eastAsia="pt-BR"/>
        </w:rPr>
        <w:t>:</w:t>
      </w:r>
    </w:p>
    <w:p w:rsidR="00F252A7" w:rsidRPr="00E6783F" w:rsidRDefault="00A234A5" w:rsidP="00E6783F">
      <w:pPr>
        <w:numPr>
          <w:ilvl w:val="0"/>
          <w:numId w:val="7"/>
        </w:numPr>
        <w:spacing w:before="100" w:beforeAutospacing="1" w:after="100" w:afterAutospacing="1"/>
        <w:ind w:left="1134" w:hanging="567"/>
        <w:outlineLvl w:val="2"/>
        <w:rPr>
          <w:rFonts w:eastAsia="Times New Roman"/>
          <w:bCs/>
          <w:szCs w:val="22"/>
          <w:lang w:val="fr-FR" w:eastAsia="pt-BR"/>
        </w:rPr>
      </w:pPr>
      <w:r w:rsidRPr="00E6783F">
        <w:rPr>
          <w:rFonts w:eastAsia="Times New Roman"/>
          <w:bCs/>
          <w:szCs w:val="22"/>
          <w:lang w:val="fr-FR" w:eastAsia="pt-BR"/>
        </w:rPr>
        <w:t xml:space="preserve">analyser et </w:t>
      </w:r>
      <w:r w:rsidR="00181587" w:rsidRPr="00E6783F">
        <w:rPr>
          <w:rFonts w:eastAsia="Times New Roman"/>
          <w:bCs/>
          <w:szCs w:val="22"/>
          <w:lang w:val="fr-FR" w:eastAsia="pt-BR"/>
        </w:rPr>
        <w:t>e</w:t>
      </w:r>
      <w:r w:rsidR="00566D81" w:rsidRPr="00E6783F">
        <w:rPr>
          <w:rFonts w:eastAsia="Times New Roman"/>
          <w:bCs/>
          <w:szCs w:val="22"/>
          <w:lang w:val="fr-FR" w:eastAsia="pt-BR"/>
        </w:rPr>
        <w:t>xaminer les cadres juridiques utilisés pour protéger les œuvres dans les services numériques;</w:t>
      </w:r>
    </w:p>
    <w:p w:rsidR="00566D81" w:rsidRPr="00E6783F" w:rsidRDefault="00A234A5" w:rsidP="00E6783F">
      <w:pPr>
        <w:numPr>
          <w:ilvl w:val="0"/>
          <w:numId w:val="7"/>
        </w:numPr>
        <w:spacing w:before="100" w:beforeAutospacing="1" w:after="100" w:afterAutospacing="1"/>
        <w:ind w:left="1134" w:hanging="567"/>
        <w:outlineLvl w:val="2"/>
        <w:rPr>
          <w:rFonts w:eastAsia="Times New Roman"/>
          <w:bCs/>
          <w:szCs w:val="22"/>
          <w:lang w:val="fr-FR" w:eastAsia="pt-BR"/>
        </w:rPr>
      </w:pPr>
      <w:r w:rsidRPr="00E6783F">
        <w:rPr>
          <w:rFonts w:eastAsia="Times New Roman"/>
          <w:bCs/>
          <w:szCs w:val="22"/>
          <w:lang w:val="fr-FR" w:eastAsia="pt-BR"/>
        </w:rPr>
        <w:t xml:space="preserve">analyser et </w:t>
      </w:r>
      <w:r w:rsidR="00181587" w:rsidRPr="00E6783F">
        <w:rPr>
          <w:rFonts w:eastAsia="Times New Roman"/>
          <w:bCs/>
          <w:szCs w:val="22"/>
          <w:lang w:val="fr-FR" w:eastAsia="pt-BR"/>
        </w:rPr>
        <w:t>e</w:t>
      </w:r>
      <w:r w:rsidR="00566D81" w:rsidRPr="00E6783F">
        <w:rPr>
          <w:rFonts w:eastAsia="Times New Roman"/>
          <w:bCs/>
          <w:szCs w:val="22"/>
          <w:lang w:val="fr-FR" w:eastAsia="pt-BR"/>
        </w:rPr>
        <w:t>xaminer le rôle que jouent les entreprises et sociétés qui utilisent dans l</w:t>
      </w:r>
      <w:r w:rsidR="00F252A7" w:rsidRPr="00E6783F">
        <w:rPr>
          <w:rFonts w:eastAsia="Times New Roman"/>
          <w:bCs/>
          <w:szCs w:val="22"/>
          <w:lang w:val="fr-FR" w:eastAsia="pt-BR"/>
        </w:rPr>
        <w:t>’</w:t>
      </w:r>
      <w:r w:rsidR="00566D81" w:rsidRPr="00E6783F">
        <w:rPr>
          <w:rFonts w:eastAsia="Times New Roman"/>
          <w:bCs/>
          <w:szCs w:val="22"/>
          <w:lang w:val="fr-FR" w:eastAsia="pt-BR"/>
        </w:rPr>
        <w:t xml:space="preserve">environnement numérique des œuvres protégées et le mode opératoire de ces entreprises, </w:t>
      </w:r>
      <w:r w:rsidR="00F252A7" w:rsidRPr="00E6783F">
        <w:rPr>
          <w:rFonts w:eastAsia="Times New Roman"/>
          <w:bCs/>
          <w:szCs w:val="22"/>
          <w:lang w:val="fr-FR" w:eastAsia="pt-BR"/>
        </w:rPr>
        <w:t>y compris</w:t>
      </w:r>
      <w:r w:rsidR="00566D81" w:rsidRPr="00E6783F">
        <w:rPr>
          <w:rFonts w:eastAsia="Times New Roman"/>
          <w:bCs/>
          <w:szCs w:val="22"/>
          <w:lang w:val="fr-FR" w:eastAsia="pt-BR"/>
        </w:rPr>
        <w:t xml:space="preserve"> vérifier le degré de transparence du fonctionnement de</w:t>
      </w:r>
      <w:r w:rsidR="00181587" w:rsidRPr="00E6783F">
        <w:rPr>
          <w:rFonts w:eastAsia="Times New Roman"/>
          <w:bCs/>
          <w:szCs w:val="22"/>
          <w:lang w:val="fr-FR" w:eastAsia="pt-BR"/>
        </w:rPr>
        <w:t xml:space="preserve"> ce</w:t>
      </w:r>
      <w:r w:rsidR="00566D81" w:rsidRPr="00E6783F">
        <w:rPr>
          <w:rFonts w:eastAsia="Times New Roman"/>
          <w:bCs/>
          <w:szCs w:val="22"/>
          <w:lang w:val="fr-FR" w:eastAsia="pt-BR"/>
        </w:rPr>
        <w:t>s dernières et la p</w:t>
      </w:r>
      <w:r w:rsidR="00181587" w:rsidRPr="00E6783F">
        <w:rPr>
          <w:rFonts w:eastAsia="Times New Roman"/>
          <w:bCs/>
          <w:szCs w:val="22"/>
          <w:lang w:val="fr-FR" w:eastAsia="pt-BR"/>
        </w:rPr>
        <w:t>a</w:t>
      </w:r>
      <w:r w:rsidR="00566D81" w:rsidRPr="00E6783F">
        <w:rPr>
          <w:rFonts w:eastAsia="Times New Roman"/>
          <w:bCs/>
          <w:szCs w:val="22"/>
          <w:lang w:val="fr-FR" w:eastAsia="pt-BR"/>
        </w:rPr>
        <w:t>rt de</w:t>
      </w:r>
      <w:r w:rsidR="00181587" w:rsidRPr="00E6783F">
        <w:rPr>
          <w:rFonts w:eastAsia="Times New Roman"/>
          <w:bCs/>
          <w:szCs w:val="22"/>
          <w:lang w:val="fr-FR" w:eastAsia="pt-BR"/>
        </w:rPr>
        <w:t>s</w:t>
      </w:r>
      <w:r w:rsidR="00566D81" w:rsidRPr="00E6783F">
        <w:rPr>
          <w:rFonts w:eastAsia="Times New Roman"/>
          <w:bCs/>
          <w:szCs w:val="22"/>
          <w:lang w:val="fr-FR" w:eastAsia="pt-BR"/>
        </w:rPr>
        <w:t xml:space="preserve"> redevances de droit d</w:t>
      </w:r>
      <w:r w:rsidR="00F252A7" w:rsidRPr="00E6783F">
        <w:rPr>
          <w:rFonts w:eastAsia="Times New Roman"/>
          <w:bCs/>
          <w:szCs w:val="22"/>
          <w:lang w:val="fr-FR" w:eastAsia="pt-BR"/>
        </w:rPr>
        <w:t>’</w:t>
      </w:r>
      <w:r w:rsidR="00566D81" w:rsidRPr="00E6783F">
        <w:rPr>
          <w:rFonts w:eastAsia="Times New Roman"/>
          <w:bCs/>
          <w:szCs w:val="22"/>
          <w:lang w:val="fr-FR" w:eastAsia="pt-BR"/>
        </w:rPr>
        <w:t>auteur et de droits connexes qu</w:t>
      </w:r>
      <w:r w:rsidR="00F252A7" w:rsidRPr="00E6783F">
        <w:rPr>
          <w:rFonts w:eastAsia="Times New Roman"/>
          <w:bCs/>
          <w:szCs w:val="22"/>
          <w:lang w:val="fr-FR" w:eastAsia="pt-BR"/>
        </w:rPr>
        <w:t>’</w:t>
      </w:r>
      <w:r w:rsidR="00566D81" w:rsidRPr="00E6783F">
        <w:rPr>
          <w:rFonts w:eastAsia="Times New Roman"/>
          <w:bCs/>
          <w:szCs w:val="22"/>
          <w:lang w:val="fr-FR" w:eastAsia="pt-BR"/>
        </w:rPr>
        <w:t>elles reversent aux différents titulaires de droits;</w:t>
      </w:r>
    </w:p>
    <w:p w:rsidR="00566D81" w:rsidRPr="00E6783F" w:rsidRDefault="00181587" w:rsidP="00E6783F">
      <w:pPr>
        <w:numPr>
          <w:ilvl w:val="0"/>
          <w:numId w:val="7"/>
        </w:numPr>
        <w:spacing w:before="100" w:beforeAutospacing="1" w:after="100" w:afterAutospacing="1"/>
        <w:ind w:left="1134" w:hanging="567"/>
        <w:outlineLvl w:val="2"/>
        <w:rPr>
          <w:rFonts w:eastAsia="Times New Roman"/>
          <w:bCs/>
          <w:szCs w:val="22"/>
          <w:lang w:val="fr-FR" w:eastAsia="pt-BR"/>
        </w:rPr>
      </w:pPr>
      <w:r w:rsidRPr="00E6783F">
        <w:rPr>
          <w:rFonts w:eastAsia="Times New Roman"/>
          <w:bCs/>
          <w:szCs w:val="22"/>
          <w:lang w:val="fr-FR" w:eastAsia="pt-BR"/>
        </w:rPr>
        <w:t>f</w:t>
      </w:r>
      <w:r w:rsidR="00566D81" w:rsidRPr="00E6783F">
        <w:rPr>
          <w:rFonts w:eastAsia="Times New Roman"/>
          <w:bCs/>
          <w:szCs w:val="22"/>
          <w:lang w:val="fr-FR" w:eastAsia="pt-BR"/>
        </w:rPr>
        <w:t>orger un consensus sur la gestion du droit d</w:t>
      </w:r>
      <w:r w:rsidR="00F252A7" w:rsidRPr="00E6783F">
        <w:rPr>
          <w:rFonts w:eastAsia="Times New Roman"/>
          <w:bCs/>
          <w:szCs w:val="22"/>
          <w:lang w:val="fr-FR" w:eastAsia="pt-BR"/>
        </w:rPr>
        <w:t>’</w:t>
      </w:r>
      <w:r w:rsidR="00566D81" w:rsidRPr="00E6783F">
        <w:rPr>
          <w:rFonts w:eastAsia="Times New Roman"/>
          <w:bCs/>
          <w:szCs w:val="22"/>
          <w:lang w:val="fr-FR" w:eastAsia="pt-BR"/>
        </w:rPr>
        <w:t>auteur dans l</w:t>
      </w:r>
      <w:r w:rsidR="00F252A7" w:rsidRPr="00E6783F">
        <w:rPr>
          <w:rFonts w:eastAsia="Times New Roman"/>
          <w:bCs/>
          <w:szCs w:val="22"/>
          <w:lang w:val="fr-FR" w:eastAsia="pt-BR"/>
        </w:rPr>
        <w:t>’</w:t>
      </w:r>
      <w:r w:rsidR="00566D81" w:rsidRPr="00E6783F">
        <w:rPr>
          <w:rFonts w:eastAsia="Times New Roman"/>
          <w:bCs/>
          <w:szCs w:val="22"/>
          <w:lang w:val="fr-FR" w:eastAsia="pt-BR"/>
        </w:rPr>
        <w:t xml:space="preserve">environnement numérique afin de </w:t>
      </w:r>
      <w:r w:rsidRPr="00E6783F">
        <w:rPr>
          <w:rFonts w:eastAsia="Times New Roman"/>
          <w:bCs/>
          <w:szCs w:val="22"/>
          <w:lang w:val="fr-FR" w:eastAsia="pt-BR"/>
        </w:rPr>
        <w:t>résoudre</w:t>
      </w:r>
      <w:r w:rsidR="00566D81" w:rsidRPr="00E6783F">
        <w:rPr>
          <w:rFonts w:eastAsia="Times New Roman"/>
          <w:bCs/>
          <w:szCs w:val="22"/>
          <w:lang w:val="fr-FR" w:eastAsia="pt-BR"/>
        </w:rPr>
        <w:t xml:space="preserve"> les difficultés qui se présentent à cet égard, qu</w:t>
      </w:r>
      <w:r w:rsidR="00F252A7" w:rsidRPr="00E6783F">
        <w:rPr>
          <w:rFonts w:eastAsia="Times New Roman"/>
          <w:bCs/>
          <w:szCs w:val="22"/>
          <w:lang w:val="fr-FR" w:eastAsia="pt-BR"/>
        </w:rPr>
        <w:t>’</w:t>
      </w:r>
      <w:r w:rsidR="00566D81" w:rsidRPr="00E6783F">
        <w:rPr>
          <w:rFonts w:eastAsia="Times New Roman"/>
          <w:bCs/>
          <w:szCs w:val="22"/>
          <w:lang w:val="fr-FR" w:eastAsia="pt-BR"/>
        </w:rPr>
        <w:t>il s</w:t>
      </w:r>
      <w:r w:rsidR="00F252A7" w:rsidRPr="00E6783F">
        <w:rPr>
          <w:rFonts w:eastAsia="Times New Roman"/>
          <w:bCs/>
          <w:szCs w:val="22"/>
          <w:lang w:val="fr-FR" w:eastAsia="pt-BR"/>
        </w:rPr>
        <w:t>’</w:t>
      </w:r>
      <w:r w:rsidR="00566D81" w:rsidRPr="00E6783F">
        <w:rPr>
          <w:rFonts w:eastAsia="Times New Roman"/>
          <w:bCs/>
          <w:szCs w:val="22"/>
          <w:lang w:val="fr-FR" w:eastAsia="pt-BR"/>
        </w:rPr>
        <w:t>agisse de la faible rémunération des auteurs et artistes ou des limitations et exceptions</w:t>
      </w:r>
      <w:r w:rsidR="00A234A5" w:rsidRPr="00E6783F">
        <w:rPr>
          <w:rFonts w:eastAsia="Times New Roman"/>
          <w:bCs/>
          <w:szCs w:val="22"/>
          <w:lang w:val="fr-FR" w:eastAsia="pt-BR"/>
        </w:rPr>
        <w:t xml:space="preserve"> relatives</w:t>
      </w:r>
      <w:r w:rsidR="00566D81" w:rsidRPr="00E6783F">
        <w:rPr>
          <w:rFonts w:eastAsia="Times New Roman"/>
          <w:bCs/>
          <w:szCs w:val="22"/>
          <w:lang w:val="fr-FR" w:eastAsia="pt-BR"/>
        </w:rPr>
        <w:t xml:space="preserve"> au droit d</w:t>
      </w:r>
      <w:r w:rsidR="00F252A7" w:rsidRPr="00E6783F">
        <w:rPr>
          <w:rFonts w:eastAsia="Times New Roman"/>
          <w:bCs/>
          <w:szCs w:val="22"/>
          <w:lang w:val="fr-FR" w:eastAsia="pt-BR"/>
        </w:rPr>
        <w:t>’</w:t>
      </w:r>
      <w:r w:rsidR="00566D81" w:rsidRPr="00E6783F">
        <w:rPr>
          <w:rFonts w:eastAsia="Times New Roman"/>
          <w:bCs/>
          <w:szCs w:val="22"/>
          <w:lang w:val="fr-FR" w:eastAsia="pt-BR"/>
        </w:rPr>
        <w:t>auteur dans l</w:t>
      </w:r>
      <w:r w:rsidR="00F252A7" w:rsidRPr="00E6783F">
        <w:rPr>
          <w:rFonts w:eastAsia="Times New Roman"/>
          <w:bCs/>
          <w:szCs w:val="22"/>
          <w:lang w:val="fr-FR" w:eastAsia="pt-BR"/>
        </w:rPr>
        <w:t>’</w:t>
      </w:r>
      <w:r w:rsidR="00566D81" w:rsidRPr="00E6783F">
        <w:rPr>
          <w:rFonts w:eastAsia="Times New Roman"/>
          <w:bCs/>
          <w:szCs w:val="22"/>
          <w:lang w:val="fr-FR" w:eastAsia="pt-BR"/>
        </w:rPr>
        <w:t>environnement numérique.</w:t>
      </w:r>
    </w:p>
    <w:p w:rsidR="00F252A7" w:rsidRPr="00E6783F" w:rsidRDefault="00566D81" w:rsidP="00E6783F">
      <w:pPr>
        <w:spacing w:before="100" w:beforeAutospacing="1" w:after="100" w:afterAutospacing="1"/>
        <w:outlineLvl w:val="2"/>
        <w:rPr>
          <w:rFonts w:eastAsia="Times New Roman"/>
          <w:b/>
          <w:bCs/>
          <w:szCs w:val="22"/>
          <w:lang w:val="fr-FR" w:eastAsia="pt-BR"/>
        </w:rPr>
      </w:pPr>
      <w:r w:rsidRPr="00E6783F">
        <w:rPr>
          <w:rFonts w:eastAsia="Times New Roman"/>
          <w:b/>
          <w:bCs/>
          <w:szCs w:val="22"/>
          <w:lang w:val="fr-FR" w:eastAsia="pt-BR"/>
        </w:rPr>
        <w:t>II.</w:t>
      </w:r>
      <w:r w:rsidR="00181587" w:rsidRPr="00E6783F">
        <w:rPr>
          <w:rFonts w:eastAsia="Times New Roman"/>
          <w:b/>
          <w:bCs/>
          <w:szCs w:val="22"/>
          <w:lang w:val="fr-FR" w:eastAsia="pt-BR"/>
        </w:rPr>
        <w:tab/>
      </w:r>
      <w:r w:rsidRPr="00E6783F">
        <w:rPr>
          <w:rFonts w:eastAsia="Times New Roman"/>
          <w:b/>
          <w:bCs/>
          <w:szCs w:val="22"/>
          <w:lang w:val="fr-FR" w:eastAsia="pt-BR"/>
        </w:rPr>
        <w:t>Contexte</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Face à l</w:t>
      </w:r>
      <w:r w:rsidR="00F252A7" w:rsidRPr="00E6783F">
        <w:rPr>
          <w:rFonts w:eastAsia="Times New Roman"/>
          <w:bCs/>
          <w:szCs w:val="22"/>
          <w:lang w:val="fr-FR" w:eastAsia="pt-BR"/>
        </w:rPr>
        <w:t>’</w:t>
      </w:r>
      <w:r w:rsidRPr="00E6783F">
        <w:rPr>
          <w:rFonts w:eastAsia="Times New Roman"/>
          <w:bCs/>
          <w:szCs w:val="22"/>
          <w:lang w:val="fr-FR" w:eastAsia="pt-BR"/>
        </w:rPr>
        <w:t>onde de choc provoquée par l</w:t>
      </w:r>
      <w:r w:rsidR="00F252A7" w:rsidRPr="00E6783F">
        <w:rPr>
          <w:rFonts w:eastAsia="Times New Roman"/>
          <w:bCs/>
          <w:szCs w:val="22"/>
          <w:lang w:val="fr-FR" w:eastAsia="pt-BR"/>
        </w:rPr>
        <w:t>’</w:t>
      </w:r>
      <w:r w:rsidRPr="00E6783F">
        <w:rPr>
          <w:rFonts w:eastAsia="Times New Roman"/>
          <w:bCs/>
          <w:szCs w:val="22"/>
          <w:lang w:val="fr-FR" w:eastAsia="pt-BR"/>
        </w:rPr>
        <w:t>Internet et les technologies numériques, l</w:t>
      </w:r>
      <w:r w:rsidR="00F252A7" w:rsidRPr="00E6783F">
        <w:rPr>
          <w:rFonts w:eastAsia="Times New Roman"/>
          <w:bCs/>
          <w:szCs w:val="22"/>
          <w:lang w:val="fr-FR" w:eastAsia="pt-BR"/>
        </w:rPr>
        <w:t>’</w:t>
      </w:r>
      <w:r w:rsidRPr="00E6783F">
        <w:rPr>
          <w:rFonts w:eastAsia="Times New Roman"/>
          <w:bCs/>
          <w:szCs w:val="22"/>
          <w:lang w:val="fr-FR" w:eastAsia="pt-BR"/>
        </w:rPr>
        <w:t>OMPI a examiné et adopté, en</w:t>
      </w:r>
      <w:r w:rsidR="00E14572" w:rsidRPr="00E6783F">
        <w:rPr>
          <w:rFonts w:eastAsia="Times New Roman"/>
          <w:bCs/>
          <w:szCs w:val="22"/>
          <w:lang w:val="fr-FR" w:eastAsia="pt-BR"/>
        </w:rPr>
        <w:t> </w:t>
      </w:r>
      <w:r w:rsidRPr="00E6783F">
        <w:rPr>
          <w:rFonts w:eastAsia="Times New Roman"/>
          <w:bCs/>
          <w:szCs w:val="22"/>
          <w:lang w:val="fr-FR" w:eastAsia="pt-BR"/>
        </w:rPr>
        <w:t>1996, le Traité sur le droit d</w:t>
      </w:r>
      <w:r w:rsidR="00F252A7" w:rsidRPr="00E6783F">
        <w:rPr>
          <w:rFonts w:eastAsia="Times New Roman"/>
          <w:bCs/>
          <w:szCs w:val="22"/>
          <w:lang w:val="fr-FR" w:eastAsia="pt-BR"/>
        </w:rPr>
        <w:t>’</w:t>
      </w:r>
      <w:r w:rsidRPr="00E6783F">
        <w:rPr>
          <w:rFonts w:eastAsia="Times New Roman"/>
          <w:bCs/>
          <w:szCs w:val="22"/>
          <w:lang w:val="fr-FR" w:eastAsia="pt-BR"/>
        </w:rPr>
        <w:t>auteur (WCT) et le Traité sur les interprétations et exécutions et les phonogrammes (WPPT).</w:t>
      </w:r>
    </w:p>
    <w:p w:rsidR="00F252A7"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La solution proposée dans ces deux</w:t>
      </w:r>
      <w:r w:rsidR="00E14572" w:rsidRPr="00E6783F">
        <w:rPr>
          <w:rFonts w:eastAsia="Times New Roman"/>
          <w:bCs/>
          <w:szCs w:val="22"/>
          <w:lang w:val="fr-FR" w:eastAsia="pt-BR"/>
        </w:rPr>
        <w:t> </w:t>
      </w:r>
      <w:r w:rsidRPr="00E6783F">
        <w:rPr>
          <w:rFonts w:eastAsia="Times New Roman"/>
          <w:bCs/>
          <w:szCs w:val="22"/>
          <w:lang w:val="fr-FR" w:eastAsia="pt-BR"/>
        </w:rPr>
        <w:t xml:space="preserve">traités consiste en la </w:t>
      </w:r>
      <w:r w:rsidR="00181587" w:rsidRPr="00E6783F">
        <w:rPr>
          <w:rFonts w:eastAsia="Times New Roman"/>
          <w:bCs/>
          <w:szCs w:val="22"/>
          <w:lang w:val="fr-FR" w:eastAsia="pt-BR"/>
        </w:rPr>
        <w:t>définition</w:t>
      </w:r>
      <w:r w:rsidRPr="00E6783F">
        <w:rPr>
          <w:rFonts w:eastAsia="Times New Roman"/>
          <w:bCs/>
          <w:szCs w:val="22"/>
          <w:lang w:val="fr-FR" w:eastAsia="pt-BR"/>
        </w:rPr>
        <w:t xml:space="preserve"> d</w:t>
      </w:r>
      <w:r w:rsidR="00F252A7" w:rsidRPr="00E6783F">
        <w:rPr>
          <w:rFonts w:eastAsia="Times New Roman"/>
          <w:bCs/>
          <w:szCs w:val="22"/>
          <w:lang w:val="fr-FR" w:eastAsia="pt-BR"/>
        </w:rPr>
        <w:t>’</w:t>
      </w:r>
      <w:r w:rsidRPr="00E6783F">
        <w:rPr>
          <w:rFonts w:eastAsia="Times New Roman"/>
          <w:bCs/>
          <w:szCs w:val="22"/>
          <w:lang w:val="fr-FR" w:eastAsia="pt-BR"/>
        </w:rPr>
        <w:t xml:space="preserve">un nouveau droit exclusif de </w:t>
      </w:r>
      <w:r w:rsidR="00E14572" w:rsidRPr="00E6783F">
        <w:rPr>
          <w:rFonts w:eastAsia="Times New Roman"/>
          <w:bCs/>
          <w:szCs w:val="22"/>
          <w:lang w:val="fr-FR" w:eastAsia="pt-BR"/>
        </w:rPr>
        <w:t>“</w:t>
      </w:r>
      <w:r w:rsidRPr="00E6783F">
        <w:rPr>
          <w:rFonts w:eastAsia="Times New Roman"/>
          <w:bCs/>
          <w:szCs w:val="22"/>
          <w:lang w:val="fr-FR" w:eastAsia="pt-BR"/>
        </w:rPr>
        <w:t>mise à disposition</w:t>
      </w:r>
      <w:r w:rsidR="00E14572" w:rsidRPr="00E6783F">
        <w:rPr>
          <w:rFonts w:eastAsia="Times New Roman"/>
          <w:bCs/>
          <w:szCs w:val="22"/>
          <w:lang w:val="fr-FR" w:eastAsia="pt-BR"/>
        </w:rPr>
        <w:t>”</w:t>
      </w:r>
      <w:r w:rsidRPr="00E6783F">
        <w:rPr>
          <w:rFonts w:eastAsia="Times New Roman"/>
          <w:bCs/>
          <w:szCs w:val="22"/>
          <w:lang w:val="fr-FR" w:eastAsia="pt-BR"/>
        </w:rPr>
        <w:t xml:space="preserve"> et en l</w:t>
      </w:r>
      <w:r w:rsidR="00F252A7" w:rsidRPr="00E6783F">
        <w:rPr>
          <w:rFonts w:eastAsia="Times New Roman"/>
          <w:bCs/>
          <w:szCs w:val="22"/>
          <w:lang w:val="fr-FR" w:eastAsia="pt-BR"/>
        </w:rPr>
        <w:t>’</w:t>
      </w:r>
      <w:r w:rsidRPr="00E6783F">
        <w:rPr>
          <w:rFonts w:eastAsia="Times New Roman"/>
          <w:bCs/>
          <w:szCs w:val="22"/>
          <w:lang w:val="fr-FR" w:eastAsia="pt-BR"/>
        </w:rPr>
        <w:t>utilisation de mesures techniques de protection afin de garantir l</w:t>
      </w:r>
      <w:r w:rsidR="00F252A7" w:rsidRPr="00E6783F">
        <w:rPr>
          <w:rFonts w:eastAsia="Times New Roman"/>
          <w:bCs/>
          <w:szCs w:val="22"/>
          <w:lang w:val="fr-FR" w:eastAsia="pt-BR"/>
        </w:rPr>
        <w:t>’</w:t>
      </w:r>
      <w:r w:rsidRPr="00E6783F">
        <w:rPr>
          <w:rFonts w:eastAsia="Times New Roman"/>
          <w:bCs/>
          <w:szCs w:val="22"/>
          <w:lang w:val="fr-FR" w:eastAsia="pt-BR"/>
        </w:rPr>
        <w:t>application du droit d</w:t>
      </w:r>
      <w:r w:rsidR="00F252A7" w:rsidRPr="00E6783F">
        <w:rPr>
          <w:rFonts w:eastAsia="Times New Roman"/>
          <w:bCs/>
          <w:szCs w:val="22"/>
          <w:lang w:val="fr-FR" w:eastAsia="pt-BR"/>
        </w:rPr>
        <w:t>’</w:t>
      </w:r>
      <w:r w:rsidRPr="00E6783F">
        <w:rPr>
          <w:rFonts w:eastAsia="Times New Roman"/>
          <w:bCs/>
          <w:szCs w:val="22"/>
          <w:lang w:val="fr-FR" w:eastAsia="pt-BR"/>
        </w:rPr>
        <w:t>auteur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Le WCT prévoit une certaine marge de manœuvre pour la qualification juridique de ce nouveau droit par les législations nationales soit comme droit de distribution</w:t>
      </w:r>
      <w:r w:rsidR="00A234A5" w:rsidRPr="00E6783F">
        <w:rPr>
          <w:rFonts w:eastAsia="Times New Roman"/>
          <w:bCs/>
          <w:szCs w:val="22"/>
          <w:lang w:val="fr-FR" w:eastAsia="pt-BR"/>
        </w:rPr>
        <w:t>, soit comme droit</w:t>
      </w:r>
      <w:r w:rsidRPr="00E6783F">
        <w:rPr>
          <w:rFonts w:eastAsia="Times New Roman"/>
          <w:bCs/>
          <w:szCs w:val="22"/>
          <w:lang w:val="fr-FR" w:eastAsia="pt-BR"/>
        </w:rPr>
        <w:t xml:space="preserve"> de communication au public</w:t>
      </w:r>
      <w:r w:rsidR="00A234A5" w:rsidRPr="00E6783F">
        <w:rPr>
          <w:rFonts w:eastAsia="Times New Roman"/>
          <w:bCs/>
          <w:szCs w:val="22"/>
          <w:lang w:val="fr-FR" w:eastAsia="pt-BR"/>
        </w:rPr>
        <w:t>,</w:t>
      </w:r>
      <w:r w:rsidRPr="00E6783F">
        <w:rPr>
          <w:rFonts w:eastAsia="Times New Roman"/>
          <w:bCs/>
          <w:szCs w:val="22"/>
          <w:lang w:val="fr-FR" w:eastAsia="pt-BR"/>
        </w:rPr>
        <w:t xml:space="preserve"> </w:t>
      </w:r>
      <w:r w:rsidR="00A234A5" w:rsidRPr="00E6783F">
        <w:rPr>
          <w:rFonts w:eastAsia="Times New Roman"/>
          <w:bCs/>
          <w:szCs w:val="22"/>
          <w:lang w:val="fr-FR" w:eastAsia="pt-BR"/>
        </w:rPr>
        <w:t xml:space="preserve">soit comme </w:t>
      </w:r>
      <w:r w:rsidRPr="00E6783F">
        <w:rPr>
          <w:rFonts w:eastAsia="Times New Roman"/>
          <w:bCs/>
          <w:szCs w:val="22"/>
          <w:lang w:val="fr-FR" w:eastAsia="pt-BR"/>
        </w:rPr>
        <w:t>un ensemble de droits existants.</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Contrairement</w:t>
      </w:r>
      <w:r w:rsidR="00F252A7" w:rsidRPr="00E6783F">
        <w:rPr>
          <w:rFonts w:eastAsia="Times New Roman"/>
          <w:bCs/>
          <w:szCs w:val="22"/>
          <w:lang w:val="fr-FR" w:eastAsia="pt-BR"/>
        </w:rPr>
        <w:t xml:space="preserve"> au WCT</w:t>
      </w:r>
      <w:r w:rsidRPr="00E6783F">
        <w:rPr>
          <w:rFonts w:eastAsia="Times New Roman"/>
          <w:bCs/>
          <w:szCs w:val="22"/>
          <w:lang w:val="fr-FR" w:eastAsia="pt-BR"/>
        </w:rPr>
        <w:t>,</w:t>
      </w:r>
      <w:r w:rsidR="00F252A7" w:rsidRPr="00E6783F">
        <w:rPr>
          <w:rFonts w:eastAsia="Times New Roman"/>
          <w:bCs/>
          <w:szCs w:val="22"/>
          <w:lang w:val="fr-FR" w:eastAsia="pt-BR"/>
        </w:rPr>
        <w:t xml:space="preserve"> le WPP</w:t>
      </w:r>
      <w:r w:rsidRPr="00E6783F">
        <w:rPr>
          <w:rFonts w:eastAsia="Times New Roman"/>
          <w:bCs/>
          <w:szCs w:val="22"/>
          <w:lang w:val="fr-FR" w:eastAsia="pt-BR"/>
        </w:rPr>
        <w:t xml:space="preserve">T définit le droit de </w:t>
      </w:r>
      <w:r w:rsidR="00E14572" w:rsidRPr="00E6783F">
        <w:rPr>
          <w:rFonts w:eastAsia="Times New Roman"/>
          <w:bCs/>
          <w:szCs w:val="22"/>
          <w:lang w:val="fr-FR" w:eastAsia="pt-BR"/>
        </w:rPr>
        <w:t>“</w:t>
      </w:r>
      <w:r w:rsidRPr="00E6783F">
        <w:rPr>
          <w:rFonts w:eastAsia="Times New Roman"/>
          <w:bCs/>
          <w:szCs w:val="22"/>
          <w:lang w:val="fr-FR" w:eastAsia="pt-BR"/>
        </w:rPr>
        <w:t>mise à disposition</w:t>
      </w:r>
      <w:r w:rsidR="00E14572" w:rsidRPr="00E6783F">
        <w:rPr>
          <w:rFonts w:eastAsia="Times New Roman"/>
          <w:bCs/>
          <w:szCs w:val="22"/>
          <w:lang w:val="fr-FR" w:eastAsia="pt-BR"/>
        </w:rPr>
        <w:t>”</w:t>
      </w:r>
      <w:r w:rsidRPr="00E6783F">
        <w:rPr>
          <w:rFonts w:eastAsia="Times New Roman"/>
          <w:bCs/>
          <w:szCs w:val="22"/>
          <w:lang w:val="fr-FR" w:eastAsia="pt-BR"/>
        </w:rPr>
        <w:t xml:space="preserve"> comme un droit autono</w:t>
      </w:r>
      <w:r w:rsidR="00E06E81" w:rsidRPr="00E6783F">
        <w:rPr>
          <w:rFonts w:eastAsia="Times New Roman"/>
          <w:bCs/>
          <w:szCs w:val="22"/>
          <w:lang w:val="fr-FR" w:eastAsia="pt-BR"/>
        </w:rPr>
        <w:t>me.  Da</w:t>
      </w:r>
      <w:r w:rsidRPr="00E6783F">
        <w:rPr>
          <w:rFonts w:eastAsia="Times New Roman"/>
          <w:bCs/>
          <w:szCs w:val="22"/>
          <w:lang w:val="fr-FR" w:eastAsia="pt-BR"/>
        </w:rPr>
        <w:t>ns la déclaration commune concernant l</w:t>
      </w:r>
      <w:r w:rsidR="00F252A7" w:rsidRPr="00E6783F">
        <w:rPr>
          <w:rFonts w:eastAsia="Times New Roman"/>
          <w:bCs/>
          <w:szCs w:val="22"/>
          <w:lang w:val="fr-FR" w:eastAsia="pt-BR"/>
        </w:rPr>
        <w:t>’</w:t>
      </w:r>
      <w:r w:rsidRPr="00E6783F">
        <w:rPr>
          <w:rFonts w:eastAsia="Times New Roman"/>
          <w:bCs/>
          <w:szCs w:val="22"/>
          <w:lang w:val="fr-FR" w:eastAsia="pt-BR"/>
        </w:rPr>
        <w:t>article</w:t>
      </w:r>
      <w:r w:rsidR="00E14572" w:rsidRPr="00E6783F">
        <w:rPr>
          <w:rFonts w:eastAsia="Times New Roman"/>
          <w:bCs/>
          <w:szCs w:val="22"/>
          <w:lang w:val="fr-FR" w:eastAsia="pt-BR"/>
        </w:rPr>
        <w:t> </w:t>
      </w:r>
      <w:r w:rsidR="007B3CE0" w:rsidRPr="00E6783F">
        <w:rPr>
          <w:rFonts w:eastAsia="Times New Roman"/>
          <w:bCs/>
          <w:szCs w:val="22"/>
          <w:lang w:val="fr-FR" w:eastAsia="pt-BR"/>
        </w:rPr>
        <w:t>15 du T</w:t>
      </w:r>
      <w:r w:rsidRPr="00E6783F">
        <w:rPr>
          <w:rFonts w:eastAsia="Times New Roman"/>
          <w:bCs/>
          <w:szCs w:val="22"/>
          <w:lang w:val="fr-FR" w:eastAsia="pt-BR"/>
        </w:rPr>
        <w:t>raité, les Parties contractantes ont fait état de l</w:t>
      </w:r>
      <w:r w:rsidR="00F252A7" w:rsidRPr="00E6783F">
        <w:rPr>
          <w:rFonts w:eastAsia="Times New Roman"/>
          <w:bCs/>
          <w:szCs w:val="22"/>
          <w:lang w:val="fr-FR" w:eastAsia="pt-BR"/>
        </w:rPr>
        <w:t>’</w:t>
      </w:r>
      <w:r w:rsidRPr="00E6783F">
        <w:rPr>
          <w:rFonts w:eastAsia="Times New Roman"/>
          <w:bCs/>
          <w:szCs w:val="22"/>
          <w:lang w:val="fr-FR" w:eastAsia="pt-BR"/>
        </w:rPr>
        <w:t>impossibilité d</w:t>
      </w:r>
      <w:r w:rsidR="00F252A7" w:rsidRPr="00E6783F">
        <w:rPr>
          <w:rFonts w:eastAsia="Times New Roman"/>
          <w:bCs/>
          <w:szCs w:val="22"/>
          <w:lang w:val="fr-FR" w:eastAsia="pt-BR"/>
        </w:rPr>
        <w:t>’</w:t>
      </w:r>
      <w:r w:rsidRPr="00E6783F">
        <w:rPr>
          <w:rFonts w:eastAsia="Times New Roman"/>
          <w:bCs/>
          <w:szCs w:val="22"/>
          <w:lang w:val="fr-FR" w:eastAsia="pt-BR"/>
        </w:rPr>
        <w:t>apporter une solution définitive à la question du niveau des droits de radiodiffusion et de communication au public dont devraient jouir, à l</w:t>
      </w:r>
      <w:r w:rsidR="00F252A7" w:rsidRPr="00E6783F">
        <w:rPr>
          <w:rFonts w:eastAsia="Times New Roman"/>
          <w:bCs/>
          <w:szCs w:val="22"/>
          <w:lang w:val="fr-FR" w:eastAsia="pt-BR"/>
        </w:rPr>
        <w:t>’</w:t>
      </w:r>
      <w:r w:rsidRPr="00E6783F">
        <w:rPr>
          <w:rFonts w:eastAsia="Times New Roman"/>
          <w:bCs/>
          <w:szCs w:val="22"/>
          <w:lang w:val="fr-FR" w:eastAsia="pt-BR"/>
        </w:rPr>
        <w:t>ère du numérique, les artistes interprètes ou exécutants et les producteurs de phonogramm</w:t>
      </w:r>
      <w:r w:rsidR="00E06E81" w:rsidRPr="00E6783F">
        <w:rPr>
          <w:rFonts w:eastAsia="Times New Roman"/>
          <w:bCs/>
          <w:szCs w:val="22"/>
          <w:lang w:val="fr-FR" w:eastAsia="pt-BR"/>
        </w:rPr>
        <w:t>es.  Le</w:t>
      </w:r>
      <w:r w:rsidRPr="00E6783F">
        <w:rPr>
          <w:rFonts w:eastAsia="Times New Roman"/>
          <w:bCs/>
          <w:szCs w:val="22"/>
          <w:lang w:val="fr-FR" w:eastAsia="pt-BR"/>
        </w:rPr>
        <w:t>s États membres n</w:t>
      </w:r>
      <w:r w:rsidR="00F252A7" w:rsidRPr="00E6783F">
        <w:rPr>
          <w:rFonts w:eastAsia="Times New Roman"/>
          <w:bCs/>
          <w:szCs w:val="22"/>
          <w:lang w:val="fr-FR" w:eastAsia="pt-BR"/>
        </w:rPr>
        <w:t>’</w:t>
      </w:r>
      <w:r w:rsidRPr="00E6783F">
        <w:rPr>
          <w:rFonts w:eastAsia="Times New Roman"/>
          <w:bCs/>
          <w:szCs w:val="22"/>
          <w:lang w:val="fr-FR" w:eastAsia="pt-BR"/>
        </w:rPr>
        <w:t>ayant pu parvenir à un consensus, ils ont renoncé provisoirement à régler la question.</w:t>
      </w:r>
    </w:p>
    <w:p w:rsidR="00566D81"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Depuis l</w:t>
      </w:r>
      <w:r w:rsidR="00F252A7" w:rsidRPr="00E6783F">
        <w:rPr>
          <w:rFonts w:eastAsia="Times New Roman"/>
          <w:bCs/>
          <w:szCs w:val="22"/>
          <w:lang w:val="fr-FR" w:eastAsia="pt-BR"/>
        </w:rPr>
        <w:t>’</w:t>
      </w:r>
      <w:r w:rsidRPr="00E6783F">
        <w:rPr>
          <w:rFonts w:eastAsia="Times New Roman"/>
          <w:bCs/>
          <w:szCs w:val="22"/>
          <w:lang w:val="fr-FR" w:eastAsia="pt-BR"/>
        </w:rPr>
        <w:t>adoption de ces traités, de nouveaux services ont vu le jour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et d</w:t>
      </w:r>
      <w:r w:rsidR="00F252A7" w:rsidRPr="00E6783F">
        <w:rPr>
          <w:rFonts w:eastAsia="Times New Roman"/>
          <w:bCs/>
          <w:szCs w:val="22"/>
          <w:lang w:val="fr-FR" w:eastAsia="pt-BR"/>
        </w:rPr>
        <w:t>’</w:t>
      </w:r>
      <w:r w:rsidRPr="00E6783F">
        <w:rPr>
          <w:rFonts w:eastAsia="Times New Roman"/>
          <w:bCs/>
          <w:szCs w:val="22"/>
          <w:lang w:val="fr-FR" w:eastAsia="pt-BR"/>
        </w:rPr>
        <w:t>autres ont disparu, modifiant grandement les modalités de production et de diffusion des biens intellectuels.</w:t>
      </w:r>
    </w:p>
    <w:p w:rsidR="00566D81" w:rsidRPr="00E6783F" w:rsidRDefault="00181587"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À</w:t>
      </w:r>
      <w:r w:rsidR="00566D81" w:rsidRPr="00E6783F">
        <w:rPr>
          <w:rFonts w:eastAsia="Times New Roman"/>
          <w:bCs/>
          <w:szCs w:val="22"/>
          <w:lang w:val="fr-FR" w:eastAsia="pt-BR"/>
        </w:rPr>
        <w:t xml:space="preserve"> l</w:t>
      </w:r>
      <w:r w:rsidR="00F252A7" w:rsidRPr="00E6783F">
        <w:rPr>
          <w:rFonts w:eastAsia="Times New Roman"/>
          <w:bCs/>
          <w:szCs w:val="22"/>
          <w:lang w:val="fr-FR" w:eastAsia="pt-BR"/>
        </w:rPr>
        <w:t>’</w:t>
      </w:r>
      <w:r w:rsidR="00566D81" w:rsidRPr="00E6783F">
        <w:rPr>
          <w:rFonts w:eastAsia="Times New Roman"/>
          <w:bCs/>
          <w:szCs w:val="22"/>
          <w:lang w:val="fr-FR" w:eastAsia="pt-BR"/>
        </w:rPr>
        <w:t>heure actuelle, on recense une très grande variété de services dont la caractéristique principale semble être l</w:t>
      </w:r>
      <w:r w:rsidR="00F252A7" w:rsidRPr="00E6783F">
        <w:rPr>
          <w:rFonts w:eastAsia="Times New Roman"/>
          <w:bCs/>
          <w:szCs w:val="22"/>
          <w:lang w:val="fr-FR" w:eastAsia="pt-BR"/>
        </w:rPr>
        <w:t>’</w:t>
      </w:r>
      <w:r w:rsidR="00566D81" w:rsidRPr="00E6783F">
        <w:rPr>
          <w:rFonts w:eastAsia="Times New Roman"/>
          <w:bCs/>
          <w:szCs w:val="22"/>
          <w:lang w:val="fr-FR" w:eastAsia="pt-BR"/>
        </w:rPr>
        <w:t xml:space="preserve">accès aux </w:t>
      </w:r>
      <w:r w:rsidR="00F252A7" w:rsidRPr="00E6783F">
        <w:rPr>
          <w:rFonts w:eastAsia="Times New Roman"/>
          <w:bCs/>
          <w:szCs w:val="22"/>
          <w:lang w:val="fr-FR" w:eastAsia="pt-BR"/>
        </w:rPr>
        <w:t>œuvre</w:t>
      </w:r>
      <w:r w:rsidR="00566D81" w:rsidRPr="00E6783F">
        <w:rPr>
          <w:rFonts w:eastAsia="Times New Roman"/>
          <w:bCs/>
          <w:szCs w:val="22"/>
          <w:lang w:val="fr-FR" w:eastAsia="pt-BR"/>
        </w:rPr>
        <w:t>s plutôt que le transfert de la propriété ou de la possession de celles</w:t>
      </w:r>
      <w:r w:rsidR="00F5100B" w:rsidRPr="00E6783F">
        <w:rPr>
          <w:rFonts w:eastAsia="Times New Roman"/>
          <w:bCs/>
          <w:szCs w:val="22"/>
          <w:lang w:val="fr-FR" w:eastAsia="pt-BR"/>
        </w:rPr>
        <w:noBreakHyphen/>
      </w:r>
      <w:r w:rsidR="00E06E81" w:rsidRPr="00E6783F">
        <w:rPr>
          <w:rFonts w:eastAsia="Times New Roman"/>
          <w:bCs/>
          <w:szCs w:val="22"/>
          <w:lang w:val="fr-FR" w:eastAsia="pt-BR"/>
        </w:rPr>
        <w:t>ci.  En</w:t>
      </w:r>
      <w:r w:rsidR="00566D81" w:rsidRPr="00E6783F">
        <w:rPr>
          <w:rFonts w:eastAsia="Times New Roman"/>
          <w:bCs/>
          <w:szCs w:val="22"/>
          <w:lang w:val="fr-FR" w:eastAsia="pt-BR"/>
        </w:rPr>
        <w:t xml:space="preserve"> règle générale, pour ces services, des licences doivent être concédées sur plusieurs droits en lien avec les mesures techniques utilisées.</w:t>
      </w:r>
    </w:p>
    <w:p w:rsidR="00F252A7"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Malgré les récents progrès techniques accomplis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le Traité de Beijing sur les interprétations et exécutions audiovisuelles (Traité de Beijing), adopté en</w:t>
      </w:r>
      <w:r w:rsidR="00E14572" w:rsidRPr="00E6783F">
        <w:rPr>
          <w:rFonts w:eastAsia="Times New Roman"/>
          <w:bCs/>
          <w:szCs w:val="22"/>
          <w:lang w:val="fr-FR" w:eastAsia="pt-BR"/>
        </w:rPr>
        <w:t> </w:t>
      </w:r>
      <w:r w:rsidRPr="00E6783F">
        <w:rPr>
          <w:rFonts w:eastAsia="Times New Roman"/>
          <w:bCs/>
          <w:szCs w:val="22"/>
          <w:lang w:val="fr-FR" w:eastAsia="pt-BR"/>
        </w:rPr>
        <w:t>2012, suit la même formule que</w:t>
      </w:r>
      <w:r w:rsidR="00F252A7" w:rsidRPr="00E6783F">
        <w:rPr>
          <w:rFonts w:eastAsia="Times New Roman"/>
          <w:bCs/>
          <w:szCs w:val="22"/>
          <w:lang w:val="fr-FR" w:eastAsia="pt-BR"/>
        </w:rPr>
        <w:t xml:space="preserve"> le WCT</w:t>
      </w:r>
      <w:r w:rsidRPr="00E6783F">
        <w:rPr>
          <w:rFonts w:eastAsia="Times New Roman"/>
          <w:bCs/>
          <w:szCs w:val="22"/>
          <w:lang w:val="fr-FR" w:eastAsia="pt-BR"/>
        </w:rPr>
        <w:t xml:space="preserve"> et</w:t>
      </w:r>
      <w:r w:rsidR="00F252A7" w:rsidRPr="00E6783F">
        <w:rPr>
          <w:rFonts w:eastAsia="Times New Roman"/>
          <w:bCs/>
          <w:szCs w:val="22"/>
          <w:lang w:val="fr-FR" w:eastAsia="pt-BR"/>
        </w:rPr>
        <w:t xml:space="preserve"> le WPP</w:t>
      </w:r>
      <w:r w:rsidRPr="00E6783F">
        <w:rPr>
          <w:rFonts w:eastAsia="Times New Roman"/>
          <w:bCs/>
          <w:szCs w:val="22"/>
          <w:lang w:val="fr-FR" w:eastAsia="pt-BR"/>
        </w:rPr>
        <w:t>T.</w:t>
      </w:r>
      <w:r w:rsidR="00E14572" w:rsidRPr="00E6783F">
        <w:rPr>
          <w:rFonts w:eastAsia="Times New Roman"/>
          <w:bCs/>
          <w:szCs w:val="22"/>
          <w:lang w:val="fr-FR" w:eastAsia="pt-BR"/>
        </w:rPr>
        <w:t xml:space="preserve"> </w:t>
      </w:r>
      <w:r w:rsidRPr="00E6783F">
        <w:rPr>
          <w:rFonts w:eastAsia="Times New Roman"/>
          <w:bCs/>
          <w:szCs w:val="22"/>
          <w:lang w:val="fr-FR" w:eastAsia="pt-BR"/>
        </w:rPr>
        <w:t xml:space="preserve"> À l</w:t>
      </w:r>
      <w:r w:rsidR="00F252A7" w:rsidRPr="00E6783F">
        <w:rPr>
          <w:rFonts w:eastAsia="Times New Roman"/>
          <w:bCs/>
          <w:szCs w:val="22"/>
          <w:lang w:val="fr-FR" w:eastAsia="pt-BR"/>
        </w:rPr>
        <w:t>’</w:t>
      </w:r>
      <w:r w:rsidRPr="00E6783F">
        <w:rPr>
          <w:rFonts w:eastAsia="Times New Roman"/>
          <w:bCs/>
          <w:szCs w:val="22"/>
          <w:lang w:val="fr-FR" w:eastAsia="pt-BR"/>
        </w:rPr>
        <w:t>instar</w:t>
      </w:r>
      <w:r w:rsidR="00F252A7" w:rsidRPr="00E6783F">
        <w:rPr>
          <w:rFonts w:eastAsia="Times New Roman"/>
          <w:bCs/>
          <w:szCs w:val="22"/>
          <w:lang w:val="fr-FR" w:eastAsia="pt-BR"/>
        </w:rPr>
        <w:t xml:space="preserve"> du WPP</w:t>
      </w:r>
      <w:r w:rsidRPr="00E6783F">
        <w:rPr>
          <w:rFonts w:eastAsia="Times New Roman"/>
          <w:bCs/>
          <w:szCs w:val="22"/>
          <w:lang w:val="fr-FR" w:eastAsia="pt-BR"/>
        </w:rPr>
        <w:t>T, le Traité de Beijing dispose que les Parties contractantes peuvent prévoir un droit à rémunération équitable en lieu et place du droit exclusif d</w:t>
      </w:r>
      <w:r w:rsidR="00F252A7" w:rsidRPr="00E6783F">
        <w:rPr>
          <w:rFonts w:eastAsia="Times New Roman"/>
          <w:bCs/>
          <w:szCs w:val="22"/>
          <w:lang w:val="fr-FR" w:eastAsia="pt-BR"/>
        </w:rPr>
        <w:t>’</w:t>
      </w:r>
      <w:r w:rsidRPr="00E6783F">
        <w:rPr>
          <w:rFonts w:eastAsia="Times New Roman"/>
          <w:bCs/>
          <w:szCs w:val="22"/>
          <w:lang w:val="fr-FR" w:eastAsia="pt-BR"/>
        </w:rPr>
        <w:t>autorisation de l</w:t>
      </w:r>
      <w:r w:rsidR="00F252A7" w:rsidRPr="00E6783F">
        <w:rPr>
          <w:rFonts w:eastAsia="Times New Roman"/>
          <w:bCs/>
          <w:szCs w:val="22"/>
          <w:lang w:val="fr-FR" w:eastAsia="pt-BR"/>
        </w:rPr>
        <w:t>’</w:t>
      </w:r>
      <w:r w:rsidRPr="00E6783F">
        <w:rPr>
          <w:rFonts w:eastAsia="Times New Roman"/>
          <w:bCs/>
          <w:szCs w:val="22"/>
          <w:lang w:val="fr-FR" w:eastAsia="pt-BR"/>
        </w:rPr>
        <w:t>utilisation directe ou indirecte d</w:t>
      </w:r>
      <w:r w:rsidR="00F252A7" w:rsidRPr="00E6783F">
        <w:rPr>
          <w:rFonts w:eastAsia="Times New Roman"/>
          <w:bCs/>
          <w:szCs w:val="22"/>
          <w:lang w:val="fr-FR" w:eastAsia="pt-BR"/>
        </w:rPr>
        <w:t>’</w:t>
      </w:r>
      <w:r w:rsidRPr="00E6783F">
        <w:rPr>
          <w:rFonts w:eastAsia="Times New Roman"/>
          <w:bCs/>
          <w:szCs w:val="22"/>
          <w:lang w:val="fr-FR" w:eastAsia="pt-BR"/>
        </w:rPr>
        <w:t>interprétations ou d</w:t>
      </w:r>
      <w:r w:rsidR="00F252A7" w:rsidRPr="00E6783F">
        <w:rPr>
          <w:rFonts w:eastAsia="Times New Roman"/>
          <w:bCs/>
          <w:szCs w:val="22"/>
          <w:lang w:val="fr-FR" w:eastAsia="pt-BR"/>
        </w:rPr>
        <w:t>’</w:t>
      </w:r>
      <w:r w:rsidRPr="00E6783F">
        <w:rPr>
          <w:rFonts w:eastAsia="Times New Roman"/>
          <w:bCs/>
          <w:szCs w:val="22"/>
          <w:lang w:val="fr-FR" w:eastAsia="pt-BR"/>
        </w:rPr>
        <w:t>exécutions fixées sur fixations audiovisuelles pour la radiodiffusion ou pour la communication au public.</w:t>
      </w:r>
    </w:p>
    <w:p w:rsidR="00F252A7"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Dans cette perspective, la faible rémunération versée aux créateurs, aux compositeurs, aux auteurs et aux interprètes est la répercussion la plus manifeste des progrès techniques réalisés en ce qui concerne l</w:t>
      </w:r>
      <w:r w:rsidR="00F252A7" w:rsidRPr="00E6783F">
        <w:rPr>
          <w:rFonts w:eastAsia="Times New Roman"/>
          <w:bCs/>
          <w:szCs w:val="22"/>
          <w:lang w:val="fr-FR" w:eastAsia="pt-BR"/>
        </w:rPr>
        <w:t>’</w:t>
      </w:r>
      <w:r w:rsidRPr="00E6783F">
        <w:rPr>
          <w:rFonts w:eastAsia="Times New Roman"/>
          <w:bCs/>
          <w:szCs w:val="22"/>
          <w:lang w:val="fr-FR" w:eastAsia="pt-BR"/>
        </w:rPr>
        <w:t>utilisation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d</w:t>
      </w:r>
      <w:r w:rsidR="00F252A7" w:rsidRPr="00E6783F">
        <w:rPr>
          <w:rFonts w:eastAsia="Times New Roman"/>
          <w:bCs/>
          <w:szCs w:val="22"/>
          <w:lang w:val="fr-FR" w:eastAsia="pt-BR"/>
        </w:rPr>
        <w:t>’</w:t>
      </w:r>
      <w:r w:rsidRPr="00E6783F">
        <w:rPr>
          <w:rFonts w:eastAsia="Times New Roman"/>
          <w:bCs/>
          <w:szCs w:val="22"/>
          <w:lang w:val="fr-FR" w:eastAsia="pt-BR"/>
        </w:rPr>
        <w:t>œuvres protégé</w:t>
      </w:r>
      <w:r w:rsidR="00E06E81" w:rsidRPr="00E6783F">
        <w:rPr>
          <w:rFonts w:eastAsia="Times New Roman"/>
          <w:bCs/>
          <w:szCs w:val="22"/>
          <w:lang w:val="fr-FR" w:eastAsia="pt-BR"/>
        </w:rPr>
        <w:t>es.  Da</w:t>
      </w:r>
      <w:r w:rsidRPr="00E6783F">
        <w:rPr>
          <w:rFonts w:eastAsia="Times New Roman"/>
          <w:bCs/>
          <w:szCs w:val="22"/>
          <w:lang w:val="fr-FR" w:eastAsia="pt-BR"/>
        </w:rPr>
        <w:t>ns l</w:t>
      </w:r>
      <w:r w:rsidR="00F252A7" w:rsidRPr="00E6783F">
        <w:rPr>
          <w:rFonts w:eastAsia="Times New Roman"/>
          <w:bCs/>
          <w:szCs w:val="22"/>
          <w:lang w:val="fr-FR" w:eastAsia="pt-BR"/>
        </w:rPr>
        <w:t>’</w:t>
      </w:r>
      <w:r w:rsidRPr="00E6783F">
        <w:rPr>
          <w:rFonts w:eastAsia="Times New Roman"/>
          <w:bCs/>
          <w:szCs w:val="22"/>
          <w:lang w:val="fr-FR" w:eastAsia="pt-BR"/>
        </w:rPr>
        <w:t>industrie musicale en particulier, bien que la technologie numérique ait donné à la société un accès à une offre musicale sans précédent, nombreux sont ceux qui se demandent si le rôle des créateurs et interprètes est suffisamment valorisé.</w:t>
      </w:r>
    </w:p>
    <w:p w:rsidR="00F252A7" w:rsidRPr="00E6783F" w:rsidRDefault="00566D81" w:rsidP="00E6783F">
      <w:pPr>
        <w:spacing w:before="100" w:beforeAutospacing="1" w:after="100" w:afterAutospacing="1"/>
        <w:outlineLvl w:val="2"/>
        <w:rPr>
          <w:rFonts w:eastAsia="Times New Roman"/>
          <w:bCs/>
          <w:szCs w:val="22"/>
          <w:lang w:val="fr-FR" w:eastAsia="pt-BR"/>
        </w:rPr>
      </w:pPr>
      <w:r w:rsidRPr="00E6783F">
        <w:rPr>
          <w:rFonts w:eastAsia="Times New Roman"/>
          <w:bCs/>
          <w:szCs w:val="22"/>
          <w:lang w:val="fr-FR" w:eastAsia="pt-BR"/>
        </w:rPr>
        <w:t>La musique est un instrument fondamental de divertissement, de promotion de la culture et de développement économiq</w:t>
      </w:r>
      <w:r w:rsidR="00E06E81" w:rsidRPr="00E6783F">
        <w:rPr>
          <w:rFonts w:eastAsia="Times New Roman"/>
          <w:bCs/>
          <w:szCs w:val="22"/>
          <w:lang w:val="fr-FR" w:eastAsia="pt-BR"/>
        </w:rPr>
        <w:t>ue.  La</w:t>
      </w:r>
      <w:r w:rsidRPr="00E6783F">
        <w:rPr>
          <w:rFonts w:eastAsia="Times New Roman"/>
          <w:bCs/>
          <w:szCs w:val="22"/>
          <w:lang w:val="fr-FR" w:eastAsia="pt-BR"/>
        </w:rPr>
        <w:t xml:space="preserve"> musique ainsi que tous ceux qui prennent part à la création et à l</w:t>
      </w:r>
      <w:r w:rsidR="00F252A7" w:rsidRPr="00E6783F">
        <w:rPr>
          <w:rFonts w:eastAsia="Times New Roman"/>
          <w:bCs/>
          <w:szCs w:val="22"/>
          <w:lang w:val="fr-FR" w:eastAsia="pt-BR"/>
        </w:rPr>
        <w:t>’</w:t>
      </w:r>
      <w:r w:rsidRPr="00E6783F">
        <w:rPr>
          <w:rFonts w:eastAsia="Times New Roman"/>
          <w:bCs/>
          <w:szCs w:val="22"/>
          <w:lang w:val="fr-FR" w:eastAsia="pt-BR"/>
        </w:rPr>
        <w:t>exécution d</w:t>
      </w:r>
      <w:r w:rsidR="00F252A7" w:rsidRPr="00E6783F">
        <w:rPr>
          <w:rFonts w:eastAsia="Times New Roman"/>
          <w:bCs/>
          <w:szCs w:val="22"/>
          <w:lang w:val="fr-FR" w:eastAsia="pt-BR"/>
        </w:rPr>
        <w:t>’œuvre</w:t>
      </w:r>
      <w:r w:rsidRPr="00E6783F">
        <w:rPr>
          <w:rFonts w:eastAsia="Times New Roman"/>
          <w:bCs/>
          <w:szCs w:val="22"/>
          <w:lang w:val="fr-FR" w:eastAsia="pt-BR"/>
        </w:rPr>
        <w:t>s musicales doivent donc être reconnus à leur juste vale</w:t>
      </w:r>
      <w:r w:rsidR="00E06E81" w:rsidRPr="00E6783F">
        <w:rPr>
          <w:rFonts w:eastAsia="Times New Roman"/>
          <w:bCs/>
          <w:szCs w:val="22"/>
          <w:lang w:val="fr-FR" w:eastAsia="pt-BR"/>
        </w:rPr>
        <w:t>ur.  Au</w:t>
      </w:r>
      <w:r w:rsidRPr="00E6783F">
        <w:rPr>
          <w:rFonts w:eastAsia="Times New Roman"/>
          <w:bCs/>
          <w:szCs w:val="22"/>
          <w:lang w:val="fr-FR" w:eastAsia="pt-BR"/>
        </w:rPr>
        <w:t xml:space="preserve"> cours de l</w:t>
      </w:r>
      <w:r w:rsidR="00F252A7" w:rsidRPr="00E6783F">
        <w:rPr>
          <w:rFonts w:eastAsia="Times New Roman"/>
          <w:bCs/>
          <w:szCs w:val="22"/>
          <w:lang w:val="fr-FR" w:eastAsia="pt-BR"/>
        </w:rPr>
        <w:t>’</w:t>
      </w:r>
      <w:r w:rsidRPr="00E6783F">
        <w:rPr>
          <w:rFonts w:eastAsia="Times New Roman"/>
          <w:bCs/>
          <w:szCs w:val="22"/>
          <w:lang w:val="fr-FR" w:eastAsia="pt-BR"/>
        </w:rPr>
        <w:t>année qui vient de s</w:t>
      </w:r>
      <w:r w:rsidR="00F252A7" w:rsidRPr="00E6783F">
        <w:rPr>
          <w:rFonts w:eastAsia="Times New Roman"/>
          <w:bCs/>
          <w:szCs w:val="22"/>
          <w:lang w:val="fr-FR" w:eastAsia="pt-BR"/>
        </w:rPr>
        <w:t>’</w:t>
      </w:r>
      <w:r w:rsidRPr="00E6783F">
        <w:rPr>
          <w:rFonts w:eastAsia="Times New Roman"/>
          <w:bCs/>
          <w:szCs w:val="22"/>
          <w:lang w:val="fr-FR" w:eastAsia="pt-BR"/>
        </w:rPr>
        <w:t xml:space="preserve">écouler, la communauté artistique a exprimé clairement son mécontentement à ce sujet; </w:t>
      </w:r>
      <w:r w:rsidR="00E14572" w:rsidRPr="00E6783F">
        <w:rPr>
          <w:rFonts w:eastAsia="Times New Roman"/>
          <w:bCs/>
          <w:szCs w:val="22"/>
          <w:lang w:val="fr-FR" w:eastAsia="pt-BR"/>
        </w:rPr>
        <w:t xml:space="preserve"> </w:t>
      </w:r>
      <w:r w:rsidRPr="00E6783F">
        <w:rPr>
          <w:rFonts w:eastAsia="Times New Roman"/>
          <w:bCs/>
          <w:szCs w:val="22"/>
          <w:lang w:val="fr-FR" w:eastAsia="pt-BR"/>
        </w:rPr>
        <w:t>de plus en plus de voix s</w:t>
      </w:r>
      <w:r w:rsidR="00F252A7" w:rsidRPr="00E6783F">
        <w:rPr>
          <w:rFonts w:eastAsia="Times New Roman"/>
          <w:bCs/>
          <w:szCs w:val="22"/>
          <w:lang w:val="fr-FR" w:eastAsia="pt-BR"/>
        </w:rPr>
        <w:t>’</w:t>
      </w:r>
      <w:r w:rsidRPr="00E6783F">
        <w:rPr>
          <w:rFonts w:eastAsia="Times New Roman"/>
          <w:bCs/>
          <w:szCs w:val="22"/>
          <w:lang w:val="fr-FR" w:eastAsia="pt-BR"/>
        </w:rPr>
        <w:t>élèvent pour réclamer une rémunération plus juste des artistes pour l</w:t>
      </w:r>
      <w:r w:rsidR="00F252A7" w:rsidRPr="00E6783F">
        <w:rPr>
          <w:rFonts w:eastAsia="Times New Roman"/>
          <w:bCs/>
          <w:szCs w:val="22"/>
          <w:lang w:val="fr-FR" w:eastAsia="pt-BR"/>
        </w:rPr>
        <w:t>’</w:t>
      </w:r>
      <w:r w:rsidRPr="00E6783F">
        <w:rPr>
          <w:rFonts w:eastAsia="Times New Roman"/>
          <w:bCs/>
          <w:szCs w:val="22"/>
          <w:lang w:val="fr-FR" w:eastAsia="pt-BR"/>
        </w:rPr>
        <w:t>utilisation dans l</w:t>
      </w:r>
      <w:r w:rsidR="00F252A7" w:rsidRPr="00E6783F">
        <w:rPr>
          <w:rFonts w:eastAsia="Times New Roman"/>
          <w:bCs/>
          <w:szCs w:val="22"/>
          <w:lang w:val="fr-FR" w:eastAsia="pt-BR"/>
        </w:rPr>
        <w:t>’</w:t>
      </w:r>
      <w:r w:rsidRPr="00E6783F">
        <w:rPr>
          <w:rFonts w:eastAsia="Times New Roman"/>
          <w:bCs/>
          <w:szCs w:val="22"/>
          <w:lang w:val="fr-FR" w:eastAsia="pt-BR"/>
        </w:rPr>
        <w:t>environnement numérique d</w:t>
      </w:r>
      <w:r w:rsidR="00F252A7" w:rsidRPr="00E6783F">
        <w:rPr>
          <w:rFonts w:eastAsia="Times New Roman"/>
          <w:bCs/>
          <w:szCs w:val="22"/>
          <w:lang w:val="fr-FR" w:eastAsia="pt-BR"/>
        </w:rPr>
        <w:t>’œuvre</w:t>
      </w:r>
      <w:r w:rsidRPr="00E6783F">
        <w:rPr>
          <w:rFonts w:eastAsia="Times New Roman"/>
          <w:bCs/>
          <w:szCs w:val="22"/>
          <w:lang w:val="fr-FR" w:eastAsia="pt-BR"/>
        </w:rPr>
        <w:t>s musicales, notamment à l</w:t>
      </w:r>
      <w:r w:rsidR="00F252A7" w:rsidRPr="00E6783F">
        <w:rPr>
          <w:rFonts w:eastAsia="Times New Roman"/>
          <w:bCs/>
          <w:szCs w:val="22"/>
          <w:lang w:val="fr-FR" w:eastAsia="pt-BR"/>
        </w:rPr>
        <w:t>’</w:t>
      </w:r>
      <w:r w:rsidRPr="00E6783F">
        <w:rPr>
          <w:rFonts w:eastAsia="Times New Roman"/>
          <w:bCs/>
          <w:szCs w:val="22"/>
          <w:lang w:val="fr-FR" w:eastAsia="pt-BR"/>
        </w:rPr>
        <w:t>occasion de la Journée mondiale de la propriété intellectuelle et d</w:t>
      </w:r>
      <w:r w:rsidR="00F252A7" w:rsidRPr="00E6783F">
        <w:rPr>
          <w:rFonts w:eastAsia="Times New Roman"/>
          <w:bCs/>
          <w:szCs w:val="22"/>
          <w:lang w:val="fr-FR" w:eastAsia="pt-BR"/>
        </w:rPr>
        <w:t>’</w:t>
      </w:r>
      <w:r w:rsidRPr="00E6783F">
        <w:rPr>
          <w:rFonts w:eastAsia="Times New Roman"/>
          <w:bCs/>
          <w:szCs w:val="22"/>
          <w:lang w:val="fr-FR" w:eastAsia="pt-BR"/>
        </w:rPr>
        <w:t>autres événements organisés en marge des réunions</w:t>
      </w:r>
      <w:r w:rsidR="00F252A7" w:rsidRPr="00E6783F">
        <w:rPr>
          <w:rFonts w:eastAsia="Times New Roman"/>
          <w:bCs/>
          <w:szCs w:val="22"/>
          <w:lang w:val="fr-FR" w:eastAsia="pt-BR"/>
        </w:rPr>
        <w:t xml:space="preserve"> du SCC</w:t>
      </w:r>
      <w:r w:rsidRPr="00E6783F">
        <w:rPr>
          <w:rFonts w:eastAsia="Times New Roman"/>
          <w:bCs/>
          <w:szCs w:val="22"/>
          <w:lang w:val="fr-FR" w:eastAsia="pt-BR"/>
        </w:rPr>
        <w:t>R.</w:t>
      </w:r>
    </w:p>
    <w:p w:rsidR="00566D81" w:rsidRPr="00E6783F" w:rsidRDefault="00E06E81" w:rsidP="00E6783F">
      <w:pPr>
        <w:spacing w:after="200"/>
        <w:rPr>
          <w:rFonts w:eastAsia="Times New Roman"/>
          <w:b/>
          <w:szCs w:val="22"/>
          <w:lang w:val="fr-FR" w:eastAsia="pt-BR"/>
        </w:rPr>
      </w:pPr>
      <w:r w:rsidRPr="00E6783F">
        <w:rPr>
          <w:rFonts w:eastAsia="Times New Roman"/>
          <w:b/>
          <w:szCs w:val="22"/>
          <w:lang w:val="fr-FR" w:eastAsia="pt-BR"/>
        </w:rPr>
        <w:t>III</w:t>
      </w:r>
      <w:r w:rsidR="00181587" w:rsidRPr="00E6783F">
        <w:rPr>
          <w:rFonts w:eastAsia="Times New Roman"/>
          <w:b/>
          <w:szCs w:val="22"/>
          <w:lang w:val="fr-FR" w:eastAsia="pt-BR"/>
        </w:rPr>
        <w:t>.</w:t>
      </w:r>
      <w:r w:rsidR="00181587" w:rsidRPr="00E6783F">
        <w:rPr>
          <w:rFonts w:eastAsia="Times New Roman"/>
          <w:b/>
          <w:szCs w:val="22"/>
          <w:lang w:val="fr-FR" w:eastAsia="pt-BR"/>
        </w:rPr>
        <w:tab/>
      </w:r>
      <w:r w:rsidRPr="00E6783F">
        <w:rPr>
          <w:rFonts w:eastAsia="Times New Roman"/>
          <w:b/>
          <w:szCs w:val="22"/>
          <w:lang w:val="fr-FR" w:eastAsia="pt-BR"/>
        </w:rPr>
        <w:t>Él</w:t>
      </w:r>
      <w:r w:rsidR="00566D81" w:rsidRPr="00E6783F">
        <w:rPr>
          <w:rFonts w:eastAsia="Times New Roman"/>
          <w:b/>
          <w:szCs w:val="22"/>
          <w:lang w:val="fr-FR" w:eastAsia="pt-BR"/>
        </w:rPr>
        <w:t>éments fondamentaux</w:t>
      </w:r>
    </w:p>
    <w:p w:rsidR="00F252A7" w:rsidRPr="00E6783F" w:rsidRDefault="00566D81" w:rsidP="00E6783F">
      <w:pPr>
        <w:spacing w:after="200"/>
        <w:rPr>
          <w:rFonts w:eastAsia="Times New Roman"/>
          <w:szCs w:val="22"/>
          <w:lang w:val="fr-FR" w:eastAsia="pt-BR"/>
        </w:rPr>
      </w:pPr>
      <w:r w:rsidRPr="00E6783F">
        <w:rPr>
          <w:rFonts w:eastAsia="Times New Roman"/>
          <w:szCs w:val="22"/>
          <w:lang w:val="fr-FR" w:eastAsia="pt-BR"/>
        </w:rPr>
        <w:t>Le respect de la législation sur le droit d</w:t>
      </w:r>
      <w:r w:rsidR="00F252A7" w:rsidRPr="00E6783F">
        <w:rPr>
          <w:rFonts w:eastAsia="Times New Roman"/>
          <w:szCs w:val="22"/>
          <w:lang w:val="fr-FR" w:eastAsia="pt-BR"/>
        </w:rPr>
        <w:t>’</w:t>
      </w:r>
      <w:r w:rsidRPr="00E6783F">
        <w:rPr>
          <w:rFonts w:eastAsia="Times New Roman"/>
          <w:szCs w:val="22"/>
          <w:lang w:val="fr-FR" w:eastAsia="pt-BR"/>
        </w:rPr>
        <w:t>auteur dans l</w:t>
      </w:r>
      <w:r w:rsidR="00F252A7" w:rsidRPr="00E6783F">
        <w:rPr>
          <w:rFonts w:eastAsia="Times New Roman"/>
          <w:szCs w:val="22"/>
          <w:lang w:val="fr-FR" w:eastAsia="pt-BR"/>
        </w:rPr>
        <w:t>’</w:t>
      </w:r>
      <w:r w:rsidRPr="00E6783F">
        <w:rPr>
          <w:rFonts w:eastAsia="Times New Roman"/>
          <w:szCs w:val="22"/>
          <w:lang w:val="fr-FR" w:eastAsia="pt-BR"/>
        </w:rPr>
        <w:t>environnement numérique recouvre différentes questions au sujet desquelles les créateurs et interprètes ou exécutants dans le monde entier ont émis des plaint</w:t>
      </w:r>
      <w:r w:rsidR="00E06E81" w:rsidRPr="00E6783F">
        <w:rPr>
          <w:rFonts w:eastAsia="Times New Roman"/>
          <w:szCs w:val="22"/>
          <w:lang w:val="fr-FR" w:eastAsia="pt-BR"/>
        </w:rPr>
        <w:t xml:space="preserve">es.  À </w:t>
      </w:r>
      <w:r w:rsidRPr="00E6783F">
        <w:rPr>
          <w:rFonts w:eastAsia="Times New Roman"/>
          <w:szCs w:val="22"/>
          <w:lang w:val="fr-FR" w:eastAsia="pt-BR"/>
        </w:rPr>
        <w:t>cet égard, la faible rémunération issue des services numériques est l</w:t>
      </w:r>
      <w:r w:rsidR="00F252A7" w:rsidRPr="00E6783F">
        <w:rPr>
          <w:rFonts w:eastAsia="Times New Roman"/>
          <w:szCs w:val="22"/>
          <w:lang w:val="fr-FR" w:eastAsia="pt-BR"/>
        </w:rPr>
        <w:t>’</w:t>
      </w:r>
      <w:r w:rsidRPr="00E6783F">
        <w:rPr>
          <w:rFonts w:eastAsia="Times New Roman"/>
          <w:szCs w:val="22"/>
          <w:lang w:val="fr-FR" w:eastAsia="pt-BR"/>
        </w:rPr>
        <w:t>un des problèmes les plus fréquemment mentionn</w:t>
      </w:r>
      <w:r w:rsidR="00E06E81" w:rsidRPr="00E6783F">
        <w:rPr>
          <w:rFonts w:eastAsia="Times New Roman"/>
          <w:szCs w:val="22"/>
          <w:lang w:val="fr-FR" w:eastAsia="pt-BR"/>
        </w:rPr>
        <w:t>és.  De</w:t>
      </w:r>
      <w:r w:rsidRPr="00E6783F">
        <w:rPr>
          <w:rFonts w:eastAsia="Times New Roman"/>
          <w:szCs w:val="22"/>
          <w:lang w:val="fr-FR" w:eastAsia="pt-BR"/>
        </w:rPr>
        <w:t xml:space="preserve"> nombreux compositeurs et artistes protestent contre la faible rétribution qu</w:t>
      </w:r>
      <w:r w:rsidR="00F252A7" w:rsidRPr="00E6783F">
        <w:rPr>
          <w:rFonts w:eastAsia="Times New Roman"/>
          <w:szCs w:val="22"/>
          <w:lang w:val="fr-FR" w:eastAsia="pt-BR"/>
        </w:rPr>
        <w:t>’</w:t>
      </w:r>
      <w:r w:rsidRPr="00E6783F">
        <w:rPr>
          <w:rFonts w:eastAsia="Times New Roman"/>
          <w:szCs w:val="22"/>
          <w:lang w:val="fr-FR" w:eastAsia="pt-BR"/>
        </w:rPr>
        <w:t xml:space="preserve">ils perçoivent des </w:t>
      </w:r>
      <w:r w:rsidR="00E14572" w:rsidRPr="00E6783F">
        <w:rPr>
          <w:rFonts w:eastAsia="Times New Roman"/>
          <w:szCs w:val="22"/>
          <w:lang w:val="fr-FR" w:eastAsia="pt-BR"/>
        </w:rPr>
        <w:t>plates</w:t>
      </w:r>
      <w:r w:rsidR="00F5100B" w:rsidRPr="00E6783F">
        <w:rPr>
          <w:rFonts w:eastAsia="Times New Roman"/>
          <w:szCs w:val="22"/>
          <w:lang w:val="fr-FR" w:eastAsia="pt-BR"/>
        </w:rPr>
        <w:noBreakHyphen/>
      </w:r>
      <w:r w:rsidR="00E14572" w:rsidRPr="00E6783F">
        <w:rPr>
          <w:rFonts w:eastAsia="Times New Roman"/>
          <w:szCs w:val="22"/>
          <w:lang w:val="fr-FR" w:eastAsia="pt-BR"/>
        </w:rPr>
        <w:t>formes</w:t>
      </w:r>
      <w:r w:rsidRPr="00E6783F">
        <w:rPr>
          <w:rFonts w:eastAsia="Times New Roman"/>
          <w:szCs w:val="22"/>
          <w:lang w:val="fr-FR" w:eastAsia="pt-BR"/>
        </w:rPr>
        <w:t xml:space="preserve"> numériques, et en particulier des </w:t>
      </w:r>
      <w:r w:rsidR="00E14572" w:rsidRPr="00E6783F">
        <w:rPr>
          <w:rFonts w:eastAsia="Times New Roman"/>
          <w:szCs w:val="22"/>
          <w:lang w:val="fr-FR" w:eastAsia="pt-BR"/>
        </w:rPr>
        <w:t>plates</w:t>
      </w:r>
      <w:r w:rsidR="00F5100B" w:rsidRPr="00E6783F">
        <w:rPr>
          <w:rFonts w:eastAsia="Times New Roman"/>
          <w:szCs w:val="22"/>
          <w:lang w:val="fr-FR" w:eastAsia="pt-BR"/>
        </w:rPr>
        <w:noBreakHyphen/>
      </w:r>
      <w:r w:rsidR="00E14572" w:rsidRPr="00E6783F">
        <w:rPr>
          <w:rFonts w:eastAsia="Times New Roman"/>
          <w:szCs w:val="22"/>
          <w:lang w:val="fr-FR" w:eastAsia="pt-BR"/>
        </w:rPr>
        <w:t>formes</w:t>
      </w:r>
      <w:r w:rsidRPr="00E6783F">
        <w:rPr>
          <w:rFonts w:eastAsia="Times New Roman"/>
          <w:szCs w:val="22"/>
          <w:lang w:val="fr-FR" w:eastAsia="pt-BR"/>
        </w:rPr>
        <w:t xml:space="preserve"> utilisant la technologie de diffusion en conti</w:t>
      </w:r>
      <w:r w:rsidR="00E06E81" w:rsidRPr="00E6783F">
        <w:rPr>
          <w:rFonts w:eastAsia="Times New Roman"/>
          <w:szCs w:val="22"/>
          <w:lang w:val="fr-FR" w:eastAsia="pt-BR"/>
        </w:rPr>
        <w:t>nu.  Le</w:t>
      </w:r>
      <w:r w:rsidR="00181587" w:rsidRPr="00E6783F">
        <w:rPr>
          <w:rFonts w:eastAsia="Times New Roman"/>
          <w:szCs w:val="22"/>
          <w:lang w:val="fr-FR" w:eastAsia="pt-BR"/>
        </w:rPr>
        <w:t xml:space="preserve"> musicien Jason </w:t>
      </w:r>
      <w:proofErr w:type="spellStart"/>
      <w:r w:rsidRPr="00E6783F">
        <w:rPr>
          <w:rFonts w:eastAsia="Times New Roman"/>
          <w:szCs w:val="22"/>
          <w:lang w:val="fr-FR" w:eastAsia="pt-BR"/>
        </w:rPr>
        <w:t>Isbell</w:t>
      </w:r>
      <w:proofErr w:type="spellEnd"/>
      <w:r w:rsidRPr="00E6783F">
        <w:rPr>
          <w:rFonts w:eastAsia="Times New Roman"/>
          <w:szCs w:val="22"/>
          <w:lang w:val="fr-FR" w:eastAsia="pt-BR"/>
        </w:rPr>
        <w:t xml:space="preserve"> a déclaré un jour que la diffusion en continu sur le </w:t>
      </w:r>
      <w:r w:rsidR="00E14572" w:rsidRPr="00E6783F">
        <w:rPr>
          <w:rFonts w:eastAsia="Times New Roman"/>
          <w:szCs w:val="22"/>
          <w:lang w:val="fr-FR" w:eastAsia="pt-BR"/>
        </w:rPr>
        <w:t>Web</w:t>
      </w:r>
      <w:r w:rsidRPr="00E6783F">
        <w:rPr>
          <w:rFonts w:eastAsia="Times New Roman"/>
          <w:szCs w:val="22"/>
          <w:lang w:val="fr-FR" w:eastAsia="pt-BR"/>
        </w:rPr>
        <w:t xml:space="preserve"> ne constituait qu</w:t>
      </w:r>
      <w:r w:rsidR="00F252A7" w:rsidRPr="00E6783F">
        <w:rPr>
          <w:rFonts w:eastAsia="Times New Roman"/>
          <w:szCs w:val="22"/>
          <w:lang w:val="fr-FR" w:eastAsia="pt-BR"/>
        </w:rPr>
        <w:t>’</w:t>
      </w:r>
      <w:r w:rsidRPr="00E6783F">
        <w:rPr>
          <w:rFonts w:eastAsia="Times New Roman"/>
          <w:szCs w:val="22"/>
          <w:lang w:val="fr-FR" w:eastAsia="pt-BR"/>
        </w:rPr>
        <w:t>une source de revenu négligeab</w:t>
      </w:r>
      <w:r w:rsidR="00E06E81" w:rsidRPr="00E6783F">
        <w:rPr>
          <w:rFonts w:eastAsia="Times New Roman"/>
          <w:szCs w:val="22"/>
          <w:lang w:val="fr-FR" w:eastAsia="pt-BR"/>
        </w:rPr>
        <w:t>le.  De</w:t>
      </w:r>
      <w:r w:rsidR="007B3CE0" w:rsidRPr="00E6783F">
        <w:rPr>
          <w:rFonts w:eastAsia="Times New Roman"/>
          <w:szCs w:val="22"/>
          <w:lang w:val="fr-FR" w:eastAsia="pt-BR"/>
        </w:rPr>
        <w:t xml:space="preserve"> même, la chanteuse Taylor </w:t>
      </w:r>
      <w:r w:rsidRPr="00E6783F">
        <w:rPr>
          <w:rFonts w:eastAsia="Times New Roman"/>
          <w:szCs w:val="22"/>
          <w:lang w:val="fr-FR" w:eastAsia="pt-BR"/>
        </w:rPr>
        <w:t>Swift a fait retirer tous ses titres d</w:t>
      </w:r>
      <w:r w:rsidR="00F252A7" w:rsidRPr="00E6783F">
        <w:rPr>
          <w:rFonts w:eastAsia="Times New Roman"/>
          <w:szCs w:val="22"/>
          <w:lang w:val="fr-FR" w:eastAsia="pt-BR"/>
        </w:rPr>
        <w:t>’</w:t>
      </w:r>
      <w:r w:rsidRPr="00E6783F">
        <w:rPr>
          <w:rFonts w:eastAsia="Times New Roman"/>
          <w:szCs w:val="22"/>
          <w:lang w:val="fr-FR" w:eastAsia="pt-BR"/>
        </w:rPr>
        <w:t>un service de diffusion numérique et a critiqué le fonctionnement d</w:t>
      </w:r>
      <w:r w:rsidR="00F252A7" w:rsidRPr="00E6783F">
        <w:rPr>
          <w:rFonts w:eastAsia="Times New Roman"/>
          <w:szCs w:val="22"/>
          <w:lang w:val="fr-FR" w:eastAsia="pt-BR"/>
        </w:rPr>
        <w:t>’</w:t>
      </w:r>
      <w:r w:rsidRPr="00E6783F">
        <w:rPr>
          <w:rFonts w:eastAsia="Times New Roman"/>
          <w:szCs w:val="22"/>
          <w:lang w:val="fr-FR" w:eastAsia="pt-BR"/>
        </w:rPr>
        <w:t>un autre service de diffusion de musique en continu qu</w:t>
      </w:r>
      <w:r w:rsidR="00F252A7" w:rsidRPr="00E6783F">
        <w:rPr>
          <w:rFonts w:eastAsia="Times New Roman"/>
          <w:szCs w:val="22"/>
          <w:lang w:val="fr-FR" w:eastAsia="pt-BR"/>
        </w:rPr>
        <w:t>’</w:t>
      </w:r>
      <w:r w:rsidRPr="00E6783F">
        <w:rPr>
          <w:rFonts w:eastAsia="Times New Roman"/>
          <w:szCs w:val="22"/>
          <w:lang w:val="fr-FR" w:eastAsia="pt-BR"/>
        </w:rPr>
        <w:t>une grande entreprise s</w:t>
      </w:r>
      <w:r w:rsidR="00F252A7" w:rsidRPr="00E6783F">
        <w:rPr>
          <w:rFonts w:eastAsia="Times New Roman"/>
          <w:szCs w:val="22"/>
          <w:lang w:val="fr-FR" w:eastAsia="pt-BR"/>
        </w:rPr>
        <w:t>’</w:t>
      </w:r>
      <w:r w:rsidRPr="00E6783F">
        <w:rPr>
          <w:rFonts w:eastAsia="Times New Roman"/>
          <w:szCs w:val="22"/>
          <w:lang w:val="fr-FR" w:eastAsia="pt-BR"/>
        </w:rPr>
        <w:t>apprêtait à lancer sans rétribuer les créateurs et les artistes interprètes au cours du mois d</w:t>
      </w:r>
      <w:r w:rsidR="00F252A7" w:rsidRPr="00E6783F">
        <w:rPr>
          <w:rFonts w:eastAsia="Times New Roman"/>
          <w:szCs w:val="22"/>
          <w:lang w:val="fr-FR" w:eastAsia="pt-BR"/>
        </w:rPr>
        <w:t>’</w:t>
      </w:r>
      <w:r w:rsidRPr="00E6783F">
        <w:rPr>
          <w:rFonts w:eastAsia="Times New Roman"/>
          <w:szCs w:val="22"/>
          <w:lang w:val="fr-FR" w:eastAsia="pt-BR"/>
        </w:rPr>
        <w:t>essai.</w:t>
      </w:r>
    </w:p>
    <w:p w:rsidR="00566D81" w:rsidRPr="00E6783F" w:rsidRDefault="00566D81" w:rsidP="00E6783F">
      <w:pPr>
        <w:spacing w:after="200"/>
        <w:rPr>
          <w:rFonts w:eastAsia="Times New Roman"/>
          <w:szCs w:val="22"/>
          <w:lang w:val="fr-FR" w:eastAsia="pt-BR"/>
        </w:rPr>
      </w:pPr>
      <w:r w:rsidRPr="00E6783F">
        <w:rPr>
          <w:rFonts w:eastAsia="Times New Roman"/>
          <w:szCs w:val="22"/>
          <w:shd w:val="clear" w:color="auto" w:fill="FFFFFF"/>
          <w:lang w:val="fr-FR" w:eastAsia="pt-BR"/>
        </w:rPr>
        <w:t>Ce mécontentement s</w:t>
      </w:r>
      <w:r w:rsidR="00F252A7" w:rsidRPr="00E6783F">
        <w:rPr>
          <w:rFonts w:eastAsia="Times New Roman"/>
          <w:szCs w:val="22"/>
          <w:shd w:val="clear" w:color="auto" w:fill="FFFFFF"/>
          <w:lang w:val="fr-FR" w:eastAsia="pt-BR"/>
        </w:rPr>
        <w:t>’</w:t>
      </w:r>
      <w:r w:rsidRPr="00E6783F">
        <w:rPr>
          <w:rFonts w:eastAsia="Times New Roman"/>
          <w:szCs w:val="22"/>
          <w:shd w:val="clear" w:color="auto" w:fill="FFFFFF"/>
          <w:lang w:val="fr-FR" w:eastAsia="pt-BR"/>
        </w:rPr>
        <w:t>explique par l</w:t>
      </w:r>
      <w:r w:rsidR="00F252A7" w:rsidRPr="00E6783F">
        <w:rPr>
          <w:rFonts w:eastAsia="Times New Roman"/>
          <w:szCs w:val="22"/>
          <w:shd w:val="clear" w:color="auto" w:fill="FFFFFF"/>
          <w:lang w:val="fr-FR" w:eastAsia="pt-BR"/>
        </w:rPr>
        <w:t>’</w:t>
      </w:r>
      <w:r w:rsidRPr="00E6783F">
        <w:rPr>
          <w:rFonts w:eastAsia="Times New Roman"/>
          <w:szCs w:val="22"/>
          <w:shd w:val="clear" w:color="auto" w:fill="FFFFFF"/>
          <w:lang w:val="fr-FR" w:eastAsia="pt-BR"/>
        </w:rPr>
        <w:t>impression générale que les recettes des services numériques ne reviennent pas aux compositeurs et aux artistes interprètes, en particulier ceux qui ne sont pas sous le feu des projecteu</w:t>
      </w:r>
      <w:r w:rsidR="00E06E81" w:rsidRPr="00E6783F">
        <w:rPr>
          <w:rFonts w:eastAsia="Times New Roman"/>
          <w:szCs w:val="22"/>
          <w:shd w:val="clear" w:color="auto" w:fill="FFFFFF"/>
          <w:lang w:val="fr-FR" w:eastAsia="pt-BR"/>
        </w:rPr>
        <w:t>rs.  Le</w:t>
      </w:r>
      <w:r w:rsidRPr="00E6783F">
        <w:rPr>
          <w:rFonts w:eastAsia="Times New Roman"/>
          <w:szCs w:val="22"/>
          <w:shd w:val="clear" w:color="auto" w:fill="FFFFFF"/>
          <w:lang w:val="fr-FR" w:eastAsia="pt-BR"/>
        </w:rPr>
        <w:t xml:space="preserve"> fait que la diffusion en continu semble être l</w:t>
      </w:r>
      <w:r w:rsidR="00F252A7" w:rsidRPr="00E6783F">
        <w:rPr>
          <w:rFonts w:eastAsia="Times New Roman"/>
          <w:szCs w:val="22"/>
          <w:shd w:val="clear" w:color="auto" w:fill="FFFFFF"/>
          <w:lang w:val="fr-FR" w:eastAsia="pt-BR"/>
        </w:rPr>
        <w:t>’</w:t>
      </w:r>
      <w:r w:rsidRPr="00E6783F">
        <w:rPr>
          <w:rFonts w:eastAsia="Times New Roman"/>
          <w:szCs w:val="22"/>
          <w:shd w:val="clear" w:color="auto" w:fill="FFFFFF"/>
          <w:lang w:val="fr-FR" w:eastAsia="pt-BR"/>
        </w:rPr>
        <w:t>avenir de la consommation de musique n</w:t>
      </w:r>
      <w:r w:rsidR="00F252A7" w:rsidRPr="00E6783F">
        <w:rPr>
          <w:rFonts w:eastAsia="Times New Roman"/>
          <w:szCs w:val="22"/>
          <w:shd w:val="clear" w:color="auto" w:fill="FFFFFF"/>
          <w:lang w:val="fr-FR" w:eastAsia="pt-BR"/>
        </w:rPr>
        <w:t>’</w:t>
      </w:r>
      <w:r w:rsidRPr="00E6783F">
        <w:rPr>
          <w:rFonts w:eastAsia="Times New Roman"/>
          <w:szCs w:val="22"/>
          <w:shd w:val="clear" w:color="auto" w:fill="FFFFFF"/>
          <w:lang w:val="fr-FR" w:eastAsia="pt-BR"/>
        </w:rPr>
        <w:t>a rien d</w:t>
      </w:r>
      <w:r w:rsidR="00F252A7" w:rsidRPr="00E6783F">
        <w:rPr>
          <w:rFonts w:eastAsia="Times New Roman"/>
          <w:szCs w:val="22"/>
          <w:shd w:val="clear" w:color="auto" w:fill="FFFFFF"/>
          <w:lang w:val="fr-FR" w:eastAsia="pt-BR"/>
        </w:rPr>
        <w:t>’</w:t>
      </w:r>
      <w:r w:rsidRPr="00E6783F">
        <w:rPr>
          <w:rFonts w:eastAsia="Times New Roman"/>
          <w:szCs w:val="22"/>
          <w:shd w:val="clear" w:color="auto" w:fill="FFFFFF"/>
          <w:lang w:val="fr-FR" w:eastAsia="pt-BR"/>
        </w:rPr>
        <w:t>étonna</w:t>
      </w:r>
      <w:r w:rsidR="00E06E81" w:rsidRPr="00E6783F">
        <w:rPr>
          <w:rFonts w:eastAsia="Times New Roman"/>
          <w:szCs w:val="22"/>
          <w:shd w:val="clear" w:color="auto" w:fill="FFFFFF"/>
          <w:lang w:val="fr-FR" w:eastAsia="pt-BR"/>
        </w:rPr>
        <w:t xml:space="preserve">nt.  </w:t>
      </w:r>
      <w:r w:rsidR="00E06E81" w:rsidRPr="00E6783F">
        <w:rPr>
          <w:rFonts w:eastAsia="Times New Roman"/>
          <w:szCs w:val="22"/>
          <w:lang w:val="fr-FR" w:eastAsia="pt-BR"/>
        </w:rPr>
        <w:t>To</w:t>
      </w:r>
      <w:r w:rsidRPr="00E6783F">
        <w:rPr>
          <w:rFonts w:eastAsia="Times New Roman"/>
          <w:szCs w:val="22"/>
          <w:lang w:val="fr-FR" w:eastAsia="pt-BR"/>
        </w:rPr>
        <w:t xml:space="preserve">utefois, comme le musicien </w:t>
      </w:r>
      <w:r w:rsidR="009F27E9" w:rsidRPr="00E6783F">
        <w:rPr>
          <w:rFonts w:eastAsia="Times New Roman"/>
          <w:szCs w:val="22"/>
          <w:lang w:val="fr-FR" w:eastAsia="pt-BR"/>
        </w:rPr>
        <w:t>David </w:t>
      </w:r>
      <w:r w:rsidRPr="00E6783F">
        <w:rPr>
          <w:rFonts w:eastAsia="Times New Roman"/>
          <w:szCs w:val="22"/>
          <w:lang w:val="fr-FR" w:eastAsia="pt-BR"/>
        </w:rPr>
        <w:t>Byrne l</w:t>
      </w:r>
      <w:r w:rsidR="00F252A7" w:rsidRPr="00E6783F">
        <w:rPr>
          <w:rFonts w:eastAsia="Times New Roman"/>
          <w:szCs w:val="22"/>
          <w:lang w:val="fr-FR" w:eastAsia="pt-BR"/>
        </w:rPr>
        <w:t>’</w:t>
      </w:r>
      <w:r w:rsidRPr="00E6783F">
        <w:rPr>
          <w:rFonts w:eastAsia="Times New Roman"/>
          <w:szCs w:val="22"/>
          <w:lang w:val="fr-FR" w:eastAsia="pt-BR"/>
        </w:rPr>
        <w:t>a expliqué</w:t>
      </w:r>
      <w:r w:rsidRPr="00E6783F">
        <w:rPr>
          <w:rStyle w:val="FootnoteReference"/>
          <w:rFonts w:eastAsia="Times New Roman"/>
          <w:szCs w:val="22"/>
          <w:lang w:val="fr-FR" w:eastAsia="pt-BR"/>
        </w:rPr>
        <w:footnoteReference w:id="3"/>
      </w:r>
      <w:r w:rsidRPr="00E6783F">
        <w:rPr>
          <w:rFonts w:eastAsia="Times New Roman"/>
          <w:szCs w:val="22"/>
          <w:lang w:val="fr-FR" w:eastAsia="pt-BR"/>
        </w:rPr>
        <w:t xml:space="preserve">, </w:t>
      </w:r>
      <w:r w:rsidR="00E14572" w:rsidRPr="00E6783F">
        <w:rPr>
          <w:rFonts w:eastAsia="Times New Roman"/>
          <w:szCs w:val="22"/>
          <w:lang w:val="fr-FR" w:eastAsia="pt-BR"/>
        </w:rPr>
        <w:t>“</w:t>
      </w:r>
      <w:r w:rsidRPr="00E6783F">
        <w:rPr>
          <w:rFonts w:eastAsia="Times New Roman"/>
          <w:szCs w:val="22"/>
          <w:lang w:val="fr-FR" w:eastAsia="pt-BR"/>
        </w:rPr>
        <w:t>la rétribution que ces services reversent aux artistes pour chaque diffusion est dérisoire;</w:t>
      </w:r>
      <w:r w:rsidR="00E14572" w:rsidRPr="00E6783F">
        <w:rPr>
          <w:rFonts w:eastAsia="Times New Roman"/>
          <w:szCs w:val="22"/>
          <w:lang w:val="fr-FR" w:eastAsia="pt-BR"/>
        </w:rPr>
        <w:t xml:space="preserve"> </w:t>
      </w:r>
      <w:r w:rsidRPr="00E6783F">
        <w:rPr>
          <w:rFonts w:eastAsia="Times New Roman"/>
          <w:szCs w:val="22"/>
          <w:lang w:val="fr-FR" w:eastAsia="pt-BR"/>
        </w:rPr>
        <w:t xml:space="preserve"> les entreprises concernées considèrent que si suffisamment d</w:t>
      </w:r>
      <w:r w:rsidR="00F252A7" w:rsidRPr="00E6783F">
        <w:rPr>
          <w:rFonts w:eastAsia="Times New Roman"/>
          <w:szCs w:val="22"/>
          <w:lang w:val="fr-FR" w:eastAsia="pt-BR"/>
        </w:rPr>
        <w:t>’</w:t>
      </w:r>
      <w:r w:rsidRPr="00E6783F">
        <w:rPr>
          <w:rFonts w:eastAsia="Times New Roman"/>
          <w:szCs w:val="22"/>
          <w:lang w:val="fr-FR" w:eastAsia="pt-BR"/>
        </w:rPr>
        <w:t>utilisateurs utilisent les services en question, ces sommes dérisoires, accumulées, finiront par constituer un montant acceptable</w:t>
      </w:r>
      <w:r w:rsidR="00E14572" w:rsidRPr="00E6783F">
        <w:rPr>
          <w:rFonts w:eastAsia="Times New Roman"/>
          <w:szCs w:val="22"/>
          <w:lang w:val="fr-FR" w:eastAsia="pt-BR"/>
        </w:rPr>
        <w:t xml:space="preserve">”.  </w:t>
      </w:r>
      <w:r w:rsidRPr="00E6783F">
        <w:rPr>
          <w:rFonts w:eastAsia="Times New Roman"/>
          <w:szCs w:val="22"/>
          <w:lang w:val="fr-FR" w:eastAsia="pt-BR"/>
        </w:rPr>
        <w:t>Toutefois, selon lui, il est plus qu</w:t>
      </w:r>
      <w:r w:rsidR="00F252A7" w:rsidRPr="00E6783F">
        <w:rPr>
          <w:rFonts w:eastAsia="Times New Roman"/>
          <w:szCs w:val="22"/>
          <w:lang w:val="fr-FR" w:eastAsia="pt-BR"/>
        </w:rPr>
        <w:t>’</w:t>
      </w:r>
      <w:r w:rsidRPr="00E6783F">
        <w:rPr>
          <w:rFonts w:eastAsia="Times New Roman"/>
          <w:szCs w:val="22"/>
          <w:lang w:val="fr-FR" w:eastAsia="pt-BR"/>
        </w:rPr>
        <w:t>évident que si à l</w:t>
      </w:r>
      <w:r w:rsidR="00F252A7" w:rsidRPr="00E6783F">
        <w:rPr>
          <w:rFonts w:eastAsia="Times New Roman"/>
          <w:szCs w:val="22"/>
          <w:lang w:val="fr-FR" w:eastAsia="pt-BR"/>
        </w:rPr>
        <w:t>’</w:t>
      </w:r>
      <w:r w:rsidRPr="00E6783F">
        <w:rPr>
          <w:rFonts w:eastAsia="Times New Roman"/>
          <w:szCs w:val="22"/>
          <w:lang w:val="fr-FR" w:eastAsia="pt-BR"/>
        </w:rPr>
        <w:t xml:space="preserve">avenir </w:t>
      </w:r>
      <w:r w:rsidR="00E14572" w:rsidRPr="00E6783F">
        <w:rPr>
          <w:rFonts w:eastAsia="Times New Roman"/>
          <w:szCs w:val="22"/>
          <w:lang w:val="fr-FR" w:eastAsia="pt-BR"/>
        </w:rPr>
        <w:t>“</w:t>
      </w:r>
      <w:r w:rsidRPr="00E6783F">
        <w:rPr>
          <w:rFonts w:eastAsia="Times New Roman"/>
          <w:szCs w:val="22"/>
          <w:lang w:val="fr-FR" w:eastAsia="pt-BR"/>
        </w:rPr>
        <w:t>les artistes doivent compter presque exclusivement sur les recettes issues de ces services, ils seront au chômage dans l</w:t>
      </w:r>
      <w:r w:rsidR="00F252A7" w:rsidRPr="00E6783F">
        <w:rPr>
          <w:rFonts w:eastAsia="Times New Roman"/>
          <w:szCs w:val="22"/>
          <w:lang w:val="fr-FR" w:eastAsia="pt-BR"/>
        </w:rPr>
        <w:t>’</w:t>
      </w:r>
      <w:r w:rsidRPr="00E6783F">
        <w:rPr>
          <w:rFonts w:eastAsia="Times New Roman"/>
          <w:szCs w:val="22"/>
          <w:lang w:val="fr-FR" w:eastAsia="pt-BR"/>
        </w:rPr>
        <w:t>année</w:t>
      </w:r>
      <w:r w:rsidR="00E14572" w:rsidRPr="00E6783F">
        <w:rPr>
          <w:rFonts w:eastAsia="Times New Roman"/>
          <w:szCs w:val="22"/>
          <w:lang w:val="fr-FR" w:eastAsia="pt-BR"/>
        </w:rPr>
        <w:t>”</w:t>
      </w:r>
      <w:r w:rsidRPr="00E6783F">
        <w:rPr>
          <w:rFonts w:eastAsia="Times New Roman"/>
          <w:szCs w:val="22"/>
          <w:lang w:val="fr-FR" w:eastAsia="pt-BR"/>
        </w:rPr>
        <w:t xml:space="preserve"> car </w:t>
      </w:r>
      <w:r w:rsidR="00E14572" w:rsidRPr="00E6783F">
        <w:rPr>
          <w:rFonts w:eastAsia="Times New Roman"/>
          <w:szCs w:val="22"/>
          <w:lang w:val="fr-FR" w:eastAsia="pt-BR"/>
        </w:rPr>
        <w:t>“</w:t>
      </w:r>
      <w:r w:rsidRPr="00E6783F">
        <w:rPr>
          <w:rFonts w:eastAsia="Times New Roman"/>
          <w:szCs w:val="22"/>
          <w:lang w:val="fr-FR" w:eastAsia="pt-BR"/>
        </w:rPr>
        <w:t>le modèle dans son ensemble ne permet pas de soutenir le travail créatif dans la durée</w:t>
      </w:r>
      <w:r w:rsidR="00E14572" w:rsidRPr="00E6783F">
        <w:rPr>
          <w:rFonts w:eastAsia="Times New Roman"/>
          <w:szCs w:val="22"/>
          <w:lang w:val="fr-FR" w:eastAsia="pt-BR"/>
        </w:rPr>
        <w:t xml:space="preserve">”. </w:t>
      </w:r>
      <w:r w:rsidRPr="00E6783F">
        <w:rPr>
          <w:lang w:val="fr-FR"/>
        </w:rPr>
        <w:t xml:space="preserve"> </w:t>
      </w:r>
      <w:r w:rsidRPr="00E6783F">
        <w:rPr>
          <w:rFonts w:eastAsia="Times New Roman"/>
          <w:szCs w:val="22"/>
          <w:lang w:val="fr-FR" w:eastAsia="pt-BR"/>
        </w:rPr>
        <w:t>D</w:t>
      </w:r>
      <w:r w:rsidR="00F252A7" w:rsidRPr="00E6783F">
        <w:rPr>
          <w:rFonts w:eastAsia="Times New Roman"/>
          <w:szCs w:val="22"/>
          <w:lang w:val="fr-FR" w:eastAsia="pt-BR"/>
        </w:rPr>
        <w:t>’</w:t>
      </w:r>
      <w:r w:rsidR="007B3CE0" w:rsidRPr="00E6783F">
        <w:rPr>
          <w:rFonts w:eastAsia="Times New Roman"/>
          <w:szCs w:val="22"/>
          <w:lang w:val="fr-FR" w:eastAsia="pt-BR"/>
        </w:rPr>
        <w:t>après David </w:t>
      </w:r>
      <w:r w:rsidRPr="00E6783F">
        <w:rPr>
          <w:rFonts w:eastAsia="Times New Roman"/>
          <w:szCs w:val="22"/>
          <w:lang w:val="fr-FR" w:eastAsia="pt-BR"/>
        </w:rPr>
        <w:t xml:space="preserve">Byrne </w:t>
      </w:r>
      <w:r w:rsidR="00E14572" w:rsidRPr="00E6783F">
        <w:rPr>
          <w:rFonts w:eastAsia="Times New Roman"/>
          <w:szCs w:val="22"/>
          <w:lang w:val="fr-FR" w:eastAsia="pt-BR"/>
        </w:rPr>
        <w:t>“</w:t>
      </w:r>
      <w:r w:rsidRPr="00E6783F">
        <w:rPr>
          <w:rFonts w:eastAsia="Times New Roman"/>
          <w:szCs w:val="22"/>
          <w:lang w:val="fr-FR" w:eastAsia="pt-BR"/>
        </w:rPr>
        <w:t>ce n</w:t>
      </w:r>
      <w:r w:rsidR="00F252A7" w:rsidRPr="00E6783F">
        <w:rPr>
          <w:rFonts w:eastAsia="Times New Roman"/>
          <w:szCs w:val="22"/>
          <w:lang w:val="fr-FR" w:eastAsia="pt-BR"/>
        </w:rPr>
        <w:t>’</w:t>
      </w:r>
      <w:r w:rsidRPr="00E6783F">
        <w:rPr>
          <w:rFonts w:eastAsia="Times New Roman"/>
          <w:szCs w:val="22"/>
          <w:lang w:val="fr-FR" w:eastAsia="pt-BR"/>
        </w:rPr>
        <w:t>est pas tant la survie d</w:t>
      </w:r>
      <w:r w:rsidR="00F252A7" w:rsidRPr="00E6783F">
        <w:rPr>
          <w:rFonts w:eastAsia="Times New Roman"/>
          <w:szCs w:val="22"/>
          <w:lang w:val="fr-FR" w:eastAsia="pt-BR"/>
        </w:rPr>
        <w:t>’</w:t>
      </w:r>
      <w:r w:rsidRPr="00E6783F">
        <w:rPr>
          <w:rFonts w:eastAsia="Times New Roman"/>
          <w:szCs w:val="22"/>
          <w:lang w:val="fr-FR" w:eastAsia="pt-BR"/>
        </w:rPr>
        <w:t xml:space="preserve">artistes comme </w:t>
      </w:r>
      <w:r w:rsidR="00181587" w:rsidRPr="00E6783F">
        <w:rPr>
          <w:rFonts w:eastAsia="Times New Roman"/>
          <w:szCs w:val="22"/>
          <w:lang w:val="fr-FR" w:eastAsia="pt-BR"/>
        </w:rPr>
        <w:t>[lui]</w:t>
      </w:r>
      <w:r w:rsidRPr="00E6783F">
        <w:rPr>
          <w:rFonts w:eastAsia="Times New Roman"/>
          <w:szCs w:val="22"/>
          <w:lang w:val="fr-FR" w:eastAsia="pt-BR"/>
        </w:rPr>
        <w:t xml:space="preserve"> qui est en jeu que celle de jeunes artistes et de</w:t>
      </w:r>
      <w:r w:rsidR="00181587" w:rsidRPr="00E6783F">
        <w:rPr>
          <w:rFonts w:eastAsia="Times New Roman"/>
          <w:szCs w:val="22"/>
          <w:lang w:val="fr-FR" w:eastAsia="pt-BR"/>
        </w:rPr>
        <w:t xml:space="preserve"> ceux</w:t>
      </w:r>
      <w:r w:rsidRPr="00E6783F">
        <w:rPr>
          <w:rFonts w:eastAsia="Times New Roman"/>
          <w:szCs w:val="22"/>
          <w:lang w:val="fr-FR" w:eastAsia="pt-BR"/>
        </w:rPr>
        <w:t xml:space="preserve"> qui n</w:t>
      </w:r>
      <w:r w:rsidR="00F252A7" w:rsidRPr="00E6783F">
        <w:rPr>
          <w:rFonts w:eastAsia="Times New Roman"/>
          <w:szCs w:val="22"/>
          <w:lang w:val="fr-FR" w:eastAsia="pt-BR"/>
        </w:rPr>
        <w:t>’</w:t>
      </w:r>
      <w:r w:rsidRPr="00E6783F">
        <w:rPr>
          <w:rFonts w:eastAsia="Times New Roman"/>
          <w:szCs w:val="22"/>
          <w:lang w:val="fr-FR" w:eastAsia="pt-BR"/>
        </w:rPr>
        <w:t>ont que quelques chansons à leur répertoire</w:t>
      </w:r>
      <w:r w:rsidR="00E14572" w:rsidRPr="00E6783F">
        <w:rPr>
          <w:rFonts w:eastAsia="Times New Roman"/>
          <w:szCs w:val="22"/>
          <w:lang w:val="fr-FR" w:eastAsia="pt-BR"/>
        </w:rPr>
        <w:t>”</w:t>
      </w:r>
      <w:r w:rsidRPr="00E6783F">
        <w:rPr>
          <w:rFonts w:eastAsia="Times New Roman"/>
          <w:szCs w:val="22"/>
          <w:lang w:val="fr-FR" w:eastAsia="pt-BR"/>
        </w:rPr>
        <w:t>.</w:t>
      </w:r>
    </w:p>
    <w:p w:rsidR="00F252A7" w:rsidRPr="00E6783F" w:rsidRDefault="00566D81" w:rsidP="00E6783F">
      <w:pPr>
        <w:spacing w:after="200"/>
        <w:rPr>
          <w:rFonts w:eastAsia="Times New Roman"/>
          <w:szCs w:val="22"/>
          <w:lang w:val="fr-FR" w:eastAsia="pt-BR"/>
        </w:rPr>
      </w:pPr>
      <w:r w:rsidRPr="00E6783F">
        <w:rPr>
          <w:rFonts w:eastAsia="Times New Roman"/>
          <w:szCs w:val="22"/>
          <w:lang w:val="fr-FR" w:eastAsia="pt-BR"/>
        </w:rPr>
        <w:t>Bien que le problème de la rémunération soit plus visible dans l</w:t>
      </w:r>
      <w:r w:rsidR="00F252A7" w:rsidRPr="00E6783F">
        <w:rPr>
          <w:rFonts w:eastAsia="Times New Roman"/>
          <w:szCs w:val="22"/>
          <w:lang w:val="fr-FR" w:eastAsia="pt-BR"/>
        </w:rPr>
        <w:t>’</w:t>
      </w:r>
      <w:r w:rsidRPr="00E6783F">
        <w:rPr>
          <w:rFonts w:eastAsia="Times New Roman"/>
          <w:szCs w:val="22"/>
          <w:lang w:val="fr-FR" w:eastAsia="pt-BR"/>
        </w:rPr>
        <w:t>industrie musicale, raison pour laquelle une place aussi importante est accordée à ce secteur dans le présent document, la situation est encore plus préoccupante dans d</w:t>
      </w:r>
      <w:r w:rsidR="00F252A7" w:rsidRPr="00E6783F">
        <w:rPr>
          <w:rFonts w:eastAsia="Times New Roman"/>
          <w:szCs w:val="22"/>
          <w:lang w:val="fr-FR" w:eastAsia="pt-BR"/>
        </w:rPr>
        <w:t>’</w:t>
      </w:r>
      <w:r w:rsidRPr="00E6783F">
        <w:rPr>
          <w:rFonts w:eastAsia="Times New Roman"/>
          <w:szCs w:val="22"/>
          <w:lang w:val="fr-FR" w:eastAsia="pt-BR"/>
        </w:rPr>
        <w:t>autres domaines du fait de l</w:t>
      </w:r>
      <w:r w:rsidR="00F252A7" w:rsidRPr="00E6783F">
        <w:rPr>
          <w:rFonts w:eastAsia="Times New Roman"/>
          <w:szCs w:val="22"/>
          <w:lang w:val="fr-FR" w:eastAsia="pt-BR"/>
        </w:rPr>
        <w:t>’</w:t>
      </w:r>
      <w:r w:rsidRPr="00E6783F">
        <w:rPr>
          <w:rFonts w:eastAsia="Times New Roman"/>
          <w:szCs w:val="22"/>
          <w:lang w:val="fr-FR" w:eastAsia="pt-BR"/>
        </w:rPr>
        <w:t>absence quasi totale de rémunération pour l</w:t>
      </w:r>
      <w:r w:rsidR="00F252A7" w:rsidRPr="00E6783F">
        <w:rPr>
          <w:rFonts w:eastAsia="Times New Roman"/>
          <w:szCs w:val="22"/>
          <w:lang w:val="fr-FR" w:eastAsia="pt-BR"/>
        </w:rPr>
        <w:t>’</w:t>
      </w:r>
      <w:r w:rsidRPr="00E6783F">
        <w:rPr>
          <w:rFonts w:eastAsia="Times New Roman"/>
          <w:szCs w:val="22"/>
          <w:lang w:val="fr-FR" w:eastAsia="pt-BR"/>
        </w:rPr>
        <w:t>utilisation dans l</w:t>
      </w:r>
      <w:r w:rsidR="00F252A7" w:rsidRPr="00E6783F">
        <w:rPr>
          <w:rFonts w:eastAsia="Times New Roman"/>
          <w:szCs w:val="22"/>
          <w:lang w:val="fr-FR" w:eastAsia="pt-BR"/>
        </w:rPr>
        <w:t>’</w:t>
      </w:r>
      <w:r w:rsidRPr="00E6783F">
        <w:rPr>
          <w:rFonts w:eastAsia="Times New Roman"/>
          <w:szCs w:val="22"/>
          <w:lang w:val="fr-FR" w:eastAsia="pt-BR"/>
        </w:rPr>
        <w:t>environnement numérique d</w:t>
      </w:r>
      <w:r w:rsidR="00F252A7" w:rsidRPr="00E6783F">
        <w:rPr>
          <w:rFonts w:eastAsia="Times New Roman"/>
          <w:szCs w:val="22"/>
          <w:lang w:val="fr-FR" w:eastAsia="pt-BR"/>
        </w:rPr>
        <w:t>’</w:t>
      </w:r>
      <w:r w:rsidRPr="00E6783F">
        <w:rPr>
          <w:rFonts w:eastAsia="Times New Roman"/>
          <w:szCs w:val="22"/>
          <w:lang w:val="fr-FR" w:eastAsia="pt-BR"/>
        </w:rPr>
        <w:t>œuvres protégées par la propriété intellectuel</w:t>
      </w:r>
      <w:r w:rsidR="00E06E81" w:rsidRPr="00E6783F">
        <w:rPr>
          <w:rFonts w:eastAsia="Times New Roman"/>
          <w:szCs w:val="22"/>
          <w:lang w:val="fr-FR" w:eastAsia="pt-BR"/>
        </w:rPr>
        <w:t>le.  Si</w:t>
      </w:r>
      <w:r w:rsidRPr="00E6783F">
        <w:rPr>
          <w:rFonts w:eastAsia="Times New Roman"/>
          <w:szCs w:val="22"/>
          <w:lang w:val="fr-FR" w:eastAsia="pt-BR"/>
        </w:rPr>
        <w:t xml:space="preserve"> la sous</w:t>
      </w:r>
      <w:r w:rsidR="00F5100B" w:rsidRPr="00E6783F">
        <w:rPr>
          <w:rFonts w:eastAsia="Times New Roman"/>
          <w:szCs w:val="22"/>
          <w:lang w:val="fr-FR" w:eastAsia="pt-BR"/>
        </w:rPr>
        <w:noBreakHyphen/>
      </w:r>
      <w:r w:rsidRPr="00E6783F">
        <w:rPr>
          <w:rFonts w:eastAsia="Times New Roman"/>
          <w:szCs w:val="22"/>
          <w:lang w:val="fr-FR" w:eastAsia="pt-BR"/>
        </w:rPr>
        <w:t>rémunération des compositeurs et des artistes interprètes par rapport au nombre d</w:t>
      </w:r>
      <w:r w:rsidR="00F252A7" w:rsidRPr="00E6783F">
        <w:rPr>
          <w:rFonts w:eastAsia="Times New Roman"/>
          <w:szCs w:val="22"/>
          <w:lang w:val="fr-FR" w:eastAsia="pt-BR"/>
        </w:rPr>
        <w:t>’</w:t>
      </w:r>
      <w:r w:rsidRPr="00E6783F">
        <w:rPr>
          <w:rFonts w:eastAsia="Times New Roman"/>
          <w:szCs w:val="22"/>
          <w:lang w:val="fr-FR" w:eastAsia="pt-BR"/>
        </w:rPr>
        <w:t>exécutions de leurs œuvres est incontestable, le marché numérique est toujours dominé à l</w:t>
      </w:r>
      <w:r w:rsidR="00F252A7" w:rsidRPr="00E6783F">
        <w:rPr>
          <w:rFonts w:eastAsia="Times New Roman"/>
          <w:szCs w:val="22"/>
          <w:lang w:val="fr-FR" w:eastAsia="pt-BR"/>
        </w:rPr>
        <w:t>’</w:t>
      </w:r>
      <w:r w:rsidRPr="00E6783F">
        <w:rPr>
          <w:rFonts w:eastAsia="Times New Roman"/>
          <w:szCs w:val="22"/>
          <w:lang w:val="fr-FR" w:eastAsia="pt-BR"/>
        </w:rPr>
        <w:t>heure actuelle par l</w:t>
      </w:r>
      <w:r w:rsidR="00F252A7" w:rsidRPr="00E6783F">
        <w:rPr>
          <w:rFonts w:eastAsia="Times New Roman"/>
          <w:szCs w:val="22"/>
          <w:lang w:val="fr-FR" w:eastAsia="pt-BR"/>
        </w:rPr>
        <w:t>’</w:t>
      </w:r>
      <w:r w:rsidRPr="00E6783F">
        <w:rPr>
          <w:rFonts w:eastAsia="Times New Roman"/>
          <w:szCs w:val="22"/>
          <w:lang w:val="fr-FR" w:eastAsia="pt-BR"/>
        </w:rPr>
        <w:t>industrie musicale qui représente 99% des droits perçus dans le secteur numérique</w:t>
      </w:r>
      <w:r w:rsidRPr="00E6783F">
        <w:rPr>
          <w:rStyle w:val="FootnoteReference"/>
          <w:rFonts w:eastAsia="Times New Roman"/>
          <w:szCs w:val="22"/>
          <w:lang w:val="fr-FR" w:eastAsia="pt-BR"/>
        </w:rPr>
        <w:footnoteReference w:id="4"/>
      </w:r>
      <w:r w:rsidRPr="00E6783F">
        <w:rPr>
          <w:rFonts w:eastAsia="Times New Roman"/>
          <w:szCs w:val="22"/>
          <w:lang w:val="fr-FR" w:eastAsia="pt-BR"/>
        </w:rPr>
        <w:t>.</w:t>
      </w:r>
      <w:r w:rsidRPr="00E6783F">
        <w:rPr>
          <w:lang w:val="fr-FR"/>
        </w:rPr>
        <w:t xml:space="preserve"> </w:t>
      </w:r>
      <w:r w:rsidR="00E14572" w:rsidRPr="00E6783F">
        <w:rPr>
          <w:rFonts w:eastAsia="Times New Roman"/>
          <w:szCs w:val="22"/>
          <w:lang w:val="fr-FR" w:eastAsia="pt-BR"/>
        </w:rPr>
        <w:t xml:space="preserve"> </w:t>
      </w:r>
      <w:r w:rsidRPr="00E6783F">
        <w:rPr>
          <w:rFonts w:eastAsia="Times New Roman"/>
          <w:szCs w:val="22"/>
          <w:lang w:val="fr-FR" w:eastAsia="pt-BR"/>
        </w:rPr>
        <w:t>Aussi, il est juste de dire que les recettes susceptibles d</w:t>
      </w:r>
      <w:r w:rsidR="00F252A7" w:rsidRPr="00E6783F">
        <w:rPr>
          <w:rFonts w:eastAsia="Times New Roman"/>
          <w:szCs w:val="22"/>
          <w:lang w:val="fr-FR" w:eastAsia="pt-BR"/>
        </w:rPr>
        <w:t>’</w:t>
      </w:r>
      <w:r w:rsidRPr="00E6783F">
        <w:rPr>
          <w:rFonts w:eastAsia="Times New Roman"/>
          <w:szCs w:val="22"/>
          <w:lang w:val="fr-FR" w:eastAsia="pt-BR"/>
        </w:rPr>
        <w:t>être retirées de l</w:t>
      </w:r>
      <w:r w:rsidR="00F252A7" w:rsidRPr="00E6783F">
        <w:rPr>
          <w:rFonts w:eastAsia="Times New Roman"/>
          <w:szCs w:val="22"/>
          <w:lang w:val="fr-FR" w:eastAsia="pt-BR"/>
        </w:rPr>
        <w:t>’</w:t>
      </w:r>
      <w:r w:rsidRPr="00E6783F">
        <w:rPr>
          <w:rFonts w:eastAsia="Times New Roman"/>
          <w:szCs w:val="22"/>
          <w:lang w:val="fr-FR" w:eastAsia="pt-BR"/>
        </w:rPr>
        <w:t>environnement numérique ne constituent aucunement une source de revenus potentielle pour les créateurs œuvrant dans d</w:t>
      </w:r>
      <w:r w:rsidR="00F252A7" w:rsidRPr="00E6783F">
        <w:rPr>
          <w:rFonts w:eastAsia="Times New Roman"/>
          <w:szCs w:val="22"/>
          <w:lang w:val="fr-FR" w:eastAsia="pt-BR"/>
        </w:rPr>
        <w:t>’</w:t>
      </w:r>
      <w:r w:rsidRPr="00E6783F">
        <w:rPr>
          <w:rFonts w:eastAsia="Times New Roman"/>
          <w:szCs w:val="22"/>
          <w:lang w:val="fr-FR" w:eastAsia="pt-BR"/>
        </w:rPr>
        <w:t>autres domaines tels que l</w:t>
      </w:r>
      <w:r w:rsidR="00F252A7" w:rsidRPr="00E6783F">
        <w:rPr>
          <w:rFonts w:eastAsia="Times New Roman"/>
          <w:szCs w:val="22"/>
          <w:lang w:val="fr-FR" w:eastAsia="pt-BR"/>
        </w:rPr>
        <w:t>’</w:t>
      </w:r>
      <w:r w:rsidRPr="00E6783F">
        <w:rPr>
          <w:rFonts w:eastAsia="Times New Roman"/>
          <w:szCs w:val="22"/>
          <w:lang w:val="fr-FR" w:eastAsia="pt-BR"/>
        </w:rPr>
        <w:t>audiovisuel, la littérature et la photographie.</w:t>
      </w:r>
      <w:r w:rsidRPr="00E6783F">
        <w:rPr>
          <w:lang w:val="fr-FR"/>
        </w:rPr>
        <w:t xml:space="preserve">  </w:t>
      </w:r>
    </w:p>
    <w:p w:rsidR="00566D81" w:rsidRPr="00E6783F" w:rsidRDefault="00566D81" w:rsidP="00E6783F">
      <w:pPr>
        <w:spacing w:after="200"/>
        <w:rPr>
          <w:rFonts w:eastAsia="Times New Roman"/>
          <w:szCs w:val="22"/>
          <w:lang w:val="fr-FR" w:eastAsia="pt-BR"/>
        </w:rPr>
      </w:pPr>
      <w:r w:rsidRPr="00E6783F">
        <w:rPr>
          <w:rFonts w:eastAsia="Times New Roman"/>
          <w:szCs w:val="22"/>
          <w:lang w:val="fr-FR" w:eastAsia="pt-BR"/>
        </w:rPr>
        <w:t>La question du droit d</w:t>
      </w:r>
      <w:r w:rsidR="00F252A7" w:rsidRPr="00E6783F">
        <w:rPr>
          <w:rFonts w:eastAsia="Times New Roman"/>
          <w:szCs w:val="22"/>
          <w:lang w:val="fr-FR" w:eastAsia="pt-BR"/>
        </w:rPr>
        <w:t>’</w:t>
      </w:r>
      <w:r w:rsidRPr="00E6783F">
        <w:rPr>
          <w:rFonts w:eastAsia="Times New Roman"/>
          <w:szCs w:val="22"/>
          <w:lang w:val="fr-FR" w:eastAsia="pt-BR"/>
        </w:rPr>
        <w:t>auteur dans l</w:t>
      </w:r>
      <w:r w:rsidR="00F252A7" w:rsidRPr="00E6783F">
        <w:rPr>
          <w:rFonts w:eastAsia="Times New Roman"/>
          <w:szCs w:val="22"/>
          <w:lang w:val="fr-FR" w:eastAsia="pt-BR"/>
        </w:rPr>
        <w:t>’</w:t>
      </w:r>
      <w:r w:rsidRPr="00E6783F">
        <w:rPr>
          <w:rFonts w:eastAsia="Times New Roman"/>
          <w:szCs w:val="22"/>
          <w:lang w:val="fr-FR" w:eastAsia="pt-BR"/>
        </w:rPr>
        <w:t>environnement numérique est une question complexe qui appelle un dialogue multilatéral entre les gouvernements et les différents protagonistes concern</w:t>
      </w:r>
      <w:r w:rsidR="00E06E81" w:rsidRPr="00E6783F">
        <w:rPr>
          <w:rFonts w:eastAsia="Times New Roman"/>
          <w:szCs w:val="22"/>
          <w:lang w:val="fr-FR" w:eastAsia="pt-BR"/>
        </w:rPr>
        <w:t>és.  Il</w:t>
      </w:r>
      <w:r w:rsidRPr="00E6783F">
        <w:rPr>
          <w:rFonts w:eastAsia="Times New Roman"/>
          <w:szCs w:val="22"/>
          <w:lang w:val="fr-FR" w:eastAsia="pt-BR"/>
        </w:rPr>
        <w:t xml:space="preserve"> est nécessaire de parvenir à une solution issue d</w:t>
      </w:r>
      <w:r w:rsidR="00F252A7" w:rsidRPr="00E6783F">
        <w:rPr>
          <w:rFonts w:eastAsia="Times New Roman"/>
          <w:szCs w:val="22"/>
          <w:lang w:val="fr-FR" w:eastAsia="pt-BR"/>
        </w:rPr>
        <w:t>’</w:t>
      </w:r>
      <w:r w:rsidRPr="00E6783F">
        <w:rPr>
          <w:rFonts w:eastAsia="Times New Roman"/>
          <w:szCs w:val="22"/>
          <w:lang w:val="fr-FR" w:eastAsia="pt-BR"/>
        </w:rPr>
        <w:t>un consensus et qui englobe les nouveaux modèles commerciaux sans pour autant perdre de vue l</w:t>
      </w:r>
      <w:r w:rsidR="00F252A7" w:rsidRPr="00E6783F">
        <w:rPr>
          <w:rFonts w:eastAsia="Times New Roman"/>
          <w:szCs w:val="22"/>
          <w:lang w:val="fr-FR" w:eastAsia="pt-BR"/>
        </w:rPr>
        <w:t>’</w:t>
      </w:r>
      <w:r w:rsidRPr="00E6783F">
        <w:rPr>
          <w:rFonts w:eastAsia="Times New Roman"/>
          <w:szCs w:val="22"/>
          <w:lang w:val="fr-FR" w:eastAsia="pt-BR"/>
        </w:rPr>
        <w:t>équilibre devant être assuré entre les intérêts des titulaires de droits de prop</w:t>
      </w:r>
      <w:r w:rsidR="00A234A5" w:rsidRPr="00E6783F">
        <w:rPr>
          <w:rFonts w:eastAsia="Times New Roman"/>
          <w:szCs w:val="22"/>
          <w:lang w:val="fr-FR" w:eastAsia="pt-BR"/>
        </w:rPr>
        <w:t>riété intellectuelle et ceux d</w:t>
      </w:r>
      <w:r w:rsidRPr="00E6783F">
        <w:rPr>
          <w:rFonts w:eastAsia="Times New Roman"/>
          <w:szCs w:val="22"/>
          <w:lang w:val="fr-FR" w:eastAsia="pt-BR"/>
        </w:rPr>
        <w:t>es utilisateurs des biens intellectuels en question, de sorte qu</w:t>
      </w:r>
      <w:r w:rsidR="00F252A7" w:rsidRPr="00E6783F">
        <w:rPr>
          <w:rFonts w:eastAsia="Times New Roman"/>
          <w:szCs w:val="22"/>
          <w:lang w:val="fr-FR" w:eastAsia="pt-BR"/>
        </w:rPr>
        <w:t>’</w:t>
      </w:r>
      <w:r w:rsidRPr="00E6783F">
        <w:rPr>
          <w:rFonts w:eastAsia="Times New Roman"/>
          <w:szCs w:val="22"/>
          <w:lang w:val="fr-FR" w:eastAsia="pt-BR"/>
        </w:rPr>
        <w:t>un système de protection plus juste et plus efficace puisse être mis au point</w:t>
      </w:r>
      <w:r w:rsidR="00A234A5" w:rsidRPr="00E6783F">
        <w:rPr>
          <w:rFonts w:eastAsia="Times New Roman"/>
          <w:szCs w:val="22"/>
          <w:lang w:val="fr-FR" w:eastAsia="pt-BR"/>
        </w:rPr>
        <w:t xml:space="preserve"> dans l’environnement numérique</w:t>
      </w:r>
      <w:r w:rsidRPr="00E6783F">
        <w:rPr>
          <w:rFonts w:eastAsia="Times New Roman"/>
          <w:szCs w:val="22"/>
          <w:lang w:val="fr-FR" w:eastAsia="pt-BR"/>
        </w:rPr>
        <w:t>.</w:t>
      </w:r>
    </w:p>
    <w:p w:rsidR="00F252A7" w:rsidRPr="00E6783F" w:rsidRDefault="00566D81" w:rsidP="0038221F">
      <w:pPr>
        <w:numPr>
          <w:ilvl w:val="0"/>
          <w:numId w:val="8"/>
        </w:numPr>
        <w:spacing w:after="200"/>
        <w:ind w:left="0" w:firstLine="0"/>
        <w:contextualSpacing/>
        <w:rPr>
          <w:rFonts w:eastAsia="Times New Roman"/>
          <w:i/>
          <w:szCs w:val="22"/>
          <w:lang w:val="fr-FR" w:eastAsia="pt-BR"/>
        </w:rPr>
      </w:pPr>
      <w:r w:rsidRPr="00E6783F">
        <w:rPr>
          <w:rFonts w:eastAsia="Times New Roman"/>
          <w:i/>
          <w:szCs w:val="22"/>
          <w:lang w:val="fr-FR" w:eastAsia="pt-BR"/>
        </w:rPr>
        <w:t>Cadre juridique régissant les nouvelles formes d</w:t>
      </w:r>
      <w:r w:rsidR="00F252A7" w:rsidRPr="00E6783F">
        <w:rPr>
          <w:rFonts w:eastAsia="Times New Roman"/>
          <w:i/>
          <w:szCs w:val="22"/>
          <w:lang w:val="fr-FR" w:eastAsia="pt-BR"/>
        </w:rPr>
        <w:t>’</w:t>
      </w:r>
      <w:r w:rsidRPr="00E6783F">
        <w:rPr>
          <w:rFonts w:eastAsia="Times New Roman"/>
          <w:i/>
          <w:szCs w:val="22"/>
          <w:lang w:val="fr-FR" w:eastAsia="pt-BR"/>
        </w:rPr>
        <w:t>utilisation d</w:t>
      </w:r>
      <w:r w:rsidR="00F252A7" w:rsidRPr="00E6783F">
        <w:rPr>
          <w:rFonts w:eastAsia="Times New Roman"/>
          <w:i/>
          <w:szCs w:val="22"/>
          <w:lang w:val="fr-FR" w:eastAsia="pt-BR"/>
        </w:rPr>
        <w:t>’</w:t>
      </w:r>
      <w:r w:rsidRPr="00E6783F">
        <w:rPr>
          <w:rFonts w:eastAsia="Times New Roman"/>
          <w:i/>
          <w:szCs w:val="22"/>
          <w:lang w:val="fr-FR" w:eastAsia="pt-BR"/>
        </w:rPr>
        <w:t>œuvres intellectuelles</w:t>
      </w:r>
      <w:r w:rsidR="00A234A5" w:rsidRPr="00E6783F">
        <w:rPr>
          <w:rFonts w:eastAsia="Times New Roman"/>
          <w:i/>
          <w:szCs w:val="22"/>
          <w:lang w:val="fr-FR" w:eastAsia="pt-BR"/>
        </w:rPr>
        <w:t xml:space="preserve"> dans l’environnement numérique</w:t>
      </w:r>
    </w:p>
    <w:p w:rsidR="00566D81" w:rsidRPr="00E6783F" w:rsidRDefault="00566D81" w:rsidP="00E6783F">
      <w:pPr>
        <w:contextualSpacing/>
        <w:rPr>
          <w:rFonts w:eastAsia="Times New Roman"/>
          <w:szCs w:val="22"/>
          <w:lang w:val="fr-FR" w:eastAsia="pt-BR"/>
        </w:rPr>
      </w:pPr>
    </w:p>
    <w:p w:rsidR="00F252A7" w:rsidRPr="00E6783F" w:rsidRDefault="00566D81" w:rsidP="00E6783F">
      <w:pPr>
        <w:spacing w:after="200"/>
        <w:rPr>
          <w:rFonts w:eastAsia="Times New Roman"/>
          <w:szCs w:val="22"/>
          <w:lang w:val="fr-FR" w:eastAsia="pt-BR"/>
        </w:rPr>
      </w:pPr>
      <w:r w:rsidRPr="00E6783F">
        <w:rPr>
          <w:rFonts w:eastAsia="Times New Roman"/>
          <w:szCs w:val="22"/>
          <w:lang w:val="fr-FR" w:eastAsia="pt-BR"/>
        </w:rPr>
        <w:t>La solution définie en</w:t>
      </w:r>
      <w:r w:rsidR="00E14572" w:rsidRPr="00E6783F">
        <w:rPr>
          <w:rFonts w:eastAsia="Times New Roman"/>
          <w:szCs w:val="22"/>
          <w:lang w:val="fr-FR" w:eastAsia="pt-BR"/>
        </w:rPr>
        <w:t> </w:t>
      </w:r>
      <w:r w:rsidRPr="00E6783F">
        <w:rPr>
          <w:rFonts w:eastAsia="Times New Roman"/>
          <w:szCs w:val="22"/>
          <w:lang w:val="fr-FR" w:eastAsia="pt-BR"/>
        </w:rPr>
        <w:t>1996 lors de l</w:t>
      </w:r>
      <w:r w:rsidR="00F252A7" w:rsidRPr="00E6783F">
        <w:rPr>
          <w:rFonts w:eastAsia="Times New Roman"/>
          <w:szCs w:val="22"/>
          <w:lang w:val="fr-FR" w:eastAsia="pt-BR"/>
        </w:rPr>
        <w:t>’</w:t>
      </w:r>
      <w:r w:rsidRPr="00E6783F">
        <w:rPr>
          <w:rFonts w:eastAsia="Times New Roman"/>
          <w:szCs w:val="22"/>
          <w:lang w:val="fr-FR" w:eastAsia="pt-BR"/>
        </w:rPr>
        <w:t>adoption</w:t>
      </w:r>
      <w:r w:rsidR="00F252A7" w:rsidRPr="00E6783F">
        <w:rPr>
          <w:rFonts w:eastAsia="Times New Roman"/>
          <w:szCs w:val="22"/>
          <w:lang w:val="fr-FR" w:eastAsia="pt-BR"/>
        </w:rPr>
        <w:t xml:space="preserve"> du WCT</w:t>
      </w:r>
      <w:r w:rsidRPr="00E6783F">
        <w:rPr>
          <w:rFonts w:eastAsia="Times New Roman"/>
          <w:szCs w:val="22"/>
          <w:lang w:val="fr-FR" w:eastAsia="pt-BR"/>
        </w:rPr>
        <w:t xml:space="preserve"> et</w:t>
      </w:r>
      <w:r w:rsidR="00F252A7" w:rsidRPr="00E6783F">
        <w:rPr>
          <w:rFonts w:eastAsia="Times New Roman"/>
          <w:szCs w:val="22"/>
          <w:lang w:val="fr-FR" w:eastAsia="pt-BR"/>
        </w:rPr>
        <w:t xml:space="preserve"> du WPP</w:t>
      </w:r>
      <w:r w:rsidRPr="00E6783F">
        <w:rPr>
          <w:rFonts w:eastAsia="Times New Roman"/>
          <w:szCs w:val="22"/>
          <w:lang w:val="fr-FR" w:eastAsia="pt-BR"/>
        </w:rPr>
        <w:t>T, et qui est réitérée dans le Traité de Beijing, n</w:t>
      </w:r>
      <w:r w:rsidR="00F252A7" w:rsidRPr="00E6783F">
        <w:rPr>
          <w:rFonts w:eastAsia="Times New Roman"/>
          <w:szCs w:val="22"/>
          <w:lang w:val="fr-FR" w:eastAsia="pt-BR"/>
        </w:rPr>
        <w:t>’</w:t>
      </w:r>
      <w:r w:rsidRPr="00E6783F">
        <w:rPr>
          <w:rFonts w:eastAsia="Times New Roman"/>
          <w:szCs w:val="22"/>
          <w:lang w:val="fr-FR" w:eastAsia="pt-BR"/>
        </w:rPr>
        <w:t>est apparemment pas suffisante pour répondre aux questions soulevées par l</w:t>
      </w:r>
      <w:r w:rsidR="00F252A7" w:rsidRPr="00E6783F">
        <w:rPr>
          <w:rFonts w:eastAsia="Times New Roman"/>
          <w:szCs w:val="22"/>
          <w:lang w:val="fr-FR" w:eastAsia="pt-BR"/>
        </w:rPr>
        <w:t>’</w:t>
      </w:r>
      <w:r w:rsidRPr="00E6783F">
        <w:rPr>
          <w:rFonts w:eastAsia="Times New Roman"/>
          <w:szCs w:val="22"/>
          <w:lang w:val="fr-FR" w:eastAsia="pt-BR"/>
        </w:rPr>
        <w:t xml:space="preserve">évolution de la technique et les innovations florissantes </w:t>
      </w:r>
      <w:r w:rsidR="00181587" w:rsidRPr="00E6783F">
        <w:rPr>
          <w:rFonts w:eastAsia="Times New Roman"/>
          <w:szCs w:val="22"/>
          <w:lang w:val="fr-FR" w:eastAsia="pt-BR"/>
        </w:rPr>
        <w:t>à</w:t>
      </w:r>
      <w:r w:rsidRPr="00E6783F">
        <w:rPr>
          <w:rFonts w:eastAsia="Times New Roman"/>
          <w:szCs w:val="22"/>
          <w:lang w:val="fr-FR" w:eastAsia="pt-BR"/>
        </w:rPr>
        <w:t xml:space="preserve"> l</w:t>
      </w:r>
      <w:r w:rsidR="00F252A7" w:rsidRPr="00E6783F">
        <w:rPr>
          <w:rFonts w:eastAsia="Times New Roman"/>
          <w:szCs w:val="22"/>
          <w:lang w:val="fr-FR" w:eastAsia="pt-BR"/>
        </w:rPr>
        <w:t>’</w:t>
      </w:r>
      <w:r w:rsidRPr="00E6783F">
        <w:rPr>
          <w:rFonts w:eastAsia="Times New Roman"/>
          <w:szCs w:val="22"/>
          <w:lang w:val="fr-FR" w:eastAsia="pt-BR"/>
        </w:rPr>
        <w:t xml:space="preserve">ère </w:t>
      </w:r>
      <w:r w:rsidR="00181587" w:rsidRPr="00E6783F">
        <w:rPr>
          <w:rFonts w:eastAsia="Times New Roman"/>
          <w:szCs w:val="22"/>
          <w:lang w:val="fr-FR" w:eastAsia="pt-BR"/>
        </w:rPr>
        <w:t xml:space="preserve">du </w:t>
      </w:r>
      <w:r w:rsidRPr="00E6783F">
        <w:rPr>
          <w:rFonts w:eastAsia="Times New Roman"/>
          <w:szCs w:val="22"/>
          <w:lang w:val="fr-FR" w:eastAsia="pt-BR"/>
        </w:rPr>
        <w:t>numériq</w:t>
      </w:r>
      <w:r w:rsidR="00E06E81" w:rsidRPr="00E6783F">
        <w:rPr>
          <w:rFonts w:eastAsia="Times New Roman"/>
          <w:szCs w:val="22"/>
          <w:lang w:val="fr-FR" w:eastAsia="pt-BR"/>
        </w:rPr>
        <w:t>ue.  La</w:t>
      </w:r>
      <w:r w:rsidRPr="00E6783F">
        <w:rPr>
          <w:rFonts w:eastAsia="Times New Roman"/>
          <w:szCs w:val="22"/>
          <w:lang w:val="fr-FR" w:eastAsia="pt-BR"/>
        </w:rPr>
        <w:t xml:space="preserve"> qualification juridique de ces nouvelles utilisations d</w:t>
      </w:r>
      <w:r w:rsidR="00F252A7" w:rsidRPr="00E6783F">
        <w:rPr>
          <w:rFonts w:eastAsia="Times New Roman"/>
          <w:szCs w:val="22"/>
          <w:lang w:val="fr-FR" w:eastAsia="pt-BR"/>
        </w:rPr>
        <w:t>’</w:t>
      </w:r>
      <w:r w:rsidRPr="00E6783F">
        <w:rPr>
          <w:rFonts w:eastAsia="Times New Roman"/>
          <w:szCs w:val="22"/>
          <w:lang w:val="fr-FR" w:eastAsia="pt-BR"/>
        </w:rPr>
        <w:t>œuvres protégées dans l</w:t>
      </w:r>
      <w:r w:rsidR="00F252A7" w:rsidRPr="00E6783F">
        <w:rPr>
          <w:rFonts w:eastAsia="Times New Roman"/>
          <w:szCs w:val="22"/>
          <w:lang w:val="fr-FR" w:eastAsia="pt-BR"/>
        </w:rPr>
        <w:t>’</w:t>
      </w:r>
      <w:r w:rsidRPr="00E6783F">
        <w:rPr>
          <w:rFonts w:eastAsia="Times New Roman"/>
          <w:szCs w:val="22"/>
          <w:lang w:val="fr-FR" w:eastAsia="pt-BR"/>
        </w:rPr>
        <w:t>environnement numérique engendre un certain nombre de problèm</w:t>
      </w:r>
      <w:r w:rsidR="00E06E81" w:rsidRPr="00E6783F">
        <w:rPr>
          <w:rFonts w:eastAsia="Times New Roman"/>
          <w:szCs w:val="22"/>
          <w:lang w:val="fr-FR" w:eastAsia="pt-BR"/>
        </w:rPr>
        <w:t>es.  Le</w:t>
      </w:r>
      <w:r w:rsidRPr="00E6783F">
        <w:rPr>
          <w:rFonts w:eastAsia="Times New Roman"/>
          <w:szCs w:val="22"/>
          <w:lang w:val="fr-FR" w:eastAsia="pt-BR"/>
        </w:rPr>
        <w:t>s droits existants en matière d</w:t>
      </w:r>
      <w:r w:rsidR="00F252A7" w:rsidRPr="00E6783F">
        <w:rPr>
          <w:rFonts w:eastAsia="Times New Roman"/>
          <w:szCs w:val="22"/>
          <w:lang w:val="fr-FR" w:eastAsia="pt-BR"/>
        </w:rPr>
        <w:t>’</w:t>
      </w:r>
      <w:r w:rsidRPr="00E6783F">
        <w:rPr>
          <w:rFonts w:eastAsia="Times New Roman"/>
          <w:szCs w:val="22"/>
          <w:lang w:val="fr-FR" w:eastAsia="pt-BR"/>
        </w:rPr>
        <w:t>utilisation de biens intellectuels sont insuffisants puisque, à l</w:t>
      </w:r>
      <w:r w:rsidR="00F252A7" w:rsidRPr="00E6783F">
        <w:rPr>
          <w:rFonts w:eastAsia="Times New Roman"/>
          <w:szCs w:val="22"/>
          <w:lang w:val="fr-FR" w:eastAsia="pt-BR"/>
        </w:rPr>
        <w:t>’</w:t>
      </w:r>
      <w:r w:rsidRPr="00E6783F">
        <w:rPr>
          <w:rFonts w:eastAsia="Times New Roman"/>
          <w:szCs w:val="22"/>
          <w:lang w:val="fr-FR" w:eastAsia="pt-BR"/>
        </w:rPr>
        <w:t>exception du droit de mise à disposition, ils ont été pensés et conçus en tenant compte d</w:t>
      </w:r>
      <w:r w:rsidR="00F252A7" w:rsidRPr="00E6783F">
        <w:rPr>
          <w:rFonts w:eastAsia="Times New Roman"/>
          <w:szCs w:val="22"/>
          <w:lang w:val="fr-FR" w:eastAsia="pt-BR"/>
        </w:rPr>
        <w:t>’</w:t>
      </w:r>
      <w:r w:rsidRPr="00E6783F">
        <w:rPr>
          <w:rFonts w:eastAsia="Times New Roman"/>
          <w:szCs w:val="22"/>
          <w:lang w:val="fr-FR" w:eastAsia="pt-BR"/>
        </w:rPr>
        <w:t>une réalité dans laquelle l</w:t>
      </w:r>
      <w:r w:rsidR="00F252A7" w:rsidRPr="00E6783F">
        <w:rPr>
          <w:rFonts w:eastAsia="Times New Roman"/>
          <w:szCs w:val="22"/>
          <w:lang w:val="fr-FR" w:eastAsia="pt-BR"/>
        </w:rPr>
        <w:t>’</w:t>
      </w:r>
      <w:r w:rsidRPr="00E6783F">
        <w:rPr>
          <w:rFonts w:eastAsia="Times New Roman"/>
          <w:szCs w:val="22"/>
          <w:lang w:val="fr-FR" w:eastAsia="pt-BR"/>
        </w:rPr>
        <w:t>exploitation économique des biens intellectuels protégés se déroule dans un environnement physique.</w:t>
      </w:r>
    </w:p>
    <w:p w:rsidR="00F252A7" w:rsidRPr="00E6783F" w:rsidRDefault="00566D81" w:rsidP="00E6783F">
      <w:pPr>
        <w:spacing w:after="200"/>
        <w:rPr>
          <w:rFonts w:eastAsia="Times New Roman"/>
          <w:szCs w:val="22"/>
          <w:lang w:val="fr-FR" w:eastAsia="pt-BR"/>
        </w:rPr>
      </w:pPr>
      <w:r w:rsidRPr="00E6783F">
        <w:rPr>
          <w:rFonts w:eastAsia="Times New Roman"/>
          <w:szCs w:val="22"/>
          <w:lang w:val="fr-FR" w:eastAsia="pt-BR"/>
        </w:rPr>
        <w:t xml:space="preserve">À cet égard, bien que les </w:t>
      </w:r>
      <w:r w:rsidR="0038221F">
        <w:rPr>
          <w:rFonts w:eastAsia="Times New Roman"/>
          <w:szCs w:val="22"/>
          <w:lang w:val="fr-FR" w:eastAsia="pt-BR"/>
        </w:rPr>
        <w:t>contrat</w:t>
      </w:r>
      <w:r w:rsidRPr="00E6783F">
        <w:rPr>
          <w:rFonts w:eastAsia="Times New Roman"/>
          <w:szCs w:val="22"/>
          <w:lang w:val="fr-FR" w:eastAsia="pt-BR"/>
        </w:rPr>
        <w:t>s de licence sur le droit d</w:t>
      </w:r>
      <w:r w:rsidR="00F252A7" w:rsidRPr="00E6783F">
        <w:rPr>
          <w:rFonts w:eastAsia="Times New Roman"/>
          <w:szCs w:val="22"/>
          <w:lang w:val="fr-FR" w:eastAsia="pt-BR"/>
        </w:rPr>
        <w:t>’</w:t>
      </w:r>
      <w:r w:rsidRPr="00E6783F">
        <w:rPr>
          <w:rFonts w:eastAsia="Times New Roman"/>
          <w:szCs w:val="22"/>
          <w:lang w:val="fr-FR" w:eastAsia="pt-BR"/>
        </w:rPr>
        <w:t xml:space="preserve">auteur et les droits connexes offerts aux titulaires de droits par les </w:t>
      </w:r>
      <w:r w:rsidR="00E14572" w:rsidRPr="00E6783F">
        <w:rPr>
          <w:rFonts w:eastAsia="Times New Roman"/>
          <w:szCs w:val="22"/>
          <w:lang w:val="fr-FR" w:eastAsia="pt-BR"/>
        </w:rPr>
        <w:t>plates</w:t>
      </w:r>
      <w:r w:rsidR="00F5100B" w:rsidRPr="00E6783F">
        <w:rPr>
          <w:rFonts w:eastAsia="Times New Roman"/>
          <w:szCs w:val="22"/>
          <w:lang w:val="fr-FR" w:eastAsia="pt-BR"/>
        </w:rPr>
        <w:noBreakHyphen/>
      </w:r>
      <w:r w:rsidR="00E14572" w:rsidRPr="00E6783F">
        <w:rPr>
          <w:rFonts w:eastAsia="Times New Roman"/>
          <w:szCs w:val="22"/>
          <w:lang w:val="fr-FR" w:eastAsia="pt-BR"/>
        </w:rPr>
        <w:t>formes</w:t>
      </w:r>
      <w:r w:rsidRPr="00E6783F">
        <w:rPr>
          <w:rFonts w:eastAsia="Times New Roman"/>
          <w:szCs w:val="22"/>
          <w:lang w:val="fr-FR" w:eastAsia="pt-BR"/>
        </w:rPr>
        <w:t xml:space="preserve"> numériques fassent état du droit de mise à disposition, ils prévoient également d</w:t>
      </w:r>
      <w:r w:rsidR="00F252A7" w:rsidRPr="00E6783F">
        <w:rPr>
          <w:rFonts w:eastAsia="Times New Roman"/>
          <w:szCs w:val="22"/>
          <w:lang w:val="fr-FR" w:eastAsia="pt-BR"/>
        </w:rPr>
        <w:t>’</w:t>
      </w:r>
      <w:r w:rsidRPr="00E6783F">
        <w:rPr>
          <w:rFonts w:eastAsia="Times New Roman"/>
          <w:szCs w:val="22"/>
          <w:lang w:val="fr-FR" w:eastAsia="pt-BR"/>
        </w:rPr>
        <w:t xml:space="preserve">autres droits traditionnels, </w:t>
      </w:r>
      <w:r w:rsidR="00F252A7" w:rsidRPr="00E6783F">
        <w:rPr>
          <w:rFonts w:eastAsia="Times New Roman"/>
          <w:szCs w:val="22"/>
          <w:lang w:val="fr-FR" w:eastAsia="pt-BR"/>
        </w:rPr>
        <w:t>y compris</w:t>
      </w:r>
      <w:r w:rsidRPr="00E6783F">
        <w:rPr>
          <w:rFonts w:eastAsia="Times New Roman"/>
          <w:szCs w:val="22"/>
          <w:lang w:val="fr-FR" w:eastAsia="pt-BR"/>
        </w:rPr>
        <w:t xml:space="preserve"> le droit de reproduction, qui semble être le moins approprié pour répondre aux besoins liés à de nombreux services numériqu</w:t>
      </w:r>
      <w:r w:rsidR="00E06E81" w:rsidRPr="00E6783F">
        <w:rPr>
          <w:rFonts w:eastAsia="Times New Roman"/>
          <w:szCs w:val="22"/>
          <w:lang w:val="fr-FR" w:eastAsia="pt-BR"/>
        </w:rPr>
        <w:t>es.  Bi</w:t>
      </w:r>
      <w:r w:rsidRPr="00E6783F">
        <w:rPr>
          <w:rFonts w:eastAsia="Times New Roman"/>
          <w:szCs w:val="22"/>
          <w:lang w:val="fr-FR" w:eastAsia="pt-BR"/>
        </w:rPr>
        <w:t>en souvent, cela va à l</w:t>
      </w:r>
      <w:r w:rsidR="00F252A7" w:rsidRPr="00E6783F">
        <w:rPr>
          <w:rFonts w:eastAsia="Times New Roman"/>
          <w:szCs w:val="22"/>
          <w:lang w:val="fr-FR" w:eastAsia="pt-BR"/>
        </w:rPr>
        <w:t>’</w:t>
      </w:r>
      <w:r w:rsidRPr="00E6783F">
        <w:rPr>
          <w:rFonts w:eastAsia="Times New Roman"/>
          <w:szCs w:val="22"/>
          <w:lang w:val="fr-FR" w:eastAsia="pt-BR"/>
        </w:rPr>
        <w:t>encontre des intérêts des auteurs et des artistes interprètes ou exécutan</w:t>
      </w:r>
      <w:r w:rsidR="00E06E81" w:rsidRPr="00E6783F">
        <w:rPr>
          <w:rFonts w:eastAsia="Times New Roman"/>
          <w:szCs w:val="22"/>
          <w:lang w:val="fr-FR" w:eastAsia="pt-BR"/>
        </w:rPr>
        <w:t>ts.  Le</w:t>
      </w:r>
      <w:r w:rsidRPr="00E6783F">
        <w:rPr>
          <w:rFonts w:eastAsia="Times New Roman"/>
          <w:szCs w:val="22"/>
          <w:lang w:val="fr-FR" w:eastAsia="pt-BR"/>
        </w:rPr>
        <w:t>s difficultés liées au droit de reproduction dans l</w:t>
      </w:r>
      <w:r w:rsidR="00F252A7" w:rsidRPr="00E6783F">
        <w:rPr>
          <w:rFonts w:eastAsia="Times New Roman"/>
          <w:szCs w:val="22"/>
          <w:lang w:val="fr-FR" w:eastAsia="pt-BR"/>
        </w:rPr>
        <w:t>’</w:t>
      </w:r>
      <w:r w:rsidRPr="00E6783F">
        <w:rPr>
          <w:rFonts w:eastAsia="Times New Roman"/>
          <w:szCs w:val="22"/>
          <w:lang w:val="fr-FR" w:eastAsia="pt-BR"/>
        </w:rPr>
        <w:t xml:space="preserve">environnement numérique proviennent du concept de </w:t>
      </w:r>
      <w:r w:rsidR="00E14572" w:rsidRPr="00E6783F">
        <w:rPr>
          <w:rFonts w:eastAsia="Times New Roman"/>
          <w:szCs w:val="22"/>
          <w:lang w:val="fr-FR" w:eastAsia="pt-BR"/>
        </w:rPr>
        <w:t>“</w:t>
      </w:r>
      <w:r w:rsidRPr="00E6783F">
        <w:rPr>
          <w:rFonts w:eastAsia="Times New Roman"/>
          <w:szCs w:val="22"/>
          <w:lang w:val="fr-FR" w:eastAsia="pt-BR"/>
        </w:rPr>
        <w:t>reproduction accessoire</w:t>
      </w:r>
      <w:r w:rsidR="00E14572" w:rsidRPr="00E6783F">
        <w:rPr>
          <w:rFonts w:eastAsia="Times New Roman"/>
          <w:szCs w:val="22"/>
          <w:lang w:val="fr-FR" w:eastAsia="pt-BR"/>
        </w:rPr>
        <w:t>”</w:t>
      </w:r>
      <w:r w:rsidRPr="00E6783F">
        <w:rPr>
          <w:rFonts w:eastAsia="Times New Roman"/>
          <w:szCs w:val="22"/>
          <w:lang w:val="fr-FR" w:eastAsia="pt-BR"/>
        </w:rPr>
        <w:t>, qui désigne une reproduction temporaire visant uniquement à rendre l</w:t>
      </w:r>
      <w:r w:rsidR="00F252A7" w:rsidRPr="00E6783F">
        <w:rPr>
          <w:rFonts w:eastAsia="Times New Roman"/>
          <w:szCs w:val="22"/>
          <w:lang w:val="fr-FR" w:eastAsia="pt-BR"/>
        </w:rPr>
        <w:t>’</w:t>
      </w:r>
      <w:r w:rsidRPr="00E6783F">
        <w:rPr>
          <w:rFonts w:eastAsia="Times New Roman"/>
          <w:szCs w:val="22"/>
          <w:lang w:val="fr-FR" w:eastAsia="pt-BR"/>
        </w:rPr>
        <w:t>œuvre perceptib</w:t>
      </w:r>
      <w:r w:rsidR="00E06E81" w:rsidRPr="00E6783F">
        <w:rPr>
          <w:rFonts w:eastAsia="Times New Roman"/>
          <w:szCs w:val="22"/>
          <w:lang w:val="fr-FR" w:eastAsia="pt-BR"/>
        </w:rPr>
        <w:t>le.  Le</w:t>
      </w:r>
      <w:r w:rsidR="00A234A5" w:rsidRPr="00E6783F">
        <w:rPr>
          <w:rFonts w:eastAsia="Times New Roman"/>
          <w:szCs w:val="22"/>
          <w:lang w:val="fr-FR" w:eastAsia="pt-BR"/>
        </w:rPr>
        <w:t>s délégués à la c</w:t>
      </w:r>
      <w:r w:rsidRPr="00E6783F">
        <w:rPr>
          <w:rFonts w:eastAsia="Times New Roman"/>
          <w:szCs w:val="22"/>
          <w:lang w:val="fr-FR" w:eastAsia="pt-BR"/>
        </w:rPr>
        <w:t>onférence diplomatique ne sont pas parvenus à un accord sur les dispositions concernant la reproduction accessoire ou éphémère, qui s</w:t>
      </w:r>
      <w:r w:rsidR="00F252A7" w:rsidRPr="00E6783F">
        <w:rPr>
          <w:rFonts w:eastAsia="Times New Roman"/>
          <w:szCs w:val="22"/>
          <w:lang w:val="fr-FR" w:eastAsia="pt-BR"/>
        </w:rPr>
        <w:t>’</w:t>
      </w:r>
      <w:r w:rsidRPr="00E6783F">
        <w:rPr>
          <w:rFonts w:eastAsia="Times New Roman"/>
          <w:szCs w:val="22"/>
          <w:lang w:val="fr-FR" w:eastAsia="pt-BR"/>
        </w:rPr>
        <w:t>applique à la plupart des services numériques</w:t>
      </w:r>
      <w:r w:rsidRPr="00E6783F">
        <w:rPr>
          <w:rStyle w:val="FootnoteReference"/>
          <w:rFonts w:eastAsia="Times New Roman"/>
          <w:szCs w:val="22"/>
          <w:lang w:val="fr-FR" w:eastAsia="pt-BR"/>
        </w:rPr>
        <w:footnoteReference w:id="5"/>
      </w:r>
      <w:r w:rsidRPr="00E6783F">
        <w:rPr>
          <w:rFonts w:eastAsia="Times New Roman"/>
          <w:szCs w:val="22"/>
          <w:lang w:val="fr-FR" w:eastAsia="pt-BR"/>
        </w:rPr>
        <w:t>.</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Le droit de reproduction semble à peine suffisant puisque, dans certains types de transmission numérique, la reproduction n’est qu’un acte accessoire inhérent au processus technique utilisé pour mettre l’œuvre à la disposition des utilisateurs.  Dans ces cas, le droit de reproduction “ne revêt aucun intérêt du point de vue de l’exploitation des œuvres protégées”</w:t>
      </w:r>
      <w:r w:rsidRPr="00E6783F">
        <w:rPr>
          <w:rStyle w:val="FootnoteReference"/>
          <w:rFonts w:eastAsia="Times New Roman"/>
          <w:szCs w:val="22"/>
          <w:lang w:val="fr-FR" w:eastAsia="pt-BR"/>
        </w:rPr>
        <w:footnoteReference w:id="6"/>
      </w:r>
      <w:r w:rsidRPr="00E6783F">
        <w:rPr>
          <w:rFonts w:eastAsia="Times New Roman"/>
          <w:szCs w:val="22"/>
          <w:lang w:val="fr-FR" w:eastAsia="pt-BR"/>
        </w:rPr>
        <w:t>.</w:t>
      </w:r>
      <w:r w:rsidRPr="00E6783F">
        <w:rPr>
          <w:lang w:val="fr-FR"/>
        </w:rPr>
        <w:t xml:space="preserve">  </w:t>
      </w:r>
      <w:r w:rsidRPr="00E6783F">
        <w:rPr>
          <w:rFonts w:eastAsia="Times New Roman"/>
          <w:szCs w:val="22"/>
          <w:lang w:val="fr-FR" w:eastAsia="pt-BR"/>
        </w:rPr>
        <w:t>Bien que le WCT contienne une déclaration commune aux termes de laquelle le droit de reproduction s’applique aux utilisations faites dans l’environnement numérique, les Parties contractantes ont toujours la possibilité de prévoir des limitations et exceptions relatives au droit de reproduction temporaire qui soient conformes au triple critère</w:t>
      </w:r>
      <w:r w:rsidRPr="00E6783F">
        <w:rPr>
          <w:rStyle w:val="FootnoteReference"/>
          <w:rFonts w:eastAsia="Times New Roman"/>
          <w:szCs w:val="22"/>
          <w:lang w:val="fr-FR" w:eastAsia="pt-BR"/>
        </w:rPr>
        <w:footnoteReference w:id="7"/>
      </w:r>
      <w:r w:rsidRPr="00E6783F">
        <w:rPr>
          <w:rFonts w:eastAsia="Times New Roman"/>
          <w:szCs w:val="22"/>
          <w:lang w:val="fr-FR" w:eastAsia="pt-BR"/>
        </w:rPr>
        <w:t>.</w:t>
      </w:r>
      <w:r w:rsidRPr="00E6783F">
        <w:rPr>
          <w:lang w:val="fr-FR"/>
        </w:rPr>
        <w:t xml:space="preserve"> </w:t>
      </w:r>
      <w:r w:rsidRPr="00E6783F">
        <w:rPr>
          <w:rFonts w:eastAsia="Times New Roman"/>
          <w:szCs w:val="22"/>
          <w:lang w:val="fr-FR" w:eastAsia="pt-BR"/>
        </w:rPr>
        <w:t xml:space="preserve"> Il en résulte un manque d’harmonisation entre les législations nationales, chacune pouvant concevoir le droit de reproduction dans l’environnement numérique de manière différente.</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En l’absence de loi ou de disposition juridique portant précisément sur l’utilisation dans l’environnement juridique de biens intellectuels protégés, les droits traditionnels sont souvent interprétés en établissant des analogies avec des doctrines juridiques voisines sur le plan conceptuel et prévues initialement pour l’environnement physique.  Généralement, cette démarche ne tient pas compte du fait que bon nombre de principes qui s’appliquent dans l’environnement physique sont difficilement transposables dans l’environnement numérique, notamment le principe d’épuisement des droits et le principe de territorialité.</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Le principe d’épuisement des droits est mis à mal dans l’environnement numérique lorsqu’un bien intellectuel numérique est échangé et que le transfert se traduit concrètement par la production d’une copie sans aucune différence qualitative par rapport au bien original.  Ainsi, après la vente initiale d’un bien intellectuel, celui</w:t>
      </w:r>
      <w:r w:rsidRPr="00E6783F">
        <w:rPr>
          <w:rFonts w:eastAsia="Times New Roman"/>
          <w:szCs w:val="22"/>
          <w:lang w:val="fr-FR" w:eastAsia="pt-BR"/>
        </w:rPr>
        <w:noBreakHyphen/>
        <w:t>ci pourra être vendu ou prêté dans un format différent de celui de la fixation originale, à savoir sous la forme d’une copie immatérielle;  il est de ce fait impossible d’appliquer le principe d’épuisement des droits tel que la doctrine traditionnelle le définit.</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Le principe de territorialité est également mis à mal dans l’environnement numérique étant donné que les frontières physiques n’entravent guère l’échange d’informations par l’Internet;  des doutes existent quant au champ d’application des législations nationales en ce qui concerne les opérations des sociétés mondiales qui utilisent des œuvres protégées.  Le contenu d’un site Web créé dans un pays donné peut par exemple être consulté dans différentes parties du monde sans que les frontières physiques constituent un obstacle.</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L’adaptation pour l’environnement numérique des droits traditionnels initialement prévus pour l’environnement physique est une question complexe.  Il est possible que des modèles d’activité conçus dans l’environnement numérique tirent parti de certains droits similaires aux droits traditionnels prévus pour l’environnement physique.  Toutefois, les droits identifiés dans les différents modèles d’activité sont interdépendants, ce qui signifie que, pour qu’un service fonctionne pleinement, chaque droit conféré doit faire l’objet d’une licence spécifique conformément au droit exclusif d’autorisation et au droit à rémunération qui en découle.</w:t>
      </w:r>
    </w:p>
    <w:p w:rsidR="00E6783F" w:rsidRPr="00E6783F" w:rsidRDefault="00E6783F" w:rsidP="00E6783F">
      <w:pPr>
        <w:spacing w:after="200"/>
        <w:rPr>
          <w:rFonts w:eastAsia="Times New Roman"/>
          <w:szCs w:val="22"/>
          <w:lang w:val="fr-FR" w:eastAsia="pt-BR"/>
        </w:rPr>
      </w:pPr>
      <w:r w:rsidRPr="00E6783F">
        <w:rPr>
          <w:rFonts w:eastAsia="Times New Roman"/>
          <w:szCs w:val="22"/>
          <w:lang w:val="fr-FR" w:eastAsia="pt-BR"/>
        </w:rPr>
        <w:t>S’agissant des modèles d’activité fondés sur la diffusion en continu, par exemple, la qualification des droits en jeu est sujette à controverse.  La question de savoir si l’utilisation d’œuvres protégées s’accompagne nécessairement du droit de communication au public ou si elle sous</w:t>
      </w:r>
      <w:r w:rsidRPr="00E6783F">
        <w:rPr>
          <w:rFonts w:eastAsia="Times New Roman"/>
          <w:szCs w:val="22"/>
          <w:lang w:val="fr-FR" w:eastAsia="pt-BR"/>
        </w:rPr>
        <w:noBreakHyphen/>
        <w:t>entend uniquement ce droit fait polémique.  En outre, la qualification des services de diffusion en continu comme un échange de biens intellectuels ou comme une location de biens intangibles limitée dans le temps pose problème.  Certains considèrent que ce type de service pourrait se situer à mi</w:t>
      </w:r>
      <w:r w:rsidRPr="00E6783F">
        <w:rPr>
          <w:rFonts w:eastAsia="Times New Roman"/>
          <w:szCs w:val="22"/>
          <w:lang w:val="fr-FR" w:eastAsia="pt-BR"/>
        </w:rPr>
        <w:noBreakHyphen/>
        <w:t>chemin entre les biens et services fournis par les organismes de radiodiffusion et ceux fournis par les magasins de disques traditionnels.</w:t>
      </w:r>
    </w:p>
    <w:p w:rsidR="00E6783F" w:rsidRPr="00E6783F" w:rsidRDefault="00E6783F" w:rsidP="00E6783F">
      <w:pPr>
        <w:spacing w:after="200"/>
        <w:rPr>
          <w:szCs w:val="22"/>
          <w:lang w:val="fr-FR"/>
        </w:rPr>
      </w:pPr>
      <w:r w:rsidRPr="00E6783F">
        <w:rPr>
          <w:rFonts w:eastAsia="Times New Roman"/>
          <w:szCs w:val="22"/>
          <w:lang w:val="fr-FR" w:eastAsia="pt-BR"/>
        </w:rPr>
        <w:t>La qualification de ces services comme échange ou comme location est essentielle en ce sens qu’elle va de pair avec des droits différents.  Elle a une incidence directe sur les contrats de licence connexes et, par conséquent, sur le montant de la rémunération reversée aux titulaires des droits.</w:t>
      </w:r>
    </w:p>
    <w:p w:rsidR="009F21B1" w:rsidRDefault="009F21B1" w:rsidP="0038221F">
      <w:pPr>
        <w:numPr>
          <w:ilvl w:val="0"/>
          <w:numId w:val="8"/>
        </w:numPr>
        <w:spacing w:after="200"/>
        <w:ind w:left="0" w:firstLine="0"/>
        <w:contextualSpacing/>
        <w:rPr>
          <w:rFonts w:eastAsia="Times New Roman"/>
          <w:i/>
          <w:szCs w:val="22"/>
          <w:lang w:val="fr-FR" w:eastAsia="pt-BR"/>
        </w:rPr>
      </w:pPr>
      <w:r w:rsidRPr="009F21B1">
        <w:rPr>
          <w:rFonts w:eastAsia="Times New Roman"/>
          <w:i/>
          <w:szCs w:val="22"/>
          <w:lang w:val="fr-FR" w:eastAsia="pt-BR"/>
        </w:rPr>
        <w:t>Le rôle des entreprises et des sociétés qui utilisent des œuvres protégées par le droit d’auteur dans l’environnement numérique et leur manière de procéder</w:t>
      </w:r>
    </w:p>
    <w:p w:rsidR="0038221F" w:rsidRPr="0038221F" w:rsidRDefault="0038221F" w:rsidP="0038221F"/>
    <w:p w:rsidR="009F21B1" w:rsidRPr="00486FF7" w:rsidRDefault="009F21B1" w:rsidP="009F21B1">
      <w:pPr>
        <w:spacing w:after="200"/>
        <w:rPr>
          <w:rFonts w:eastAsia="Times New Roman"/>
          <w:szCs w:val="22"/>
          <w:lang w:val="fr-FR" w:eastAsia="pt-BR"/>
        </w:rPr>
      </w:pPr>
      <w:r>
        <w:rPr>
          <w:rFonts w:eastAsia="Times New Roman"/>
          <w:szCs w:val="22"/>
          <w:lang w:val="fr-FR" w:eastAsia="pt-BR"/>
        </w:rPr>
        <w:t>On assiste actuellement à une augmentation du nombre d’entreprises élaborant de nouveaux modèles commerciaux fondés sur l’utilisation d’œuvres protégées par le droit d’auteur sur des plates</w:t>
      </w:r>
      <w:r>
        <w:rPr>
          <w:rFonts w:eastAsia="Times New Roman"/>
          <w:szCs w:val="22"/>
          <w:lang w:val="fr-FR" w:eastAsia="pt-BR"/>
        </w:rPr>
        <w:noBreakHyphen/>
        <w:t>formes numériques.  Ces nouveaux modèles suscitent toutefois des préoccupations aux niveaux national et international, en raison du manque de transparence des activités concernées et de la faible rémunération des auteurs et des artistes interprètes ou exécutants dans le monde.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 ce qui concerne la diffusion en continu (</w:t>
      </w:r>
      <w:r w:rsidRPr="00985427">
        <w:rPr>
          <w:rFonts w:eastAsia="Times New Roman"/>
          <w:i/>
          <w:szCs w:val="22"/>
          <w:lang w:val="fr-FR" w:eastAsia="pt-BR"/>
        </w:rPr>
        <w:t>streaming</w:t>
      </w:r>
      <w:r>
        <w:rPr>
          <w:rFonts w:eastAsia="Times New Roman"/>
          <w:szCs w:val="22"/>
          <w:lang w:val="fr-FR" w:eastAsia="pt-BR"/>
        </w:rPr>
        <w:t>), par exemple, certains services proposent deux modèles d’utilisation : un modèle payant dans lequel l’utilisateur s’abonne au service et verse une redevance mensuelle en contrepartie de certains avantages, par exemple le droit d’utiliser le “mode hors</w:t>
      </w:r>
      <w:r>
        <w:rPr>
          <w:rFonts w:eastAsia="Times New Roman"/>
          <w:szCs w:val="22"/>
          <w:lang w:val="fr-FR" w:eastAsia="pt-BR"/>
        </w:rPr>
        <w:noBreakHyphen/>
        <w:t>ligne” qui suppose une copie, et un modèle “gratuit” dans lequel les revenus proviennent de la publicité.</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Le premier est le modèle “Premium”.  Malgré la croissance des services de diffusion en continu dans le monde entier, le nombre d’abonnements est relativement peu élevé, d’où la faible rémunération des auteurs et artistes interprètes ou exécutants et les doutes exprimés quant à la viabilité économique de certains de ces services.</w:t>
      </w:r>
    </w:p>
    <w:p w:rsidR="009F21B1" w:rsidRDefault="009F21B1" w:rsidP="009F21B1">
      <w:pPr>
        <w:spacing w:after="200"/>
        <w:rPr>
          <w:rFonts w:eastAsia="Times New Roman"/>
          <w:szCs w:val="22"/>
          <w:lang w:val="fr-FR" w:eastAsia="pt-BR"/>
        </w:rPr>
      </w:pPr>
      <w:r>
        <w:rPr>
          <w:rFonts w:eastAsia="Times New Roman"/>
          <w:szCs w:val="22"/>
          <w:lang w:val="fr-FR" w:eastAsia="pt-BR"/>
        </w:rPr>
        <w:t>Le deuxième modèle est généralement appelé</w:t>
      </w:r>
      <w:r w:rsidRPr="00486FF7">
        <w:rPr>
          <w:rFonts w:eastAsia="Times New Roman"/>
          <w:szCs w:val="22"/>
          <w:lang w:val="fr-FR" w:eastAsia="pt-BR"/>
        </w:rPr>
        <w:t xml:space="preserve"> “</w:t>
      </w:r>
      <w:proofErr w:type="spellStart"/>
      <w:r w:rsidRPr="00486FF7">
        <w:rPr>
          <w:rFonts w:eastAsia="Times New Roman"/>
          <w:szCs w:val="22"/>
          <w:lang w:val="fr-FR" w:eastAsia="pt-BR"/>
        </w:rPr>
        <w:t>Freemium</w:t>
      </w:r>
      <w:proofErr w:type="spellEnd"/>
      <w:r w:rsidRPr="00486FF7">
        <w:rPr>
          <w:rFonts w:eastAsia="Times New Roman"/>
          <w:szCs w:val="22"/>
          <w:lang w:val="fr-FR" w:eastAsia="pt-BR"/>
        </w:rPr>
        <w:t xml:space="preserve">”. </w:t>
      </w:r>
      <w:r>
        <w:rPr>
          <w:rFonts w:eastAsia="Times New Roman"/>
          <w:szCs w:val="22"/>
          <w:lang w:val="fr-FR" w:eastAsia="pt-BR"/>
        </w:rPr>
        <w:t xml:space="preserve"> Ici, la principale source de préoccupation est le manque de transparence concernant le partage des recettes publicitaires des plates</w:t>
      </w:r>
      <w:r>
        <w:rPr>
          <w:rFonts w:eastAsia="Times New Roman"/>
          <w:szCs w:val="22"/>
          <w:lang w:val="fr-FR" w:eastAsia="pt-BR"/>
        </w:rPr>
        <w:noBreakHyphen/>
        <w:t>formes numériques.  L’absence de contrôle de la monétisation de ces services, impliquant parfois l’utilisation d’actifs de propriété intellectuelle protégés sans contrepartie financière, et l’imposition de modèles et de conditions de rémunération difficiles à comprendre pour les auteurs et les artistes interprètes ou exécutants constituent également une source de préoccupation.</w:t>
      </w:r>
    </w:p>
    <w:p w:rsidR="009F21B1" w:rsidRDefault="009F21B1" w:rsidP="009F21B1">
      <w:pPr>
        <w:spacing w:after="200"/>
        <w:rPr>
          <w:rFonts w:eastAsia="Times New Roman"/>
          <w:szCs w:val="22"/>
          <w:lang w:val="fr-FR" w:eastAsia="pt-BR"/>
        </w:rPr>
      </w:pPr>
      <w:r>
        <w:rPr>
          <w:rFonts w:eastAsia="Times New Roman"/>
          <w:szCs w:val="22"/>
          <w:lang w:val="fr-FR" w:eastAsia="pt-BR"/>
        </w:rPr>
        <w:t>En l’absence d’une réglementation efficace, le marché et ses acteurs imposent leurs règles, sans réelle transparence concernant les méthodes de facturation et la répartition de la rémunération des droits.  La situation se complique encore en présence de contrats internationaux de licence globale.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 xml:space="preserve">Ces contrats internationaux présentent un déséquilibre dans la rémunération des titulaires de droits.  Le secteur moderne de la musique recouvre un très grand nombre de </w:t>
      </w:r>
      <w:proofErr w:type="spellStart"/>
      <w:r>
        <w:rPr>
          <w:rFonts w:eastAsia="Times New Roman"/>
          <w:szCs w:val="22"/>
          <w:lang w:val="fr-FR" w:eastAsia="pt-BR"/>
        </w:rPr>
        <w:t>microtransactions</w:t>
      </w:r>
      <w:proofErr w:type="spellEnd"/>
      <w:r>
        <w:rPr>
          <w:rFonts w:eastAsia="Times New Roman"/>
          <w:szCs w:val="22"/>
          <w:lang w:val="fr-FR" w:eastAsia="pt-BR"/>
        </w:rPr>
        <w:t>, dans lesquelles les parties prenantes reçoivent une fraction du montant des recettes.  Alors que les nouvelles technologies devraient offrir davantage de transparence, le secteur musical utilise un cadre opaque que les créateurs et les artistes ont du mal à comprendre.</w:t>
      </w:r>
    </w:p>
    <w:p w:rsidR="009F21B1" w:rsidRDefault="009F21B1" w:rsidP="009F21B1">
      <w:pPr>
        <w:spacing w:after="200"/>
        <w:rPr>
          <w:rFonts w:eastAsia="Times New Roman"/>
          <w:szCs w:val="22"/>
          <w:lang w:val="fr-FR" w:eastAsia="pt-BR"/>
        </w:rPr>
      </w:pPr>
      <w:r>
        <w:rPr>
          <w:rFonts w:eastAsia="Times New Roman"/>
          <w:szCs w:val="22"/>
          <w:lang w:val="fr-FR" w:eastAsia="pt-BR"/>
        </w:rPr>
        <w:t>Bien que les services de diffusion en continu reversent un pourcentage des recettes correspondant au taux appliqué aux ventes de musique réalisées par l’intermédiaire des magasins de disques en ligne, les faibles montants versés et la multitude d’intermédiaires suscitent de nouvelles préoccupations.  Les données fournies aux artistes manquent généralement de clarté et, par conséquent, ceux</w:t>
      </w:r>
      <w:r>
        <w:rPr>
          <w:rFonts w:eastAsia="Times New Roman"/>
          <w:color w:val="000000"/>
          <w:szCs w:val="22"/>
          <w:lang w:val="fr-FR" w:eastAsia="pt-BR"/>
        </w:rPr>
        <w:noBreakHyphen/>
        <w:t>ci</w:t>
      </w:r>
      <w:r>
        <w:rPr>
          <w:rFonts w:eastAsia="Times New Roman"/>
          <w:szCs w:val="22"/>
          <w:lang w:val="fr-FR" w:eastAsia="pt-BR"/>
        </w:rPr>
        <w:t xml:space="preserve"> ne comprennent pas les versements et les relevés qu’ils reçoivent.  Cette opacité bénéficie probablement aux intermédiaires</w:t>
      </w:r>
      <w:r w:rsidRPr="00486FF7">
        <w:rPr>
          <w:rFonts w:eastAsia="Times New Roman"/>
          <w:szCs w:val="22"/>
          <w:vertAlign w:val="superscript"/>
          <w:lang w:val="fr-FR" w:eastAsia="pt-BR"/>
        </w:rPr>
        <w:footnoteReference w:id="8"/>
      </w:r>
      <w:r w:rsidRPr="00486FF7">
        <w:rPr>
          <w:rFonts w:eastAsia="Times New Roman"/>
          <w:szCs w:val="22"/>
          <w:lang w:val="fr-FR" w:eastAsia="pt-BR"/>
        </w:rPr>
        <w:t>.</w:t>
      </w:r>
    </w:p>
    <w:p w:rsidR="009F21B1" w:rsidRDefault="009F21B1" w:rsidP="009F21B1">
      <w:pPr>
        <w:spacing w:after="200"/>
        <w:rPr>
          <w:rFonts w:eastAsia="Times New Roman"/>
          <w:szCs w:val="22"/>
          <w:lang w:val="fr-FR" w:eastAsia="pt-BR"/>
        </w:rPr>
      </w:pPr>
      <w:r>
        <w:rPr>
          <w:rFonts w:eastAsia="Times New Roman"/>
          <w:szCs w:val="22"/>
          <w:lang w:val="fr-FR" w:eastAsia="pt-BR"/>
        </w:rPr>
        <w:t>Par exemple, la part de la rémunération des droits connexes qui revient en général aux producteurs de phonogrammes dans l’environnement numérique est sensiblement plus importante que celle qui est perçue par les auteurs et les artistes interprètes ou exécutants.  Le recours aux anciens contrats de licence, sans réelle adaptation à la réalité numérique, bénéficie en pratique aux producteurs de phonogrammes.</w:t>
      </w:r>
    </w:p>
    <w:p w:rsidR="009F21B1" w:rsidRDefault="009F21B1" w:rsidP="009F21B1">
      <w:pPr>
        <w:spacing w:after="200"/>
        <w:rPr>
          <w:rFonts w:eastAsia="Times New Roman"/>
          <w:szCs w:val="22"/>
          <w:lang w:val="fr-FR" w:eastAsia="pt-BR"/>
        </w:rPr>
      </w:pPr>
      <w:r>
        <w:rPr>
          <w:rFonts w:eastAsia="Times New Roman"/>
          <w:szCs w:val="22"/>
          <w:lang w:val="fr-FR" w:eastAsia="pt-BR"/>
        </w:rPr>
        <w:t>Même les modèles de contrat de licence mondiale créent des problèmes importants dans l’environnement numérique.  La tendance actuelle est à la verticalisation des relations entre les acteurs de la chaîne de valeur mondiale de la musique et le risque de contrôle par les plates</w:t>
      </w:r>
      <w:r>
        <w:rPr>
          <w:rFonts w:eastAsia="Times New Roman"/>
          <w:szCs w:val="22"/>
          <w:lang w:val="fr-FR" w:eastAsia="pt-BR"/>
        </w:rPr>
        <w:noBreakHyphen/>
        <w:t>formes numériques (</w:t>
      </w:r>
      <w:r w:rsidRPr="004B3D57">
        <w:rPr>
          <w:rFonts w:eastAsia="Times New Roman"/>
          <w:i/>
          <w:szCs w:val="22"/>
          <w:lang w:val="fr-FR" w:eastAsia="pt-BR"/>
        </w:rPr>
        <w:t>acteurs</w:t>
      </w:r>
      <w:r>
        <w:rPr>
          <w:rFonts w:eastAsia="Times New Roman"/>
          <w:szCs w:val="22"/>
          <w:lang w:val="fr-FR" w:eastAsia="pt-BR"/>
        </w:rPr>
        <w:t xml:space="preserve">) et les maisons de disques </w:t>
      </w:r>
      <w:r w:rsidRPr="00486FF7">
        <w:rPr>
          <w:rFonts w:eastAsia="Times New Roman"/>
          <w:szCs w:val="22"/>
          <w:lang w:val="fr-FR" w:eastAsia="pt-BR"/>
        </w:rPr>
        <w:t>(</w:t>
      </w:r>
      <w:proofErr w:type="gramStart"/>
      <w:r w:rsidRPr="00486FF7">
        <w:rPr>
          <w:rFonts w:eastAsia="Times New Roman"/>
          <w:i/>
          <w:szCs w:val="22"/>
          <w:lang w:val="fr-FR" w:eastAsia="pt-BR"/>
        </w:rPr>
        <w:t>majors</w:t>
      </w:r>
      <w:proofErr w:type="gramEnd"/>
      <w:r w:rsidRPr="00486FF7">
        <w:rPr>
          <w:rFonts w:eastAsia="Times New Roman"/>
          <w:szCs w:val="22"/>
          <w:lang w:val="fr-FR" w:eastAsia="pt-BR"/>
        </w:rPr>
        <w:t xml:space="preserve">) </w:t>
      </w:r>
      <w:r>
        <w:rPr>
          <w:rFonts w:eastAsia="Times New Roman"/>
          <w:szCs w:val="22"/>
          <w:lang w:val="fr-FR" w:eastAsia="pt-BR"/>
        </w:rPr>
        <w:t>prédomine</w:t>
      </w:r>
      <w:r w:rsidRPr="00486FF7">
        <w:rPr>
          <w:rFonts w:eastAsia="Times New Roman"/>
          <w:szCs w:val="22"/>
          <w:lang w:val="fr-FR" w:eastAsia="pt-BR"/>
        </w:rPr>
        <w:t xml:space="preserve"> </w:t>
      </w:r>
      <w:r>
        <w:rPr>
          <w:rFonts w:eastAsia="Times New Roman"/>
          <w:szCs w:val="22"/>
          <w:lang w:val="fr-FR" w:eastAsia="pt-BR"/>
        </w:rPr>
        <w:t>tout au long de cette chaîne dans l’environnement numérique</w:t>
      </w:r>
      <w:r w:rsidRPr="00486FF7">
        <w:rPr>
          <w:rFonts w:eastAsia="Times New Roman"/>
          <w:szCs w:val="22"/>
          <w:lang w:val="fr-FR" w:eastAsia="pt-BR"/>
        </w:rPr>
        <w:t>.</w:t>
      </w:r>
    </w:p>
    <w:p w:rsidR="009F21B1" w:rsidRDefault="009F21B1" w:rsidP="009F21B1">
      <w:pPr>
        <w:spacing w:after="200"/>
        <w:rPr>
          <w:rFonts w:eastAsia="Times New Roman"/>
          <w:szCs w:val="22"/>
          <w:lang w:val="fr-FR" w:eastAsia="pt-BR"/>
        </w:rPr>
      </w:pPr>
      <w:r>
        <w:rPr>
          <w:rFonts w:eastAsia="Times New Roman"/>
          <w:szCs w:val="22"/>
          <w:lang w:val="fr-FR" w:eastAsia="pt-BR"/>
        </w:rPr>
        <w:t xml:space="preserve">Comme le fait observer </w:t>
      </w:r>
      <w:r w:rsidRPr="00486FF7">
        <w:rPr>
          <w:rFonts w:eastAsia="Times New Roman"/>
          <w:szCs w:val="22"/>
          <w:lang w:val="fr-FR" w:eastAsia="pt-BR"/>
        </w:rPr>
        <w:t>David Byrne</w:t>
      </w:r>
      <w:r w:rsidRPr="00486FF7">
        <w:rPr>
          <w:rFonts w:eastAsia="Times New Roman"/>
          <w:szCs w:val="22"/>
          <w:vertAlign w:val="superscript"/>
          <w:lang w:val="fr-FR" w:eastAsia="pt-BR"/>
        </w:rPr>
        <w:footnoteReference w:id="9"/>
      </w:r>
      <w:r w:rsidRPr="00486FF7">
        <w:rPr>
          <w:rFonts w:eastAsia="Times New Roman"/>
          <w:szCs w:val="22"/>
          <w:lang w:val="fr-FR" w:eastAsia="pt-BR"/>
        </w:rPr>
        <w:t xml:space="preserve">, </w:t>
      </w:r>
      <w:r>
        <w:rPr>
          <w:rFonts w:eastAsia="Times New Roman"/>
          <w:szCs w:val="22"/>
          <w:lang w:val="fr-FR" w:eastAsia="pt-BR"/>
        </w:rPr>
        <w:t>de nombreux services de diffusion en continu sont à la merci des maisons de disques, notamment des plus grandes, et les accords de non</w:t>
      </w:r>
      <w:r>
        <w:rPr>
          <w:rFonts w:eastAsia="Times New Roman"/>
          <w:color w:val="000000"/>
          <w:szCs w:val="22"/>
          <w:lang w:val="fr-FR" w:eastAsia="pt-BR"/>
        </w:rPr>
        <w:noBreakHyphen/>
      </w:r>
      <w:r>
        <w:rPr>
          <w:rFonts w:eastAsia="Times New Roman"/>
          <w:szCs w:val="22"/>
          <w:lang w:val="fr-FR" w:eastAsia="pt-BR"/>
        </w:rPr>
        <w:t>divulgation empêchent toutes les parties d’agir de façon plus transparente, ce qui constitue peut</w:t>
      </w:r>
      <w:r>
        <w:rPr>
          <w:rFonts w:eastAsia="Times New Roman"/>
          <w:szCs w:val="22"/>
          <w:lang w:val="fr-FR" w:eastAsia="pt-BR"/>
        </w:rPr>
        <w:noBreakHyphen/>
        <w:t>être le principal problème pour les artistes aujourd’hui.  Par exemple, lorsque ceux</w:t>
      </w:r>
      <w:r>
        <w:rPr>
          <w:rFonts w:eastAsia="Times New Roman"/>
          <w:color w:val="000000"/>
          <w:szCs w:val="22"/>
          <w:lang w:val="fr-FR" w:eastAsia="pt-BR"/>
        </w:rPr>
        <w:noBreakHyphen/>
        <w:t>ci</w:t>
      </w:r>
      <w:r>
        <w:rPr>
          <w:rFonts w:eastAsia="Times New Roman"/>
          <w:szCs w:val="22"/>
          <w:lang w:val="fr-FR" w:eastAsia="pt-BR"/>
        </w:rPr>
        <w:t xml:space="preserve"> interrogent les plates</w:t>
      </w:r>
      <w:r>
        <w:rPr>
          <w:rFonts w:eastAsia="Times New Roman"/>
          <w:szCs w:val="22"/>
          <w:lang w:val="fr-FR" w:eastAsia="pt-BR"/>
        </w:rPr>
        <w:noBreakHyphen/>
        <w:t>formes numériques sur le mode de distribution des ressources tirées de la publicité, ils n’arrivent pas à obtenir une réponse concrète avec des chiffres précis.  Par conséquent, selon M. </w:t>
      </w:r>
      <w:r w:rsidRPr="00486FF7">
        <w:rPr>
          <w:rFonts w:eastAsia="Times New Roman"/>
          <w:szCs w:val="22"/>
          <w:lang w:val="fr-FR" w:eastAsia="pt-BR"/>
        </w:rPr>
        <w:t xml:space="preserve">Byrne, </w:t>
      </w:r>
      <w:r>
        <w:rPr>
          <w:rFonts w:eastAsia="Times New Roman"/>
          <w:szCs w:val="22"/>
          <w:lang w:val="fr-FR" w:eastAsia="pt-BR"/>
        </w:rPr>
        <w:t>les musiciens et leurs défenseurs doivent d’abord savoir exactement comment fonctionne le système avant de prendre des mesures pour mettre en place un mécanisme de rémunération</w:t>
      </w:r>
      <w:r w:rsidRPr="00EC2826">
        <w:rPr>
          <w:rFonts w:eastAsia="Times New Roman"/>
          <w:szCs w:val="22"/>
          <w:lang w:val="fr-FR" w:eastAsia="pt-BR"/>
        </w:rPr>
        <w:t xml:space="preserve"> </w:t>
      </w:r>
      <w:r>
        <w:rPr>
          <w:rFonts w:eastAsia="Times New Roman"/>
          <w:szCs w:val="22"/>
          <w:lang w:val="fr-FR" w:eastAsia="pt-BR"/>
        </w:rPr>
        <w:t>plus équitable.</w:t>
      </w:r>
    </w:p>
    <w:p w:rsidR="009F21B1" w:rsidRDefault="009F21B1" w:rsidP="009F21B1">
      <w:pPr>
        <w:spacing w:after="200"/>
        <w:rPr>
          <w:rFonts w:eastAsia="Times New Roman"/>
          <w:szCs w:val="22"/>
          <w:lang w:val="fr-FR" w:eastAsia="pt-BR"/>
        </w:rPr>
      </w:pPr>
      <w:r>
        <w:rPr>
          <w:rFonts w:eastAsia="Times New Roman"/>
          <w:szCs w:val="22"/>
          <w:lang w:val="fr-FR" w:eastAsia="pt-BR"/>
        </w:rPr>
        <w:t>La prédominance d’acteurs économiquement plus puissants risque de se traduire par des modèles commerciaux centrés sur un petit nombre d’entreprises, qu’il s’agisse de fournisseurs de services numériques (monopoles ou oligopoles) ou de consommateurs d’œuvres protégées (monopsones ou oligopsones), ce qui nuit généralement aux intérêts des auteurs et des artistes interprètes ou exécutants qui ont tendance à être le maillon faible de la chaîne.</w:t>
      </w:r>
    </w:p>
    <w:p w:rsidR="009F21B1" w:rsidRDefault="009F21B1" w:rsidP="009F21B1">
      <w:pPr>
        <w:spacing w:after="200"/>
        <w:rPr>
          <w:rFonts w:eastAsia="Times New Roman"/>
          <w:szCs w:val="22"/>
          <w:lang w:val="fr-FR" w:eastAsia="pt-BR"/>
        </w:rPr>
      </w:pPr>
      <w:r>
        <w:rPr>
          <w:rFonts w:eastAsia="Times New Roman"/>
          <w:szCs w:val="22"/>
          <w:lang w:val="fr-FR" w:eastAsia="pt-BR"/>
        </w:rPr>
        <w:t>Le mode d’organisation du marché de la musique numérique crée un terrain favorable à d’autres pratiques déloyales et anticoncurrentielles dans le cadre de ces modèles commerciaux.  L’utilisation de robots qui augmentent artificiellement l’utilisation de certains catalogues, de listes de titres établies par des producteurs de phonogrammes et d’algorithmes de recherche amenant aux titres grand public (</w:t>
      </w:r>
      <w:proofErr w:type="spellStart"/>
      <w:r w:rsidRPr="00EC2826">
        <w:rPr>
          <w:rFonts w:eastAsia="Times New Roman"/>
          <w:i/>
          <w:szCs w:val="22"/>
          <w:lang w:val="fr-FR" w:eastAsia="pt-BR"/>
        </w:rPr>
        <w:t>mainstream</w:t>
      </w:r>
      <w:proofErr w:type="spellEnd"/>
      <w:r>
        <w:rPr>
          <w:rFonts w:eastAsia="Times New Roman"/>
          <w:szCs w:val="22"/>
          <w:lang w:val="fr-FR" w:eastAsia="pt-BR"/>
        </w:rPr>
        <w:t xml:space="preserve">) tend à générer une consommation plus importante de certains répertoires, définissant une pratique similaire à celle de la </w:t>
      </w:r>
      <w:proofErr w:type="spellStart"/>
      <w:r>
        <w:rPr>
          <w:rFonts w:eastAsia="Times New Roman"/>
          <w:szCs w:val="22"/>
          <w:lang w:val="fr-FR" w:eastAsia="pt-BR"/>
        </w:rPr>
        <w:t>payola</w:t>
      </w:r>
      <w:proofErr w:type="spellEnd"/>
      <w:r>
        <w:rPr>
          <w:rFonts w:eastAsia="Times New Roman"/>
          <w:szCs w:val="22"/>
          <w:lang w:val="fr-FR" w:eastAsia="pt-BR"/>
        </w:rPr>
        <w:t>, considérée comme illégale dans de nombreux pays.</w:t>
      </w:r>
    </w:p>
    <w:p w:rsidR="009F21B1" w:rsidRDefault="009F21B1" w:rsidP="009F21B1">
      <w:pPr>
        <w:spacing w:after="200"/>
        <w:rPr>
          <w:rFonts w:eastAsia="Times New Roman"/>
          <w:szCs w:val="22"/>
          <w:lang w:val="fr-FR" w:eastAsia="pt-BR"/>
        </w:rPr>
      </w:pPr>
      <w:r>
        <w:rPr>
          <w:rFonts w:eastAsia="Times New Roman"/>
          <w:szCs w:val="22"/>
          <w:lang w:val="fr-FR" w:eastAsia="pt-BR"/>
        </w:rPr>
        <w:t>Les contrats mondiaux de licence globale, conclus par des auteurs et des artistes interprètes ou exécutants, ouvrent la voie à la violation du principe de territorialité, l’un des piliers du droit d’auteur.  Dans ce type de contrat, le droit d’un pays s’impose souvent aux autres parties, sans considération des particularités de chaque territoire et en violation manifeste des dispositions de la Convention de Berne et de l’Accord sur les ADPIC.</w:t>
      </w:r>
    </w:p>
    <w:p w:rsidR="009F21B1" w:rsidRDefault="009F21B1" w:rsidP="009F21B1">
      <w:pPr>
        <w:spacing w:after="200"/>
        <w:rPr>
          <w:rFonts w:eastAsia="Times New Roman"/>
          <w:szCs w:val="22"/>
          <w:lang w:val="fr-FR" w:eastAsia="pt-BR"/>
        </w:rPr>
      </w:pPr>
      <w:r>
        <w:rPr>
          <w:rFonts w:eastAsia="Times New Roman"/>
          <w:szCs w:val="22"/>
          <w:lang w:val="fr-FR" w:eastAsia="pt-BR"/>
        </w:rPr>
        <w:t xml:space="preserve">L’application du principe de territorialité suppose également que les recettes tirées de la cession de droits dans un pays soient perçues dans ce pays.  Cependant, il est difficile de savoir si les choses se passent ainsi en réalité car de nombreux services numériques exigent des paiements par carte de crédit internationale et en </w:t>
      </w:r>
      <w:r w:rsidRPr="002A3A1E">
        <w:rPr>
          <w:rFonts w:eastAsia="Times New Roman"/>
          <w:color w:val="000000"/>
          <w:szCs w:val="22"/>
          <w:lang w:val="fr-FR" w:eastAsia="pt-BR"/>
        </w:rPr>
        <w:t>dollars É.</w:t>
      </w:r>
      <w:r>
        <w:rPr>
          <w:rFonts w:eastAsia="Times New Roman"/>
          <w:color w:val="000000"/>
          <w:szCs w:val="22"/>
          <w:lang w:val="fr-FR" w:eastAsia="pt-BR"/>
        </w:rPr>
        <w:noBreakHyphen/>
      </w:r>
      <w:r w:rsidRPr="002A3A1E">
        <w:rPr>
          <w:rFonts w:eastAsia="Times New Roman"/>
          <w:color w:val="000000"/>
          <w:szCs w:val="22"/>
          <w:lang w:val="fr-FR" w:eastAsia="pt-BR"/>
        </w:rPr>
        <w:t>U</w:t>
      </w:r>
      <w:r w:rsidRPr="00C44B92">
        <w:rPr>
          <w:color w:val="000000"/>
          <w:lang w:val="fr-FR"/>
        </w:rPr>
        <w:t xml:space="preserve">. </w:t>
      </w:r>
      <w:r>
        <w:rPr>
          <w:rFonts w:eastAsia="Times New Roman"/>
          <w:szCs w:val="22"/>
          <w:lang w:val="fr-FR" w:eastAsia="pt-BR"/>
        </w:rPr>
        <w:t>plutôt que dans la monnaie locale, ce qui gêne la surveillance de la diffusion de ces ressources et rend possible l’utilisation d’actifs intellectuels protégés dans un pays contre une rémunération versée dans un autre pays.</w:t>
      </w:r>
    </w:p>
    <w:p w:rsidR="009F21B1" w:rsidRDefault="009F21B1" w:rsidP="009F21B1">
      <w:pPr>
        <w:spacing w:after="200"/>
        <w:rPr>
          <w:rFonts w:eastAsia="Times New Roman"/>
          <w:szCs w:val="22"/>
          <w:lang w:val="fr-FR" w:eastAsia="pt-BR"/>
        </w:rPr>
      </w:pPr>
      <w:r>
        <w:rPr>
          <w:rFonts w:eastAsia="Times New Roman"/>
          <w:szCs w:val="22"/>
          <w:lang w:val="fr-FR" w:eastAsia="pt-BR"/>
        </w:rPr>
        <w:t>Dans ce contexte, nous devons non seulement nous intéresser aux éventuelles pratiques anticoncurrentielles et au manque de transparence des activités menées dans le cadre de modèles commerciaux numériques, mais également à l’imposition d’une juridiction et de modèles de contrats par les acteurs plus puissants.  Ces pratiques s’expliquent en grande partie par l’asymétrie de l’information et par le déséquilibre économique qui existe entre les parties à la relation contractuelle</w:t>
      </w:r>
      <w:r w:rsidRPr="00486FF7">
        <w:rPr>
          <w:rFonts w:eastAsia="Times New Roman"/>
          <w:szCs w:val="22"/>
          <w:lang w:val="fr-FR" w:eastAsia="pt-BR"/>
        </w:rPr>
        <w:t>.</w:t>
      </w:r>
    </w:p>
    <w:p w:rsidR="009F21B1" w:rsidRDefault="009F21B1" w:rsidP="009F21B1">
      <w:pPr>
        <w:spacing w:after="200"/>
        <w:rPr>
          <w:rFonts w:eastAsia="Times New Roman"/>
          <w:szCs w:val="22"/>
          <w:lang w:val="fr-FR" w:eastAsia="pt-BR"/>
        </w:rPr>
      </w:pPr>
      <w:r>
        <w:rPr>
          <w:rFonts w:eastAsia="Times New Roman"/>
          <w:szCs w:val="22"/>
          <w:lang w:val="fr-FR" w:eastAsia="pt-BR"/>
        </w:rPr>
        <w:t>À cet égard, un système plus équitable de paiement dans l’environnement numérique nécessiterait obligatoirement un recensement précis des titulaires des droits sur les œuvres et phonogrammes utilisés, et des interprétations et exécutions associées à ces œuvres et phonogrammes.</w:t>
      </w:r>
    </w:p>
    <w:p w:rsidR="009F21B1" w:rsidRDefault="009F21B1" w:rsidP="0038221F">
      <w:pPr>
        <w:spacing w:after="200"/>
        <w:rPr>
          <w:rFonts w:eastAsia="Times New Roman"/>
          <w:szCs w:val="22"/>
          <w:lang w:val="fr-FR" w:eastAsia="pt-BR"/>
        </w:rPr>
      </w:pPr>
      <w:r>
        <w:rPr>
          <w:rFonts w:eastAsia="Times New Roman"/>
          <w:szCs w:val="22"/>
          <w:lang w:val="fr-FR" w:eastAsia="pt-BR"/>
        </w:rPr>
        <w:t>Du fait qu’il soit difficile d’uniformiser le recensement des œuvres grâce à l’adoption de registres internationaux, la création d’une base de données mondiale des titulaires de droits, des œuvres, des phonogrammes et des interprétations et exécutions, avec obligation de partager les informations entre gouvernements, titulaires de droits et associations de gestion collective, pourrait être un moyen de résoudre la plupart des problèmes liés au marché de la musique numérique, grâce à la diminution des conflits générés par l’existence de plusieurs bases de données.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Cette base de données mondiale pourrait également favoriser une répartition plus transparente de la rémunération entre les différents titulaires de droits, en facilitant le recensement par ces derniers de toutes les utilisations qui sont faites de leurs œuvres par les utilisateurs finaux sur les plates</w:t>
      </w:r>
      <w:r>
        <w:rPr>
          <w:rFonts w:eastAsia="Times New Roman"/>
          <w:szCs w:val="22"/>
          <w:lang w:val="fr-FR" w:eastAsia="pt-BR"/>
        </w:rPr>
        <w:noBreakHyphen/>
        <w:t>formes numériques.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Le marché numérique constitue une source potentielle de revenus pour les auteurs et les artistes interprètes ou exécutants, mais cela ne s’est pas encore vérifié en pratique, ce qui est source d’une grande insatisfaction parmi les auteurs et les artistes du monde entier.  Dans l’ensemble, les titulaires de droits originaux affirment qu’ils reçoivent une rémunération</w:t>
      </w:r>
      <w:r w:rsidRPr="00486FF7">
        <w:rPr>
          <w:rFonts w:eastAsia="Times New Roman"/>
          <w:szCs w:val="22"/>
          <w:lang w:val="fr-FR" w:eastAsia="pt-BR"/>
        </w:rPr>
        <w:t xml:space="preserve"> </w:t>
      </w:r>
      <w:r>
        <w:rPr>
          <w:rFonts w:eastAsia="Times New Roman"/>
          <w:szCs w:val="22"/>
          <w:lang w:val="fr-FR" w:eastAsia="pt-BR"/>
        </w:rPr>
        <w:t>non équitable en raison du manque de corrélation entre le montant reçu et le nombre d’utilisations de leurs œuvres.  La protection de la propriété intellectuelle et de l’industrie musicale ne se limite pas à la lutte contre le piratage mais englobe également la promotion d’une rémunération plus juste des créateurs et des artistes interprètes ou exécutants.  Bien que la croissance rapide de la diffusion en continu soit souvent considérée comme un facteur positif, la question du juste partage des recettes entre les nombreuses parties de la chaîne de valeur reste à régler</w:t>
      </w:r>
      <w:r w:rsidRPr="00486FF7">
        <w:rPr>
          <w:rFonts w:eastAsia="Times New Roman"/>
          <w:szCs w:val="22"/>
          <w:vertAlign w:val="superscript"/>
          <w:lang w:val="fr-FR" w:eastAsia="pt-BR"/>
        </w:rPr>
        <w:footnoteReference w:id="10"/>
      </w:r>
      <w:r w:rsidRPr="00486FF7">
        <w:rPr>
          <w:rFonts w:eastAsia="Times New Roman"/>
          <w:szCs w:val="22"/>
          <w:lang w:val="fr-FR" w:eastAsia="pt-BR"/>
        </w:rPr>
        <w:t>.</w:t>
      </w:r>
    </w:p>
    <w:p w:rsidR="009F21B1" w:rsidRDefault="009F21B1" w:rsidP="0038221F">
      <w:pPr>
        <w:numPr>
          <w:ilvl w:val="0"/>
          <w:numId w:val="8"/>
        </w:numPr>
        <w:spacing w:after="200"/>
        <w:ind w:left="0" w:firstLine="0"/>
        <w:contextualSpacing/>
        <w:rPr>
          <w:rFonts w:eastAsia="Times New Roman"/>
          <w:i/>
          <w:szCs w:val="22"/>
          <w:lang w:val="fr-FR" w:eastAsia="pt-BR"/>
        </w:rPr>
      </w:pPr>
      <w:r>
        <w:rPr>
          <w:rFonts w:eastAsia="Times New Roman"/>
          <w:i/>
          <w:szCs w:val="22"/>
          <w:lang w:val="fr-FR" w:eastAsia="pt-BR"/>
        </w:rPr>
        <w:t>Le droit à une rémunération équitable comme alternative au droit exclusif d’autorisation</w:t>
      </w:r>
    </w:p>
    <w:p w:rsidR="009F21B1" w:rsidRPr="0038221F" w:rsidRDefault="009F21B1" w:rsidP="0038221F"/>
    <w:p w:rsidR="009F21B1" w:rsidRPr="00486FF7" w:rsidRDefault="009F21B1" w:rsidP="009F21B1">
      <w:pPr>
        <w:spacing w:after="200"/>
        <w:rPr>
          <w:rFonts w:eastAsia="Times New Roman"/>
          <w:szCs w:val="22"/>
          <w:lang w:val="fr-FR" w:eastAsia="pt-BR"/>
        </w:rPr>
      </w:pPr>
      <w:r>
        <w:rPr>
          <w:rFonts w:eastAsia="Times New Roman"/>
          <w:szCs w:val="22"/>
          <w:lang w:val="fr-FR" w:eastAsia="pt-BR"/>
        </w:rPr>
        <w:t>Le droit à une rémunération équitable en contrepartie de l’utilisation d’œuvres protégées, à la place du droit exclusif d’autorisation, qui figure dans le WPPT et le Traité de Beijing, pourrait constituer une option pour l’environnement numérique car il faciliterait l’utilisation de l’œuvre protégée sur des plates</w:t>
      </w:r>
      <w:r>
        <w:rPr>
          <w:rFonts w:eastAsia="Times New Roman"/>
          <w:szCs w:val="22"/>
          <w:lang w:val="fr-FR" w:eastAsia="pt-BR"/>
        </w:rPr>
        <w:noBreakHyphen/>
        <w:t>formes numériques et serait conforme à la rapidité et à la dynamique observées dans les modèles commerciaux en réseau (en ligne).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Encore plus intéressante, tout au moins du point de vue des artistes interprètes ou exécutants, la perspective d’une rémunération équitable pourrait permettre une meilleure rémunération de la communication au public et de la radiodiffusion des interprétations ou exécutions fixées sur des phonogrammes, car de nombreuses législations nationales les classent dans la catégorie des droits inaliénables ne pouvant pas faire l’objet de contrats de disque.  Comme pour les droits exclusifs, la rémunération équitable pourrait apporter un meilleur équilibre dans la relation entre ces artistes et les maisons de disques.</w:t>
      </w:r>
    </w:p>
    <w:p w:rsidR="009F21B1" w:rsidRDefault="009F21B1" w:rsidP="009F21B1">
      <w:pPr>
        <w:spacing w:after="200"/>
        <w:rPr>
          <w:rFonts w:eastAsia="Times New Roman"/>
          <w:szCs w:val="22"/>
          <w:lang w:val="fr-FR" w:eastAsia="pt-BR"/>
        </w:rPr>
      </w:pPr>
      <w:r>
        <w:rPr>
          <w:rFonts w:eastAsia="Times New Roman"/>
          <w:szCs w:val="22"/>
          <w:lang w:val="fr-FR" w:eastAsia="pt-BR"/>
        </w:rPr>
        <w:t>Cependant, des limitations à l’application du droit à une rémunération équitable demeurent.  Outre le fait que la plupart des législations nationales ne prévoient pas cette solution, sa mise en œuvre au niveau multilatéral se limite aux interprétations et exécutions fixées sur des phonogrammes.  De plus, il n’existe pas de consensus entre les auteurs, les artistes interprètes ou exécutants et les producteurs de phonogrammes concernant les avantages de l’adoption du principe de la rémunération équitable pour la communication au public et la radiodiffusion des œuvres.  C’est la raison pour laquelle le droit à une rémunération équitable est peu utilisé par rapport au droit exclusif, ce qui complique son application dans l’environnement numérique.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 tout état de cause, cette question devra aussi être examinée au niveau international, en tant que moyen d’assurer une rémunération plus juste aux artistes interprètes ou exécutants.  Cette solution pourrait également être étudiée pour les auteurs, car l’utilisation des œuvres sur les plates</w:t>
      </w:r>
      <w:r>
        <w:rPr>
          <w:rFonts w:eastAsia="Times New Roman"/>
          <w:szCs w:val="22"/>
          <w:lang w:val="fr-FR" w:eastAsia="pt-BR"/>
        </w:rPr>
        <w:noBreakHyphen/>
        <w:t>formes numériques se fait principalement par le biais de phonogrammes.  En autorisant l’utilisation des œuvres dans les phonogrammes, les auteurs exercent déjà leur droit exclusif.  Cela permet d’envisager la possibilité de leur garantir aussi une rémunération équitable dans l’environnement numérique.</w:t>
      </w:r>
    </w:p>
    <w:p w:rsidR="009F21B1" w:rsidRPr="00486FF7" w:rsidRDefault="009F21B1" w:rsidP="0038221F">
      <w:pPr>
        <w:numPr>
          <w:ilvl w:val="0"/>
          <w:numId w:val="8"/>
        </w:numPr>
        <w:spacing w:after="200"/>
        <w:ind w:left="0" w:firstLine="0"/>
        <w:contextualSpacing/>
        <w:rPr>
          <w:rFonts w:eastAsia="Times New Roman"/>
          <w:i/>
          <w:szCs w:val="22"/>
          <w:lang w:val="fr-FR" w:eastAsia="pt-BR"/>
        </w:rPr>
      </w:pPr>
      <w:r w:rsidRPr="00486FF7">
        <w:rPr>
          <w:rFonts w:eastAsia="Times New Roman"/>
          <w:i/>
          <w:szCs w:val="22"/>
          <w:lang w:val="fr-FR" w:eastAsia="pt-BR"/>
        </w:rPr>
        <w:t xml:space="preserve">Limitations </w:t>
      </w:r>
      <w:r>
        <w:rPr>
          <w:rFonts w:eastAsia="Times New Roman"/>
          <w:i/>
          <w:szCs w:val="22"/>
          <w:lang w:val="fr-FR" w:eastAsia="pt-BR"/>
        </w:rPr>
        <w:t xml:space="preserve">et </w:t>
      </w:r>
      <w:r w:rsidRPr="00486FF7">
        <w:rPr>
          <w:rFonts w:eastAsia="Times New Roman"/>
          <w:i/>
          <w:szCs w:val="22"/>
          <w:lang w:val="fr-FR" w:eastAsia="pt-BR"/>
        </w:rPr>
        <w:t xml:space="preserve">exceptions </w:t>
      </w:r>
      <w:r>
        <w:rPr>
          <w:rFonts w:eastAsia="Times New Roman"/>
          <w:i/>
          <w:szCs w:val="22"/>
          <w:lang w:val="fr-FR" w:eastAsia="pt-BR"/>
        </w:rPr>
        <w:t>relatives au droit d’auteur dans l’environnement numérique</w:t>
      </w:r>
    </w:p>
    <w:p w:rsidR="009F21B1" w:rsidRPr="0038221F" w:rsidRDefault="009F21B1" w:rsidP="0038221F">
      <w:pPr>
        <w:spacing w:after="200"/>
        <w:contextualSpacing/>
        <w:rPr>
          <w:rFonts w:eastAsia="Times New Roman"/>
          <w:szCs w:val="22"/>
          <w:lang w:val="fr-FR" w:eastAsia="pt-BR"/>
        </w:rPr>
      </w:pPr>
    </w:p>
    <w:p w:rsidR="009F21B1" w:rsidRDefault="009F21B1" w:rsidP="009F21B1">
      <w:pPr>
        <w:spacing w:after="200"/>
        <w:rPr>
          <w:rFonts w:eastAsia="Times New Roman"/>
          <w:szCs w:val="22"/>
          <w:lang w:val="fr-FR" w:eastAsia="pt-BR"/>
        </w:rPr>
      </w:pPr>
      <w:r>
        <w:rPr>
          <w:rFonts w:eastAsia="Times New Roman"/>
          <w:szCs w:val="22"/>
          <w:lang w:val="fr-FR" w:eastAsia="pt-BR"/>
        </w:rPr>
        <w:t>Les limitations et exceptions relatives au droit d’auteur sont une autre question importante dans l’environnement numérique.  S’il est compliqué de recenser les différents droits impliquant l’utilisation d’actifs de propriété intellectuelle protégés dans l’environnement numérique, il est encore plus difficile de déterminer les utilisations qui pourraient être considérées comme des exceptions et limitations acceptables dans l’exercice de ces droits.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Des traités internationaux, comme le WCT et le WPPT de l’OMPI, prévoient l’application de mesures techniques en tant que mécanismes nécessaires pour protéger l’exercice des droits exclusifs, notamment les droits liés à la lutte contre la contrefaçon, y compris en encourageant la pénalisation des actions visant à les supprimer ou à les rendre inutilisables pour toute œuvre ou production protégée.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Ces mesures techniques étaient déjà appliquées aux copies d’œuvres fixées, destinées aux circuits de distribution dans l’environnement physique, empêchant la copie du contenu des supports d’origine.  Même dans ce contexte, ces mesures constituaient un obstacle à certaines utilisations considérées dans plusieurs législations comme des limitations ou exceptions relatives au droit d’auteur, par exemple la copie privée.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Dans l’environnement numérique, le recours aux mesures techniques se fait de manière bien plus naturelle et efficace.  Grâce aux nouvelles solutions techniques, les modèles commerciaux sont déjà structurés pour l’environnement numérique qui permet un contrôle quasiment total de l’œuvre intellectuelle numérique, ce qui n’a jamais été possible dans l’environnement physique.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Grâce aux nouvelles technologies, comme la diffusion en continu, ces nouveaux modèles commerciaux numériques évoluent vers une logique d’accès aux œuvres intellectuelles et de restriction de cet accès.  La logique commerciale traditionnelle relative à la vente ou location d’œuvres est progressivement abandonnée dès lors que des changements clairs apparaissent dans la nature des procédures relatives au transfert de propriété ou de possession de ces œuvres.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Les modèles commerciaux caractérisés par la vente d’œuvres, par le biais du téléchargement, limitent dans une certaine mesure le transfert réel de propriété des œuvres numériques, ainsi que les actions ultérieures de l’utilisateur qui est lié par le format spécifique des œuvres numériques qu’il a acquises, l’application qui permet de procéder au transfert des œuvres et le profil précédemment enregistré.  Le format numérique de l’œuvre, par exemple, peut bloquer des opérations très simples, comme l’interopérabilité et la portabilité des œuvres, empêchant leur libre circulation entre les différents médias et systèmes.</w:t>
      </w:r>
    </w:p>
    <w:p w:rsidR="009F21B1" w:rsidRDefault="009F21B1" w:rsidP="009F21B1">
      <w:pPr>
        <w:spacing w:after="200"/>
        <w:rPr>
          <w:rFonts w:eastAsia="Times New Roman"/>
          <w:szCs w:val="22"/>
          <w:lang w:val="fr-FR" w:eastAsia="pt-BR"/>
        </w:rPr>
      </w:pPr>
      <w:r w:rsidRPr="005C64DF">
        <w:rPr>
          <w:rFonts w:eastAsia="Times New Roman"/>
          <w:szCs w:val="22"/>
          <w:lang w:val="fr-FR" w:eastAsia="pt-BR"/>
        </w:rPr>
        <w:t>Dans</w:t>
      </w:r>
      <w:r>
        <w:rPr>
          <w:rFonts w:eastAsia="Times New Roman"/>
          <w:szCs w:val="22"/>
          <w:lang w:val="fr-FR" w:eastAsia="pt-BR"/>
        </w:rPr>
        <w:t xml:space="preserve"> </w:t>
      </w:r>
      <w:r w:rsidRPr="005C64DF">
        <w:rPr>
          <w:rFonts w:eastAsia="Times New Roman"/>
          <w:szCs w:val="22"/>
          <w:lang w:val="fr-FR" w:eastAsia="pt-BR"/>
        </w:rPr>
        <w:t>les modèles commerciaux caractérisés par la location d</w:t>
      </w:r>
      <w:r>
        <w:rPr>
          <w:rFonts w:eastAsia="Times New Roman"/>
          <w:szCs w:val="22"/>
          <w:lang w:val="fr-FR" w:eastAsia="pt-BR"/>
        </w:rPr>
        <w:t>’</w:t>
      </w:r>
      <w:r w:rsidRPr="005C64DF">
        <w:rPr>
          <w:rFonts w:eastAsia="Times New Roman"/>
          <w:szCs w:val="22"/>
          <w:lang w:val="fr-FR" w:eastAsia="pt-BR"/>
        </w:rPr>
        <w:t>œuvre</w:t>
      </w:r>
      <w:r>
        <w:rPr>
          <w:rFonts w:eastAsia="Times New Roman"/>
          <w:szCs w:val="22"/>
          <w:lang w:val="fr-FR" w:eastAsia="pt-BR"/>
        </w:rPr>
        <w:t>s</w:t>
      </w:r>
      <w:r w:rsidRPr="005C64DF">
        <w:rPr>
          <w:rFonts w:eastAsia="Times New Roman"/>
          <w:szCs w:val="22"/>
          <w:lang w:val="fr-FR" w:eastAsia="pt-BR"/>
        </w:rPr>
        <w:t>, par exemple les services dans lesquels l</w:t>
      </w:r>
      <w:r>
        <w:rPr>
          <w:rFonts w:eastAsia="Times New Roman"/>
          <w:szCs w:val="22"/>
          <w:lang w:val="fr-FR" w:eastAsia="pt-BR"/>
        </w:rPr>
        <w:t>’</w:t>
      </w:r>
      <w:r w:rsidRPr="005C64DF">
        <w:rPr>
          <w:rFonts w:eastAsia="Times New Roman"/>
          <w:szCs w:val="22"/>
          <w:lang w:val="fr-FR" w:eastAsia="pt-BR"/>
        </w:rPr>
        <w:t>accès aux copies d</w:t>
      </w:r>
      <w:r>
        <w:rPr>
          <w:rFonts w:eastAsia="Times New Roman"/>
          <w:szCs w:val="22"/>
          <w:lang w:val="fr-FR" w:eastAsia="pt-BR"/>
        </w:rPr>
        <w:t>’</w:t>
      </w:r>
      <w:r w:rsidRPr="005C64DF">
        <w:rPr>
          <w:rFonts w:eastAsia="Times New Roman"/>
          <w:szCs w:val="22"/>
          <w:lang w:val="fr-FR" w:eastAsia="pt-BR"/>
        </w:rPr>
        <w:t>œuvres n</w:t>
      </w:r>
      <w:r>
        <w:rPr>
          <w:rFonts w:eastAsia="Times New Roman"/>
          <w:szCs w:val="22"/>
          <w:lang w:val="fr-FR" w:eastAsia="pt-BR"/>
        </w:rPr>
        <w:t>’</w:t>
      </w:r>
      <w:r w:rsidRPr="005C64DF">
        <w:rPr>
          <w:rFonts w:eastAsia="Times New Roman"/>
          <w:szCs w:val="22"/>
          <w:lang w:val="fr-FR" w:eastAsia="pt-BR"/>
        </w:rPr>
        <w:t>est possible qu</w:t>
      </w:r>
      <w:r>
        <w:rPr>
          <w:rFonts w:eastAsia="Times New Roman"/>
          <w:szCs w:val="22"/>
          <w:lang w:val="fr-FR" w:eastAsia="pt-BR"/>
        </w:rPr>
        <w:t>’</w:t>
      </w:r>
      <w:r w:rsidRPr="005C64DF">
        <w:rPr>
          <w:rFonts w:eastAsia="Times New Roman"/>
          <w:szCs w:val="22"/>
          <w:lang w:val="fr-FR" w:eastAsia="pt-BR"/>
        </w:rPr>
        <w:t>en contrepartie d</w:t>
      </w:r>
      <w:r>
        <w:rPr>
          <w:rFonts w:eastAsia="Times New Roman"/>
          <w:szCs w:val="22"/>
          <w:lang w:val="fr-FR" w:eastAsia="pt-BR"/>
        </w:rPr>
        <w:t>’</w:t>
      </w:r>
      <w:r w:rsidRPr="005C64DF">
        <w:rPr>
          <w:rFonts w:eastAsia="Times New Roman"/>
          <w:szCs w:val="22"/>
          <w:lang w:val="fr-FR" w:eastAsia="pt-BR"/>
        </w:rPr>
        <w:t xml:space="preserve">un paiement, la transaction commerciale se fait sous le contrôle </w:t>
      </w:r>
      <w:r>
        <w:rPr>
          <w:rFonts w:eastAsia="Times New Roman"/>
          <w:szCs w:val="22"/>
          <w:lang w:val="fr-FR" w:eastAsia="pt-BR"/>
        </w:rPr>
        <w:t>total</w:t>
      </w:r>
      <w:r w:rsidRPr="005C64DF">
        <w:rPr>
          <w:rFonts w:eastAsia="Times New Roman"/>
          <w:szCs w:val="22"/>
          <w:lang w:val="fr-FR" w:eastAsia="pt-BR"/>
        </w:rPr>
        <w:t xml:space="preserve"> du transfert de propriété par le fournisseur de services.</w:t>
      </w:r>
      <w:r>
        <w:rPr>
          <w:rFonts w:eastAsia="Times New Roman"/>
          <w:szCs w:val="22"/>
          <w:lang w:val="fr-FR" w:eastAsia="pt-BR"/>
        </w:rPr>
        <w:t xml:space="preserve">  Une copie temporaire est alors placée sur le système de l’utilisateur et supprimée à distance par des mesures techniques, sous le strict contrôle des prestataires de services.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Par conséquent, des contraintes technologiques limitent naturellement la marge de manœuvre des utilisateurs dans l’environnement numérique, offrant un support matériel caractérisé par le contrôle total de l’ensemble des procédures inhérentes aux services proposés.</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Dans ce contexte, les contraintes technologiques jouent un rôle essentiel dans la définition et l’identification des utilisations justes et acceptables en tant que limitations et exceptions relatives au droit d’auteur dans l’environnement numérique.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 outre, comme s’il n’y avait pas suffisamment de barrières techniques dans la sphère juridique, des doutes persistent quant à l’efficacité du triple critère pour la détermination des limitations et exceptions relatives au droit d’auteur dans l’environnement numérique.</w:t>
      </w:r>
    </w:p>
    <w:p w:rsidR="009F21B1" w:rsidRDefault="009F21B1" w:rsidP="009F21B1">
      <w:pPr>
        <w:spacing w:after="200"/>
        <w:rPr>
          <w:rFonts w:eastAsia="Times New Roman"/>
          <w:szCs w:val="22"/>
          <w:lang w:val="fr-FR" w:eastAsia="pt-BR"/>
        </w:rPr>
      </w:pPr>
      <w:r>
        <w:rPr>
          <w:rFonts w:eastAsia="Times New Roman"/>
          <w:szCs w:val="22"/>
          <w:lang w:val="fr-FR" w:eastAsia="pt-BR"/>
        </w:rPr>
        <w:t>La difficulté concerne l’application du deuxième critère, lorsque l’exception ou la limitation à établir ne doit pas porter atteinte à l’exploitation normale de l’œuvre.  Il ne faut pas oublier qu’à l’Organisation mondiale du commerce, l’interprétation de ce que l’on entend par “normal” est liée à des pratiques conformes aux principes juridiques admis à l’échelle internationale.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 xml:space="preserve">Comme </w:t>
      </w:r>
      <w:r w:rsidRPr="00984CA7">
        <w:rPr>
          <w:rFonts w:eastAsia="Times New Roman"/>
          <w:szCs w:val="22"/>
          <w:lang w:val="fr-FR" w:eastAsia="pt-BR"/>
        </w:rPr>
        <w:t>les nouveaux modèles commerciaux dans l</w:t>
      </w:r>
      <w:r>
        <w:rPr>
          <w:rFonts w:eastAsia="Times New Roman"/>
          <w:szCs w:val="22"/>
          <w:lang w:val="fr-FR" w:eastAsia="pt-BR"/>
        </w:rPr>
        <w:t>’</w:t>
      </w:r>
      <w:r w:rsidRPr="00984CA7">
        <w:rPr>
          <w:rFonts w:eastAsia="Times New Roman"/>
          <w:szCs w:val="22"/>
          <w:lang w:val="fr-FR" w:eastAsia="pt-BR"/>
        </w:rPr>
        <w:t xml:space="preserve">environnement numérique </w:t>
      </w:r>
      <w:r>
        <w:rPr>
          <w:rFonts w:eastAsia="Times New Roman"/>
          <w:szCs w:val="22"/>
          <w:lang w:val="fr-FR" w:eastAsia="pt-BR"/>
        </w:rPr>
        <w:t>permettent d’exploiter</w:t>
      </w:r>
      <w:r w:rsidRPr="00984CA7">
        <w:rPr>
          <w:rFonts w:eastAsia="Times New Roman"/>
          <w:szCs w:val="22"/>
          <w:lang w:val="fr-FR" w:eastAsia="pt-BR"/>
        </w:rPr>
        <w:t xml:space="preserve"> les</w:t>
      </w:r>
      <w:r>
        <w:rPr>
          <w:rFonts w:eastAsia="Times New Roman"/>
          <w:szCs w:val="22"/>
          <w:lang w:val="fr-FR" w:eastAsia="pt-BR"/>
        </w:rPr>
        <w:t xml:space="preserve"> œuvres intellectuelles grâce à l’utilisation de mesures techniques prévues par les traités internationaux, toute limitation ou exception nécessitant le retrait ou l’élimination de ces mesures techniques peut être considérée comme non raisonnable puisqu’elle porte atteinte à la forme d’exploitation économique “normale” de ces œuvres dans l’environnement numérique.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 résumé, les mesures techniques prévues dans les nouveaux modèles commerciaux de l’environnement numérique, généralement présentées comme inhérentes</w:t>
      </w:r>
      <w:r w:rsidRPr="00625D96">
        <w:rPr>
          <w:rFonts w:eastAsia="Times New Roman"/>
          <w:szCs w:val="22"/>
          <w:lang w:val="fr-FR" w:eastAsia="pt-BR"/>
        </w:rPr>
        <w:t xml:space="preserve"> </w:t>
      </w:r>
      <w:r>
        <w:rPr>
          <w:rFonts w:eastAsia="Times New Roman"/>
          <w:szCs w:val="22"/>
          <w:lang w:val="fr-FR" w:eastAsia="pt-BR"/>
        </w:rPr>
        <w:t>aux solutions techniques, et en quelque sorte inévitables, tout comme l’établissement de normes concernant ces mesures dans les traités internationaux, combinées à l’application du triple critère, limitent la portée des limitations et exceptions relatives au droit d’auteur envisageables dans l’environnement numérique</w:t>
      </w:r>
      <w:r w:rsidRPr="00486FF7">
        <w:rPr>
          <w:rFonts w:eastAsia="Times New Roman"/>
          <w:szCs w:val="22"/>
          <w:lang w:val="fr-FR" w:eastAsia="pt-BR"/>
        </w:rPr>
        <w:t>.</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Cependant, malgré toutes ces difficultés, il convient de souligner l’intérêt général des limitations et exceptions, qui sont essentielles à la préservation d’autres droits fondamentaux, tels que la liberté d’expression et l’accès à la culture, au savoir et à l’information</w:t>
      </w:r>
      <w:r w:rsidRPr="00486FF7">
        <w:rPr>
          <w:rFonts w:eastAsia="Times New Roman"/>
          <w:szCs w:val="22"/>
          <w:lang w:val="fr-FR" w:eastAsia="pt-BR"/>
        </w:rPr>
        <w:t>.</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En outre, l’utilisateur ne doit pas être considéré comme l’auteur potentiel d’atteintes au droit d’auteur mais comme la partie qui finance directement ou indirectement toute la chaîne commerciale mondiale dans l’environnement numérique, titulaire de droits qui font nécessairement l’objet d’utilisations pouvant s’inscrire dans le cadre des limitations ou exceptions relatives au droit d’auteur.</w:t>
      </w:r>
    </w:p>
    <w:p w:rsidR="009F21B1" w:rsidRPr="00486FF7" w:rsidRDefault="009F21B1" w:rsidP="009F21B1">
      <w:pPr>
        <w:spacing w:after="200"/>
        <w:rPr>
          <w:rFonts w:eastAsia="Times New Roman"/>
          <w:b/>
          <w:szCs w:val="22"/>
          <w:lang w:val="fr-FR" w:eastAsia="pt-BR"/>
        </w:rPr>
      </w:pPr>
      <w:r w:rsidRPr="00486FF7">
        <w:rPr>
          <w:rFonts w:eastAsia="Times New Roman"/>
          <w:b/>
          <w:szCs w:val="22"/>
          <w:lang w:val="fr-FR" w:eastAsia="pt-BR"/>
        </w:rPr>
        <w:t>IV.</w:t>
      </w:r>
      <w:r>
        <w:rPr>
          <w:rFonts w:eastAsia="Times New Roman"/>
          <w:b/>
          <w:szCs w:val="22"/>
          <w:lang w:val="fr-FR" w:eastAsia="pt-BR"/>
        </w:rPr>
        <w:tab/>
      </w:r>
      <w:r w:rsidRPr="00486FF7">
        <w:rPr>
          <w:rFonts w:eastAsia="Times New Roman"/>
          <w:b/>
          <w:szCs w:val="22"/>
          <w:lang w:val="fr-FR" w:eastAsia="pt-BR"/>
        </w:rPr>
        <w:t>Conclusion</w:t>
      </w:r>
    </w:p>
    <w:p w:rsidR="009F21B1" w:rsidRDefault="009F21B1" w:rsidP="009F21B1">
      <w:pPr>
        <w:spacing w:after="200"/>
        <w:rPr>
          <w:rFonts w:eastAsia="Times New Roman"/>
          <w:szCs w:val="22"/>
          <w:lang w:val="fr-FR" w:eastAsia="pt-BR"/>
        </w:rPr>
      </w:pPr>
      <w:r>
        <w:rPr>
          <w:rFonts w:eastAsia="Times New Roman"/>
          <w:szCs w:val="22"/>
          <w:lang w:val="fr-FR" w:eastAsia="pt-BR"/>
        </w:rPr>
        <w:t>Le lancement du plan d’action numérique et l’adoption des traités de l’OMPI – WCT et WPPT – ont facilité l’avancement des débats multilatéraux sur la réglementation du droit d’auteur dans l’environnement numérique.  Cependant, les progrès technologiques et les nouveaux modèles commerciaux rendent insuffisantes les solutions adoptées jusqu’à présent.</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Cette réalité justifie</w:t>
      </w:r>
      <w:r w:rsidRPr="00486FF7">
        <w:rPr>
          <w:rFonts w:eastAsia="Times New Roman"/>
          <w:szCs w:val="22"/>
          <w:lang w:val="fr-FR" w:eastAsia="pt-BR"/>
        </w:rPr>
        <w:t xml:space="preserve"> </w:t>
      </w:r>
      <w:r>
        <w:rPr>
          <w:rFonts w:eastAsia="Times New Roman"/>
          <w:szCs w:val="22"/>
          <w:lang w:val="fr-FR" w:eastAsia="pt-BR"/>
        </w:rPr>
        <w:t>les débats menés dans ce domaine en vue d’une solution consensuelle à l’OMPI.  Il faut trouver une solution faisant état des progrès récents enregistrés dans le domaine des technologies de l’information et de la communication et des modèles commerciaux correspondants dans le domaine du commerce électronique.</w:t>
      </w:r>
    </w:p>
    <w:p w:rsidR="009F21B1" w:rsidRPr="00486FF7" w:rsidRDefault="009F21B1" w:rsidP="009F21B1">
      <w:pPr>
        <w:spacing w:after="200"/>
        <w:rPr>
          <w:rFonts w:eastAsia="Times New Roman"/>
          <w:szCs w:val="22"/>
          <w:lang w:val="fr-FR" w:eastAsia="pt-BR"/>
        </w:rPr>
      </w:pPr>
      <w:r>
        <w:rPr>
          <w:rFonts w:eastAsia="Times New Roman"/>
          <w:szCs w:val="22"/>
          <w:lang w:val="fr-FR" w:eastAsia="pt-BR"/>
        </w:rPr>
        <w:t>Nous sommes d’avis qu’une analyse plus globale de cette question est nécessaire pour trouver un consensus sur la manière de procéder afin de rendre plus efficace la réglementation des questions relatives à l’environnement numérique au niveau multilatéral.</w:t>
      </w:r>
    </w:p>
    <w:p w:rsidR="009F21B1" w:rsidRDefault="009F21B1" w:rsidP="009F21B1">
      <w:pPr>
        <w:rPr>
          <w:rFonts w:eastAsia="Times New Roman"/>
          <w:szCs w:val="22"/>
          <w:lang w:val="fr-FR" w:eastAsia="pt-BR"/>
        </w:rPr>
      </w:pPr>
      <w:r>
        <w:rPr>
          <w:rFonts w:eastAsia="Times New Roman"/>
          <w:szCs w:val="22"/>
          <w:lang w:val="fr-FR" w:eastAsia="pt-BR"/>
        </w:rPr>
        <w:t>Ce débat est fondamental pour une utilisation plus juste et plus équilibrée des œuvres intellectuelles dans l’environnement numérique.  Il favorisera le développement du marché numérique des œuvres intellectuelles protégées, qui bénéficiera aux titulaires de droit d’auteur et de droits connexes et à la communauté internationale en général</w:t>
      </w:r>
      <w:r w:rsidRPr="00486FF7">
        <w:rPr>
          <w:rFonts w:eastAsia="Times New Roman"/>
          <w:szCs w:val="22"/>
          <w:lang w:val="fr-FR" w:eastAsia="pt-BR"/>
        </w:rPr>
        <w:t>.</w:t>
      </w:r>
    </w:p>
    <w:p w:rsidR="009F21B1" w:rsidRDefault="009F21B1" w:rsidP="009F21B1">
      <w:pPr>
        <w:rPr>
          <w:rFonts w:eastAsia="Times New Roman"/>
          <w:szCs w:val="22"/>
          <w:lang w:val="fr-FR" w:eastAsia="pt-BR"/>
        </w:rPr>
      </w:pPr>
    </w:p>
    <w:p w:rsidR="009F21B1" w:rsidRDefault="009F21B1" w:rsidP="009F21B1">
      <w:pPr>
        <w:rPr>
          <w:rFonts w:eastAsia="Times New Roman"/>
          <w:szCs w:val="22"/>
          <w:lang w:val="fr-FR" w:eastAsia="pt-BR"/>
        </w:rPr>
      </w:pPr>
    </w:p>
    <w:p w:rsidR="009F21B1" w:rsidRPr="00486FF7" w:rsidRDefault="009F21B1" w:rsidP="009F21B1">
      <w:pPr>
        <w:rPr>
          <w:rFonts w:eastAsia="Times New Roman"/>
          <w:szCs w:val="22"/>
          <w:lang w:val="fr-FR" w:eastAsia="pt-BR"/>
        </w:rPr>
      </w:pPr>
    </w:p>
    <w:p w:rsidR="009F21B1" w:rsidRPr="00486FF7" w:rsidRDefault="009F21B1" w:rsidP="009F21B1">
      <w:pPr>
        <w:ind w:left="5760"/>
        <w:rPr>
          <w:szCs w:val="22"/>
          <w:lang w:val="fr-FR"/>
        </w:rPr>
      </w:pPr>
      <w:r w:rsidRPr="00486FF7">
        <w:rPr>
          <w:szCs w:val="22"/>
          <w:lang w:val="fr-FR"/>
        </w:rPr>
        <w:t>[</w:t>
      </w:r>
      <w:r>
        <w:rPr>
          <w:szCs w:val="22"/>
          <w:lang w:val="fr-FR"/>
        </w:rPr>
        <w:t>Fin du</w:t>
      </w:r>
      <w:r w:rsidRPr="00486FF7">
        <w:rPr>
          <w:szCs w:val="22"/>
          <w:lang w:val="fr-FR"/>
        </w:rPr>
        <w:t xml:space="preserve"> document]</w:t>
      </w:r>
    </w:p>
    <w:p w:rsidR="000F5E56" w:rsidRPr="00E6783F" w:rsidRDefault="000F5E56" w:rsidP="00E6783F">
      <w:pPr>
        <w:rPr>
          <w:lang w:val="fr-FR"/>
        </w:rPr>
      </w:pPr>
    </w:p>
    <w:sectPr w:rsidR="000F5E56" w:rsidRPr="00E6783F" w:rsidSect="0038221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81" w:rsidRDefault="00566D81">
      <w:r>
        <w:separator/>
      </w:r>
    </w:p>
  </w:endnote>
  <w:endnote w:type="continuationSeparator" w:id="0">
    <w:p w:rsidR="00566D81" w:rsidRPr="009D30E6" w:rsidRDefault="00566D81" w:rsidP="00D45252">
      <w:pPr>
        <w:rPr>
          <w:sz w:val="17"/>
          <w:szCs w:val="17"/>
        </w:rPr>
      </w:pPr>
      <w:r w:rsidRPr="009D30E6">
        <w:rPr>
          <w:sz w:val="17"/>
          <w:szCs w:val="17"/>
        </w:rPr>
        <w:separator/>
      </w:r>
    </w:p>
    <w:p w:rsidR="00566D81" w:rsidRPr="009D30E6" w:rsidRDefault="00566D81" w:rsidP="00D45252">
      <w:pPr>
        <w:spacing w:after="60"/>
        <w:rPr>
          <w:sz w:val="17"/>
          <w:szCs w:val="17"/>
        </w:rPr>
      </w:pPr>
      <w:r w:rsidRPr="009D30E6">
        <w:rPr>
          <w:sz w:val="17"/>
          <w:szCs w:val="17"/>
        </w:rPr>
        <w:t>[Suite de la note de la page précédente]</w:t>
      </w:r>
    </w:p>
  </w:endnote>
  <w:endnote w:type="continuationNotice" w:id="1">
    <w:p w:rsidR="00566D81" w:rsidRPr="009D30E6" w:rsidRDefault="00566D8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81" w:rsidRDefault="00566D81">
      <w:r>
        <w:separator/>
      </w:r>
    </w:p>
  </w:footnote>
  <w:footnote w:type="continuationSeparator" w:id="0">
    <w:p w:rsidR="00566D81" w:rsidRDefault="00566D81" w:rsidP="007461F1">
      <w:r>
        <w:separator/>
      </w:r>
    </w:p>
    <w:p w:rsidR="00566D81" w:rsidRPr="009D30E6" w:rsidRDefault="00566D81" w:rsidP="007461F1">
      <w:pPr>
        <w:spacing w:after="60"/>
        <w:rPr>
          <w:sz w:val="17"/>
          <w:szCs w:val="17"/>
        </w:rPr>
      </w:pPr>
      <w:r w:rsidRPr="009D30E6">
        <w:rPr>
          <w:sz w:val="17"/>
          <w:szCs w:val="17"/>
        </w:rPr>
        <w:t>[Suite de la note de la page précédente]</w:t>
      </w:r>
    </w:p>
  </w:footnote>
  <w:footnote w:type="continuationNotice" w:id="1">
    <w:p w:rsidR="00566D81" w:rsidRPr="009D30E6" w:rsidRDefault="00566D81" w:rsidP="007461F1">
      <w:pPr>
        <w:spacing w:before="60"/>
        <w:jc w:val="right"/>
        <w:rPr>
          <w:sz w:val="17"/>
          <w:szCs w:val="17"/>
        </w:rPr>
      </w:pPr>
      <w:r w:rsidRPr="009D30E6">
        <w:rPr>
          <w:sz w:val="17"/>
          <w:szCs w:val="17"/>
        </w:rPr>
        <w:t>[Suite de la note page suivante]</w:t>
      </w:r>
    </w:p>
  </w:footnote>
  <w:footnote w:id="2">
    <w:p w:rsidR="00566D81" w:rsidRPr="00A035BC" w:rsidRDefault="00566D81" w:rsidP="00E6783F">
      <w:pPr>
        <w:pStyle w:val="FootnoteText"/>
      </w:pPr>
      <w:r>
        <w:rPr>
          <w:rStyle w:val="FootnoteReference"/>
        </w:rPr>
        <w:footnoteRef/>
      </w:r>
      <w:r>
        <w:t xml:space="preserve"> </w:t>
      </w:r>
      <w:r w:rsidR="00F5100B">
        <w:tab/>
      </w:r>
      <w:hyperlink r:id="rId1" w:history="1">
        <w:r w:rsidRPr="0038221F">
          <w:rPr>
            <w:rStyle w:val="Hyperlink"/>
          </w:rPr>
          <w:t>http://www.wipo.int/ip</w:t>
        </w:r>
        <w:r w:rsidR="00E06E81" w:rsidRPr="0038221F">
          <w:rPr>
            <w:rStyle w:val="Hyperlink"/>
          </w:rPr>
          <w:t>-</w:t>
        </w:r>
        <w:r w:rsidRPr="0038221F">
          <w:rPr>
            <w:rStyle w:val="Hyperlink"/>
          </w:rPr>
          <w:t>outreach/fr/ipday/2015/dg_message.html</w:t>
        </w:r>
      </w:hyperlink>
      <w:r>
        <w:rPr>
          <w:color w:val="000000"/>
        </w:rPr>
        <w:t>.</w:t>
      </w:r>
    </w:p>
  </w:footnote>
  <w:footnote w:id="3">
    <w:p w:rsidR="00566D81" w:rsidRPr="00D1628F" w:rsidRDefault="00566D81" w:rsidP="00E6783F">
      <w:pPr>
        <w:pStyle w:val="FootnoteText"/>
      </w:pPr>
      <w:r>
        <w:rPr>
          <w:rStyle w:val="FootnoteReference"/>
        </w:rPr>
        <w:footnoteRef/>
      </w:r>
      <w:r w:rsidRPr="00D1628F">
        <w:t xml:space="preserve"> </w:t>
      </w:r>
      <w:r w:rsidR="00F5100B">
        <w:tab/>
      </w:r>
      <w:hyperlink r:id="rId2" w:history="1">
        <w:r w:rsidRPr="0038221F">
          <w:rPr>
            <w:rStyle w:val="Hyperlink"/>
          </w:rPr>
          <w:t>http://www.theguardian.com/music/2013/oct/11/david</w:t>
        </w:r>
        <w:r w:rsidR="00E06E81" w:rsidRPr="0038221F">
          <w:rPr>
            <w:rStyle w:val="Hyperlink"/>
          </w:rPr>
          <w:t>-</w:t>
        </w:r>
        <w:r w:rsidRPr="0038221F">
          <w:rPr>
            <w:rStyle w:val="Hyperlink"/>
          </w:rPr>
          <w:t>byrne</w:t>
        </w:r>
        <w:r w:rsidR="00E06E81" w:rsidRPr="0038221F">
          <w:rPr>
            <w:rStyle w:val="Hyperlink"/>
          </w:rPr>
          <w:t>-</w:t>
        </w:r>
        <w:r w:rsidRPr="0038221F">
          <w:rPr>
            <w:rStyle w:val="Hyperlink"/>
          </w:rPr>
          <w:t>internet</w:t>
        </w:r>
        <w:r w:rsidR="00E06E81" w:rsidRPr="0038221F">
          <w:rPr>
            <w:rStyle w:val="Hyperlink"/>
          </w:rPr>
          <w:t>-</w:t>
        </w:r>
        <w:r w:rsidRPr="0038221F">
          <w:rPr>
            <w:rStyle w:val="Hyperlink"/>
          </w:rPr>
          <w:t>content</w:t>
        </w:r>
        <w:r w:rsidR="00E06E81" w:rsidRPr="0038221F">
          <w:rPr>
            <w:rStyle w:val="Hyperlink"/>
          </w:rPr>
          <w:t>-</w:t>
        </w:r>
        <w:r w:rsidRPr="0038221F">
          <w:rPr>
            <w:rStyle w:val="Hyperlink"/>
          </w:rPr>
          <w:t>world</w:t>
        </w:r>
      </w:hyperlink>
      <w:r>
        <w:rPr>
          <w:color w:val="000000"/>
        </w:rPr>
        <w:t>.</w:t>
      </w:r>
    </w:p>
  </w:footnote>
  <w:footnote w:id="4">
    <w:p w:rsidR="00566D81" w:rsidRPr="00CD0314" w:rsidRDefault="00566D81" w:rsidP="00E6783F">
      <w:pPr>
        <w:pStyle w:val="FootnoteText"/>
      </w:pPr>
      <w:r w:rsidRPr="00B065D7">
        <w:rPr>
          <w:rStyle w:val="FootnoteReference"/>
        </w:rPr>
        <w:footnoteRef/>
      </w:r>
      <w:r w:rsidRPr="00B065D7">
        <w:t xml:space="preserve"> </w:t>
      </w:r>
      <w:r w:rsidR="00E06E81">
        <w:tab/>
      </w:r>
      <w:r w:rsidRPr="00B065D7">
        <w:t>Confédération Internationale des Sociétés d</w:t>
      </w:r>
      <w:r w:rsidR="00E06E81">
        <w:t>’</w:t>
      </w:r>
      <w:r w:rsidRPr="00B065D7">
        <w:t>Auteurs e</w:t>
      </w:r>
      <w:r w:rsidR="00F5100B">
        <w:t>t Compositeurs (CISAC), Rapport </w:t>
      </w:r>
      <w:r w:rsidRPr="00B065D7">
        <w:t xml:space="preserve">2015 sur les droits perçus dans le monde. </w:t>
      </w:r>
      <w:r w:rsidR="009F2DDE">
        <w:t xml:space="preserve"> </w:t>
      </w:r>
      <w:r w:rsidRPr="00B065D7">
        <w:t>Disponible à l</w:t>
      </w:r>
      <w:r w:rsidR="00E06E81">
        <w:t>’</w:t>
      </w:r>
      <w:r w:rsidRPr="00B065D7">
        <w:t>adresse</w:t>
      </w:r>
      <w:r w:rsidR="009F2DDE">
        <w:t> </w:t>
      </w:r>
      <w:r w:rsidRPr="00B065D7">
        <w:t xml:space="preserve">: </w:t>
      </w:r>
      <w:hyperlink r:id="rId3" w:history="1">
        <w:r w:rsidRPr="0038221F">
          <w:rPr>
            <w:rStyle w:val="Hyperlink"/>
          </w:rPr>
          <w:t>http://fr.cisac.org/CISAC</w:t>
        </w:r>
        <w:r w:rsidR="00E06E81" w:rsidRPr="0038221F">
          <w:rPr>
            <w:rStyle w:val="Hyperlink"/>
          </w:rPr>
          <w:t>-</w:t>
        </w:r>
        <w:r w:rsidRPr="0038221F">
          <w:rPr>
            <w:rStyle w:val="Hyperlink"/>
          </w:rPr>
          <w:t>FR/l</w:t>
        </w:r>
        <w:r w:rsidR="00E06E81" w:rsidRPr="0038221F">
          <w:rPr>
            <w:rStyle w:val="Hyperlink"/>
          </w:rPr>
          <w:t>-</w:t>
        </w:r>
        <w:r w:rsidRPr="0038221F">
          <w:rPr>
            <w:rStyle w:val="Hyperlink"/>
          </w:rPr>
          <w:t>universite</w:t>
        </w:r>
        <w:r w:rsidR="00E06E81" w:rsidRPr="0038221F">
          <w:rPr>
            <w:rStyle w:val="Hyperlink"/>
          </w:rPr>
          <w:t>-</w:t>
        </w:r>
        <w:r w:rsidRPr="0038221F">
          <w:rPr>
            <w:rStyle w:val="Hyperlink"/>
          </w:rPr>
          <w:t>CISAC/Publications/La</w:t>
        </w:r>
        <w:r w:rsidR="00E06E81" w:rsidRPr="0038221F">
          <w:rPr>
            <w:rStyle w:val="Hyperlink"/>
          </w:rPr>
          <w:t>-</w:t>
        </w:r>
        <w:r w:rsidRPr="0038221F">
          <w:rPr>
            <w:rStyle w:val="Hyperlink"/>
          </w:rPr>
          <w:t>CISAC</w:t>
        </w:r>
        <w:r w:rsidR="00E06E81" w:rsidRPr="0038221F">
          <w:rPr>
            <w:rStyle w:val="Hyperlink"/>
          </w:rPr>
          <w:t>-</w:t>
        </w:r>
        <w:r w:rsidRPr="0038221F">
          <w:rPr>
            <w:rStyle w:val="Hyperlink"/>
          </w:rPr>
          <w:t>publie</w:t>
        </w:r>
        <w:r w:rsidR="00E06E81" w:rsidRPr="0038221F">
          <w:rPr>
            <w:rStyle w:val="Hyperlink"/>
          </w:rPr>
          <w:t>-</w:t>
        </w:r>
        <w:r w:rsidRPr="0038221F">
          <w:rPr>
            <w:rStyle w:val="Hyperlink"/>
          </w:rPr>
          <w:t>son</w:t>
        </w:r>
        <w:r w:rsidR="00E06E81" w:rsidRPr="0038221F">
          <w:rPr>
            <w:rStyle w:val="Hyperlink"/>
          </w:rPr>
          <w:t>-</w:t>
        </w:r>
        <w:r w:rsidRPr="0038221F">
          <w:rPr>
            <w:rStyle w:val="Hyperlink"/>
          </w:rPr>
          <w:t>nouveau</w:t>
        </w:r>
        <w:r w:rsidR="00E06E81" w:rsidRPr="0038221F">
          <w:rPr>
            <w:rStyle w:val="Hyperlink"/>
          </w:rPr>
          <w:t>-</w:t>
        </w:r>
        <w:r w:rsidRPr="0038221F">
          <w:rPr>
            <w:rStyle w:val="Hyperlink"/>
          </w:rPr>
          <w:t>Rapport</w:t>
        </w:r>
        <w:r w:rsidR="00E06E81" w:rsidRPr="0038221F">
          <w:rPr>
            <w:rStyle w:val="Hyperlink"/>
          </w:rPr>
          <w:t>-</w:t>
        </w:r>
        <w:r w:rsidRPr="0038221F">
          <w:rPr>
            <w:rStyle w:val="Hyperlink"/>
          </w:rPr>
          <w:t>sur</w:t>
        </w:r>
        <w:r w:rsidR="00E06E81" w:rsidRPr="0038221F">
          <w:rPr>
            <w:rStyle w:val="Hyperlink"/>
          </w:rPr>
          <w:t>-</w:t>
        </w:r>
        <w:r w:rsidRPr="0038221F">
          <w:rPr>
            <w:rStyle w:val="Hyperlink"/>
          </w:rPr>
          <w:t>les</w:t>
        </w:r>
        <w:r w:rsidR="00E06E81" w:rsidRPr="0038221F">
          <w:rPr>
            <w:rStyle w:val="Hyperlink"/>
          </w:rPr>
          <w:t>-</w:t>
        </w:r>
        <w:r w:rsidRPr="0038221F">
          <w:rPr>
            <w:rStyle w:val="Hyperlink"/>
          </w:rPr>
          <w:t>perceptions</w:t>
        </w:r>
        <w:r w:rsidR="00E06E81" w:rsidRPr="0038221F">
          <w:rPr>
            <w:rStyle w:val="Hyperlink"/>
          </w:rPr>
          <w:t>-</w:t>
        </w:r>
        <w:r w:rsidRPr="0038221F">
          <w:rPr>
            <w:rStyle w:val="Hyperlink"/>
          </w:rPr>
          <w:t>mondiales</w:t>
        </w:r>
        <w:r w:rsidR="00E06E81" w:rsidRPr="0038221F">
          <w:rPr>
            <w:rStyle w:val="Hyperlink"/>
          </w:rPr>
          <w:t>-</w:t>
        </w:r>
        <w:r w:rsidRPr="0038221F">
          <w:rPr>
            <w:rStyle w:val="Hyperlink"/>
          </w:rPr>
          <w:t>de</w:t>
        </w:r>
        <w:r w:rsidR="00E06E81" w:rsidRPr="0038221F">
          <w:rPr>
            <w:rStyle w:val="Hyperlink"/>
          </w:rPr>
          <w:t>-</w:t>
        </w:r>
        <w:r w:rsidRPr="0038221F">
          <w:rPr>
            <w:rStyle w:val="Hyperlink"/>
          </w:rPr>
          <w:t>droit</w:t>
        </w:r>
        <w:r w:rsidR="00E06E81" w:rsidRPr="0038221F">
          <w:rPr>
            <w:rStyle w:val="Hyperlink"/>
          </w:rPr>
          <w:t>-</w:t>
        </w:r>
        <w:r w:rsidRPr="0038221F">
          <w:rPr>
            <w:rStyle w:val="Hyperlink"/>
          </w:rPr>
          <w:t>d</w:t>
        </w:r>
        <w:r w:rsidR="00E06E81" w:rsidRPr="0038221F">
          <w:rPr>
            <w:rStyle w:val="Hyperlink"/>
          </w:rPr>
          <w:t>-</w:t>
        </w:r>
        <w:r w:rsidRPr="0038221F">
          <w:rPr>
            <w:rStyle w:val="Hyperlink"/>
          </w:rPr>
          <w:t>auteur</w:t>
        </w:r>
      </w:hyperlink>
      <w:r w:rsidRPr="00B065D7">
        <w:t>.</w:t>
      </w:r>
    </w:p>
  </w:footnote>
  <w:footnote w:id="5">
    <w:p w:rsidR="00566D81" w:rsidRPr="00197DDD" w:rsidRDefault="00566D81" w:rsidP="00E6783F">
      <w:pPr>
        <w:pStyle w:val="FootnoteText"/>
      </w:pPr>
      <w:r>
        <w:rPr>
          <w:rStyle w:val="FootnoteReference"/>
        </w:rPr>
        <w:footnoteRef/>
      </w:r>
      <w:r w:rsidRPr="00393BF4">
        <w:t xml:space="preserve"> </w:t>
      </w:r>
      <w:r w:rsidR="00F5100B">
        <w:tab/>
      </w:r>
      <w:r w:rsidRPr="00197DDD">
        <w:t xml:space="preserve">Document WIPO/CR/KRT/05/7, </w:t>
      </w:r>
      <w:r w:rsidRPr="00197DDD">
        <w:rPr>
          <w:i/>
        </w:rPr>
        <w:t xml:space="preserve">Copyright In The Digital </w:t>
      </w:r>
      <w:proofErr w:type="spellStart"/>
      <w:r w:rsidRPr="00197DDD">
        <w:rPr>
          <w:i/>
        </w:rPr>
        <w:t>Environment</w:t>
      </w:r>
      <w:proofErr w:type="spellEnd"/>
      <w:r w:rsidRPr="00197DDD">
        <w:rPr>
          <w:i/>
        </w:rPr>
        <w:t xml:space="preserve">: The WIPO Copyright </w:t>
      </w:r>
      <w:proofErr w:type="spellStart"/>
      <w:r w:rsidRPr="00197DDD">
        <w:rPr>
          <w:i/>
        </w:rPr>
        <w:t>Treaty</w:t>
      </w:r>
      <w:proofErr w:type="spellEnd"/>
      <w:r w:rsidRPr="00197DDD">
        <w:rPr>
          <w:i/>
        </w:rPr>
        <w:t xml:space="preserve"> (WCT) And The WIPO Performances and </w:t>
      </w:r>
      <w:proofErr w:type="spellStart"/>
      <w:r w:rsidRPr="00197DDD">
        <w:rPr>
          <w:i/>
        </w:rPr>
        <w:t>Phonograms</w:t>
      </w:r>
      <w:proofErr w:type="spellEnd"/>
      <w:r w:rsidRPr="00197DDD">
        <w:rPr>
          <w:i/>
        </w:rPr>
        <w:t xml:space="preserve"> </w:t>
      </w:r>
      <w:proofErr w:type="spellStart"/>
      <w:r w:rsidRPr="00197DDD">
        <w:rPr>
          <w:i/>
        </w:rPr>
        <w:t>Treaty</w:t>
      </w:r>
      <w:proofErr w:type="spellEnd"/>
      <w:r w:rsidRPr="00197DDD">
        <w:rPr>
          <w:i/>
        </w:rPr>
        <w:t xml:space="preserve"> (WPPT), </w:t>
      </w:r>
      <w:r w:rsidRPr="00197DDD">
        <w:t>établi par M.</w:t>
      </w:r>
      <w:r w:rsidR="009F2DDE">
        <w:t> </w:t>
      </w:r>
      <w:proofErr w:type="spellStart"/>
      <w:r w:rsidRPr="00197DDD">
        <w:t>Mihály</w:t>
      </w:r>
      <w:proofErr w:type="spellEnd"/>
      <w:r w:rsidR="00F5100B">
        <w:t> </w:t>
      </w:r>
      <w:proofErr w:type="spellStart"/>
      <w:r w:rsidRPr="00197DDD">
        <w:t>Ficsor</w:t>
      </w:r>
      <w:proofErr w:type="spellEnd"/>
      <w:r w:rsidRPr="00197DDD">
        <w:t>, Directeur du Centre des technologies de l</w:t>
      </w:r>
      <w:r w:rsidR="00E06E81">
        <w:t>’</w:t>
      </w:r>
      <w:r w:rsidRPr="00197DDD">
        <w:t xml:space="preserve">information et de la propriété intellectuelle (CITIP) </w:t>
      </w:r>
      <w:r w:rsidR="00F5100B">
        <w:t>d</w:t>
      </w:r>
      <w:r>
        <w:t>e Budapest</w:t>
      </w:r>
      <w:r w:rsidRPr="00197DDD">
        <w:t>.</w:t>
      </w:r>
    </w:p>
  </w:footnote>
  <w:footnote w:id="6">
    <w:p w:rsidR="00E6783F" w:rsidRPr="00453303" w:rsidRDefault="00E6783F" w:rsidP="00E6783F">
      <w:pPr>
        <w:pStyle w:val="FootnoteText"/>
        <w:rPr>
          <w:lang w:val="fr-FR"/>
        </w:rPr>
      </w:pPr>
      <w:r w:rsidRPr="00453303">
        <w:rPr>
          <w:rStyle w:val="FootnoteReference"/>
          <w:lang w:val="fr-FR"/>
        </w:rPr>
        <w:footnoteRef/>
      </w:r>
      <w:r w:rsidRPr="00453303">
        <w:rPr>
          <w:lang w:val="fr-FR"/>
        </w:rPr>
        <w:t xml:space="preserve"> </w:t>
      </w:r>
      <w:r w:rsidRPr="00453303">
        <w:rPr>
          <w:lang w:val="fr-FR"/>
        </w:rPr>
        <w:tab/>
        <w:t xml:space="preserve">Document WIPO/CR/KRT/05/7, Copyright In The Digital </w:t>
      </w:r>
      <w:proofErr w:type="spellStart"/>
      <w:r w:rsidRPr="00453303">
        <w:rPr>
          <w:lang w:val="fr-FR"/>
        </w:rPr>
        <w:t>Environment</w:t>
      </w:r>
      <w:proofErr w:type="spellEnd"/>
      <w:r w:rsidRPr="00453303">
        <w:rPr>
          <w:lang w:val="fr-FR"/>
        </w:rPr>
        <w:t xml:space="preserve">: The WIPO Copyright </w:t>
      </w:r>
      <w:proofErr w:type="spellStart"/>
      <w:r w:rsidRPr="00453303">
        <w:rPr>
          <w:lang w:val="fr-FR"/>
        </w:rPr>
        <w:t>Treaty</w:t>
      </w:r>
      <w:proofErr w:type="spellEnd"/>
      <w:r w:rsidRPr="00453303">
        <w:rPr>
          <w:lang w:val="fr-FR"/>
        </w:rPr>
        <w:t xml:space="preserve"> (WCT) And The WIPO Performances and </w:t>
      </w:r>
      <w:proofErr w:type="spellStart"/>
      <w:r w:rsidRPr="00453303">
        <w:rPr>
          <w:lang w:val="fr-FR"/>
        </w:rPr>
        <w:t>Phonograms</w:t>
      </w:r>
      <w:proofErr w:type="spellEnd"/>
      <w:r w:rsidRPr="00453303">
        <w:rPr>
          <w:lang w:val="fr-FR"/>
        </w:rPr>
        <w:t xml:space="preserve"> </w:t>
      </w:r>
      <w:proofErr w:type="spellStart"/>
      <w:r w:rsidRPr="00453303">
        <w:rPr>
          <w:lang w:val="fr-FR"/>
        </w:rPr>
        <w:t>Treaty</w:t>
      </w:r>
      <w:proofErr w:type="spellEnd"/>
      <w:r w:rsidRPr="00453303">
        <w:rPr>
          <w:lang w:val="fr-FR"/>
        </w:rPr>
        <w:t xml:space="preserve"> (WPPT), établi par M. </w:t>
      </w:r>
      <w:proofErr w:type="spellStart"/>
      <w:r w:rsidRPr="00453303">
        <w:rPr>
          <w:lang w:val="fr-FR"/>
        </w:rPr>
        <w:t>Mihály</w:t>
      </w:r>
      <w:proofErr w:type="spellEnd"/>
      <w:r w:rsidRPr="00453303">
        <w:rPr>
          <w:lang w:val="fr-FR"/>
        </w:rPr>
        <w:t> </w:t>
      </w:r>
      <w:proofErr w:type="spellStart"/>
      <w:r>
        <w:rPr>
          <w:lang w:val="fr-FR"/>
        </w:rPr>
        <w:t>Ficsor</w:t>
      </w:r>
      <w:proofErr w:type="spellEnd"/>
      <w:r>
        <w:rPr>
          <w:lang w:val="fr-FR"/>
        </w:rPr>
        <w:t>, d</w:t>
      </w:r>
      <w:r w:rsidRPr="00453303">
        <w:rPr>
          <w:lang w:val="fr-FR"/>
        </w:rPr>
        <w:t>irecteur du Centre des technologies de l’information et de la propriété intellectuelle (CITIP) de Budapest, p. 10.</w:t>
      </w:r>
    </w:p>
  </w:footnote>
  <w:footnote w:id="7">
    <w:p w:rsidR="00E6783F" w:rsidRPr="00453303" w:rsidRDefault="00E6783F" w:rsidP="00E6783F">
      <w:pPr>
        <w:pStyle w:val="FootnoteText"/>
        <w:rPr>
          <w:lang w:val="fr-FR"/>
        </w:rPr>
      </w:pPr>
      <w:r w:rsidRPr="00453303">
        <w:rPr>
          <w:rStyle w:val="FootnoteReference"/>
          <w:lang w:val="fr-FR"/>
        </w:rPr>
        <w:footnoteRef/>
      </w:r>
      <w:r w:rsidRPr="00453303">
        <w:rPr>
          <w:lang w:val="fr-FR"/>
        </w:rPr>
        <w:t xml:space="preserve"> </w:t>
      </w:r>
      <w:r w:rsidRPr="00453303">
        <w:rPr>
          <w:lang w:val="fr-FR"/>
        </w:rPr>
        <w:tab/>
        <w:t xml:space="preserve">Document WIPO/CR/KRT/05/7, Copyright In The Digital </w:t>
      </w:r>
      <w:proofErr w:type="spellStart"/>
      <w:r w:rsidRPr="00453303">
        <w:rPr>
          <w:lang w:val="fr-FR"/>
        </w:rPr>
        <w:t>Environment</w:t>
      </w:r>
      <w:proofErr w:type="spellEnd"/>
      <w:r w:rsidRPr="00453303">
        <w:rPr>
          <w:lang w:val="fr-FR"/>
        </w:rPr>
        <w:t xml:space="preserve">: The WIPO Copyright </w:t>
      </w:r>
      <w:proofErr w:type="spellStart"/>
      <w:r w:rsidRPr="00453303">
        <w:rPr>
          <w:lang w:val="fr-FR"/>
        </w:rPr>
        <w:t>Treaty</w:t>
      </w:r>
      <w:proofErr w:type="spellEnd"/>
      <w:r w:rsidRPr="00453303">
        <w:rPr>
          <w:lang w:val="fr-FR"/>
        </w:rPr>
        <w:t xml:space="preserve"> (WCT) And The WIPO Performances and </w:t>
      </w:r>
      <w:proofErr w:type="spellStart"/>
      <w:r w:rsidRPr="00453303">
        <w:rPr>
          <w:lang w:val="fr-FR"/>
        </w:rPr>
        <w:t>Phonograms</w:t>
      </w:r>
      <w:proofErr w:type="spellEnd"/>
      <w:r w:rsidRPr="00453303">
        <w:rPr>
          <w:lang w:val="fr-FR"/>
        </w:rPr>
        <w:t xml:space="preserve"> </w:t>
      </w:r>
      <w:proofErr w:type="spellStart"/>
      <w:r w:rsidRPr="00453303">
        <w:rPr>
          <w:lang w:val="fr-FR"/>
        </w:rPr>
        <w:t>Treaty</w:t>
      </w:r>
      <w:proofErr w:type="spellEnd"/>
      <w:r w:rsidRPr="00453303">
        <w:rPr>
          <w:lang w:val="fr-FR"/>
        </w:rPr>
        <w:t xml:space="preserve"> (WPPT), établi par M. </w:t>
      </w:r>
      <w:proofErr w:type="spellStart"/>
      <w:r w:rsidRPr="00453303">
        <w:rPr>
          <w:lang w:val="fr-FR"/>
        </w:rPr>
        <w:t>Mihály</w:t>
      </w:r>
      <w:proofErr w:type="spellEnd"/>
      <w:r w:rsidRPr="00453303">
        <w:rPr>
          <w:lang w:val="fr-FR"/>
        </w:rPr>
        <w:t> </w:t>
      </w:r>
      <w:proofErr w:type="spellStart"/>
      <w:r>
        <w:rPr>
          <w:lang w:val="fr-FR"/>
        </w:rPr>
        <w:t>Ficsor</w:t>
      </w:r>
      <w:proofErr w:type="spellEnd"/>
      <w:r>
        <w:rPr>
          <w:lang w:val="fr-FR"/>
        </w:rPr>
        <w:t>, d</w:t>
      </w:r>
      <w:r w:rsidRPr="00453303">
        <w:rPr>
          <w:lang w:val="fr-FR"/>
        </w:rPr>
        <w:t>irecteur du Centre des technologies de l’information et de la propriété intellectuelle (CITIP) de Budapest.</w:t>
      </w:r>
    </w:p>
  </w:footnote>
  <w:footnote w:id="8">
    <w:p w:rsidR="009F21B1" w:rsidRPr="00CE59A0" w:rsidRDefault="009F21B1" w:rsidP="009F21B1">
      <w:pPr>
        <w:pStyle w:val="FootnoteText"/>
        <w:rPr>
          <w:b/>
          <w:lang w:val="en-US"/>
        </w:rPr>
      </w:pPr>
      <w:r w:rsidRPr="0038221F">
        <w:rPr>
          <w:rStyle w:val="FootnoteReference"/>
          <w:lang w:val="fr-FR"/>
        </w:rPr>
        <w:footnoteRef/>
      </w:r>
      <w:r w:rsidRPr="00CE59A0">
        <w:rPr>
          <w:lang w:val="en-US"/>
        </w:rPr>
        <w:t xml:space="preserve"> </w:t>
      </w:r>
      <w:r w:rsidRPr="00CE59A0">
        <w:rPr>
          <w:b/>
          <w:lang w:val="en-US"/>
        </w:rPr>
        <w:tab/>
      </w:r>
      <w:proofErr w:type="spellStart"/>
      <w:r w:rsidRPr="00CE59A0">
        <w:rPr>
          <w:lang w:val="en-US"/>
        </w:rPr>
        <w:t>Voir</w:t>
      </w:r>
      <w:proofErr w:type="spellEnd"/>
      <w:r w:rsidRPr="00CE59A0">
        <w:rPr>
          <w:lang w:val="en-US"/>
        </w:rPr>
        <w:t xml:space="preserve"> : “Fair music: transparency and payment flows in the music industry”, du </w:t>
      </w:r>
      <w:proofErr w:type="spellStart"/>
      <w:r w:rsidRPr="00CE59A0">
        <w:rPr>
          <w:lang w:val="en-US"/>
        </w:rPr>
        <w:t>Berklee</w:t>
      </w:r>
      <w:proofErr w:type="spellEnd"/>
      <w:r w:rsidRPr="00CE59A0">
        <w:rPr>
          <w:lang w:val="en-US"/>
        </w:rPr>
        <w:t xml:space="preserve"> Institute of Creative Entrepreneurship.</w:t>
      </w:r>
    </w:p>
  </w:footnote>
  <w:footnote w:id="9">
    <w:p w:rsidR="009F21B1" w:rsidRPr="006C63E4" w:rsidRDefault="009F21B1" w:rsidP="009F21B1">
      <w:pPr>
        <w:pStyle w:val="FootnoteText"/>
        <w:tabs>
          <w:tab w:val="left" w:pos="567"/>
          <w:tab w:val="left" w:pos="5835"/>
        </w:tabs>
        <w:rPr>
          <w:lang w:val="fr-FR"/>
        </w:rPr>
      </w:pPr>
      <w:r w:rsidRPr="006C63E4">
        <w:rPr>
          <w:rStyle w:val="FootnoteReference"/>
          <w:lang w:val="fr-FR"/>
        </w:rPr>
        <w:footnoteRef/>
      </w:r>
      <w:r w:rsidRPr="006C63E4">
        <w:rPr>
          <w:lang w:val="fr-FR"/>
        </w:rPr>
        <w:t xml:space="preserve"> </w:t>
      </w:r>
      <w:r>
        <w:rPr>
          <w:lang w:val="fr-FR"/>
        </w:rPr>
        <w:tab/>
      </w:r>
      <w:hyperlink r:id="rId4" w:history="1">
        <w:r w:rsidRPr="006C63E4">
          <w:rPr>
            <w:rStyle w:val="Hyperlink"/>
            <w:lang w:val="fr-FR"/>
          </w:rPr>
          <w:t>http://davidbyrne.com/open-the-music-industrys-black-box</w:t>
        </w:r>
      </w:hyperlink>
      <w:r w:rsidR="0038221F" w:rsidRPr="0038221F">
        <w:t>.</w:t>
      </w:r>
    </w:p>
  </w:footnote>
  <w:footnote w:id="10">
    <w:p w:rsidR="009F21B1" w:rsidRPr="006C63E4" w:rsidRDefault="009F21B1" w:rsidP="009F21B1">
      <w:pPr>
        <w:pStyle w:val="FootnoteText"/>
        <w:rPr>
          <w:lang w:val="fr-FR"/>
        </w:rPr>
      </w:pPr>
      <w:r w:rsidRPr="006C63E4">
        <w:rPr>
          <w:rStyle w:val="FootnoteReference"/>
          <w:lang w:val="fr-FR"/>
        </w:rPr>
        <w:footnoteRef/>
      </w:r>
      <w:r w:rsidRPr="006C63E4">
        <w:rPr>
          <w:lang w:val="fr-FR"/>
        </w:rPr>
        <w:t xml:space="preserve"> </w:t>
      </w:r>
      <w:r>
        <w:rPr>
          <w:lang w:val="fr-FR"/>
        </w:rPr>
        <w:tab/>
      </w:r>
      <w:r w:rsidRPr="006C63E4">
        <w:rPr>
          <w:lang w:val="fr-FR"/>
        </w:rPr>
        <w:t xml:space="preserve">CISAC (2015). </w:t>
      </w:r>
      <w:r w:rsidRPr="004534FB">
        <w:rPr>
          <w:i/>
          <w:lang w:val="fr-FR"/>
        </w:rPr>
        <w:t>Rapport sur les perceptions mondiales de droit d’auteur</w:t>
      </w:r>
      <w:r>
        <w:rPr>
          <w:lang w:val="fr-FR"/>
        </w:rPr>
        <w:t xml:space="preserve"> </w:t>
      </w:r>
      <w:r w:rsidRPr="006C63E4">
        <w:rPr>
          <w:i/>
          <w:lang w:val="fr-FR"/>
        </w:rPr>
        <w:t>2015</w:t>
      </w:r>
      <w:r w:rsidRPr="006C63E4">
        <w:rPr>
          <w:lang w:val="fr-FR"/>
        </w:rPr>
        <w:t xml:space="preserve">. </w:t>
      </w:r>
      <w:r>
        <w:rPr>
          <w:lang w:val="fr-FR"/>
        </w:rPr>
        <w:t>Disponible à l’adresse </w:t>
      </w:r>
      <w:r w:rsidRPr="006C63E4">
        <w:rPr>
          <w:lang w:val="fr-FR"/>
        </w:rPr>
        <w:t xml:space="preserve">: </w:t>
      </w:r>
      <w:hyperlink r:id="rId5" w:history="1">
        <w:r w:rsidRPr="004534FB">
          <w:rPr>
            <w:rStyle w:val="Hyperlink"/>
            <w:lang w:val="fr-FR"/>
          </w:rPr>
          <w:t>http://fr.cisac.org/CISAC-FR/l-universite-CISAC/Publications/La-CISAC-publie-son-nouveau-Rapport-sur-les-perceptions-mondiales-de-droit-d-auteur</w:t>
        </w:r>
      </w:hyperlink>
      <w:r w:rsidR="0038221F" w:rsidRPr="003822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566D81" w:rsidP="00477D6B">
    <w:pPr>
      <w:jc w:val="right"/>
    </w:pPr>
    <w:bookmarkStart w:id="6" w:name="Code2"/>
    <w:bookmarkEnd w:id="6"/>
    <w:r>
      <w:t>S</w:t>
    </w:r>
    <w:r w:rsidR="00181587">
      <w:t>CCR/31/4</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CE59A0">
      <w:rPr>
        <w:noProof/>
      </w:rPr>
      <w:t>11</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F9E5CFA"/>
    <w:multiLevelType w:val="hybridMultilevel"/>
    <w:tmpl w:val="79CCECE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961B3"/>
    <w:multiLevelType w:val="hybridMultilevel"/>
    <w:tmpl w:val="9DB00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E42CCC"/>
    <w:multiLevelType w:val="hybridMultilevel"/>
    <w:tmpl w:val="88E2C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81"/>
    <w:rsid w:val="00011B7D"/>
    <w:rsid w:val="00075432"/>
    <w:rsid w:val="000F5E56"/>
    <w:rsid w:val="001362EE"/>
    <w:rsid w:val="00181587"/>
    <w:rsid w:val="001832A6"/>
    <w:rsid w:val="00195C6E"/>
    <w:rsid w:val="001B266A"/>
    <w:rsid w:val="001D3D56"/>
    <w:rsid w:val="00240654"/>
    <w:rsid w:val="002634C4"/>
    <w:rsid w:val="002E4D1A"/>
    <w:rsid w:val="002F16BC"/>
    <w:rsid w:val="002F4E68"/>
    <w:rsid w:val="0038221F"/>
    <w:rsid w:val="003845C1"/>
    <w:rsid w:val="004008A2"/>
    <w:rsid w:val="004025DF"/>
    <w:rsid w:val="00423E3E"/>
    <w:rsid w:val="00427AF4"/>
    <w:rsid w:val="004647DA"/>
    <w:rsid w:val="00477D6B"/>
    <w:rsid w:val="004D6471"/>
    <w:rsid w:val="00525B63"/>
    <w:rsid w:val="00566D81"/>
    <w:rsid w:val="00567A4C"/>
    <w:rsid w:val="00595F07"/>
    <w:rsid w:val="005E6516"/>
    <w:rsid w:val="00605827"/>
    <w:rsid w:val="006B0DB5"/>
    <w:rsid w:val="007461F1"/>
    <w:rsid w:val="00794BBF"/>
    <w:rsid w:val="007B3CE0"/>
    <w:rsid w:val="007D6961"/>
    <w:rsid w:val="007F07CB"/>
    <w:rsid w:val="00810CEF"/>
    <w:rsid w:val="0081208D"/>
    <w:rsid w:val="008B2CC1"/>
    <w:rsid w:val="008E7930"/>
    <w:rsid w:val="00905E08"/>
    <w:rsid w:val="0090731E"/>
    <w:rsid w:val="0094159E"/>
    <w:rsid w:val="00966A22"/>
    <w:rsid w:val="00974CD6"/>
    <w:rsid w:val="009D30E6"/>
    <w:rsid w:val="009E3F6F"/>
    <w:rsid w:val="009F21B1"/>
    <w:rsid w:val="009F27E9"/>
    <w:rsid w:val="009F2DDE"/>
    <w:rsid w:val="009F499F"/>
    <w:rsid w:val="00A234A5"/>
    <w:rsid w:val="00A6251E"/>
    <w:rsid w:val="00AC0AE4"/>
    <w:rsid w:val="00AD61DB"/>
    <w:rsid w:val="00B56EAF"/>
    <w:rsid w:val="00C664C8"/>
    <w:rsid w:val="00CE59A0"/>
    <w:rsid w:val="00CF0460"/>
    <w:rsid w:val="00D43E0F"/>
    <w:rsid w:val="00D45252"/>
    <w:rsid w:val="00D71B4D"/>
    <w:rsid w:val="00D75C1E"/>
    <w:rsid w:val="00D81E26"/>
    <w:rsid w:val="00D93D55"/>
    <w:rsid w:val="00DD6A16"/>
    <w:rsid w:val="00E0091A"/>
    <w:rsid w:val="00E06E81"/>
    <w:rsid w:val="00E14572"/>
    <w:rsid w:val="00E203AA"/>
    <w:rsid w:val="00E527A5"/>
    <w:rsid w:val="00E6783F"/>
    <w:rsid w:val="00E738BD"/>
    <w:rsid w:val="00E76456"/>
    <w:rsid w:val="00EE71CB"/>
    <w:rsid w:val="00F16975"/>
    <w:rsid w:val="00F252A7"/>
    <w:rsid w:val="00F5100B"/>
    <w:rsid w:val="00F66152"/>
    <w:rsid w:val="00FE448A"/>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semiHidden/>
    <w:rsid w:val="00566D81"/>
    <w:rPr>
      <w:rFonts w:ascii="Arial" w:eastAsia="SimSun" w:hAnsi="Arial" w:cs="Arial"/>
      <w:sz w:val="18"/>
      <w:lang w:val="fr-CH" w:eastAsia="zh-CN"/>
    </w:rPr>
  </w:style>
  <w:style w:type="character" w:styleId="FootnoteReference">
    <w:name w:val="footnote reference"/>
    <w:basedOn w:val="DefaultParagraphFont"/>
    <w:uiPriority w:val="99"/>
    <w:unhideWhenUsed/>
    <w:rsid w:val="00566D81"/>
    <w:rPr>
      <w:vertAlign w:val="superscript"/>
    </w:rPr>
  </w:style>
  <w:style w:type="character" w:styleId="Hyperlink">
    <w:name w:val="Hyperlink"/>
    <w:basedOn w:val="DefaultParagraphFont"/>
    <w:rsid w:val="00E06E81"/>
    <w:rPr>
      <w:color w:val="0000FF" w:themeColor="hyperlink"/>
      <w:u w:val="single"/>
    </w:rPr>
  </w:style>
  <w:style w:type="paragraph" w:styleId="ListParagraph">
    <w:name w:val="List Paragraph"/>
    <w:basedOn w:val="Normal"/>
    <w:uiPriority w:val="34"/>
    <w:qFormat/>
    <w:rsid w:val="009F2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semiHidden/>
    <w:rsid w:val="00566D81"/>
    <w:rPr>
      <w:rFonts w:ascii="Arial" w:eastAsia="SimSun" w:hAnsi="Arial" w:cs="Arial"/>
      <w:sz w:val="18"/>
      <w:lang w:val="fr-CH" w:eastAsia="zh-CN"/>
    </w:rPr>
  </w:style>
  <w:style w:type="character" w:styleId="FootnoteReference">
    <w:name w:val="footnote reference"/>
    <w:basedOn w:val="DefaultParagraphFont"/>
    <w:uiPriority w:val="99"/>
    <w:unhideWhenUsed/>
    <w:rsid w:val="00566D81"/>
    <w:rPr>
      <w:vertAlign w:val="superscript"/>
    </w:rPr>
  </w:style>
  <w:style w:type="character" w:styleId="Hyperlink">
    <w:name w:val="Hyperlink"/>
    <w:basedOn w:val="DefaultParagraphFont"/>
    <w:rsid w:val="00E06E81"/>
    <w:rPr>
      <w:color w:val="0000FF" w:themeColor="hyperlink"/>
      <w:u w:val="single"/>
    </w:rPr>
  </w:style>
  <w:style w:type="paragraph" w:styleId="ListParagraph">
    <w:name w:val="List Paragraph"/>
    <w:basedOn w:val="Normal"/>
    <w:uiPriority w:val="34"/>
    <w:qFormat/>
    <w:rsid w:val="009F2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fr.cisac.org/CISAC-FR/l-universite-CISAC/Publications/La-CISAC-publie-son-nouveau-Rapport-sur-les-perceptions-mondiales-de-droit-d-auteur" TargetMode="External"/><Relationship Id="rId2" Type="http://schemas.openxmlformats.org/officeDocument/2006/relationships/hyperlink" Target="http://www.theguardian.com/music/2013/oct/11/david-byrne-internet-content-world" TargetMode="External"/><Relationship Id="rId1" Type="http://schemas.openxmlformats.org/officeDocument/2006/relationships/hyperlink" Target="http://www.wipo.int/ip-outreach/fr/ipday/2015/dg_message.html" TargetMode="External"/><Relationship Id="rId5" Type="http://schemas.openxmlformats.org/officeDocument/2006/relationships/hyperlink" Target="http://fr.cisac.org/CISAC-FR/l-universite-CISAC/Publications/La-CISAC-publie-son-nouveau-Rapport-sur-les-perceptions-mondiales-de-droit-d-auteur" TargetMode="External"/><Relationship Id="rId4" Type="http://schemas.openxmlformats.org/officeDocument/2006/relationships/hyperlink" Target="http://davidbyrne.com/open-the-music-industrys-black-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31-1 PROV (F)</Template>
  <TotalTime>1</TotalTime>
  <Pages>11</Pages>
  <Words>5122</Words>
  <Characters>30373</Characters>
  <Application>Microsoft Office Word</Application>
  <DocSecurity>4</DocSecurity>
  <Lines>253</Lines>
  <Paragraphs>70</Paragraphs>
  <ScaleCrop>false</ScaleCrop>
  <HeadingPairs>
    <vt:vector size="2" baseType="variant">
      <vt:variant>
        <vt:lpstr>Title</vt:lpstr>
      </vt:variant>
      <vt:variant>
        <vt:i4>1</vt:i4>
      </vt:variant>
    </vt:vector>
  </HeadingPairs>
  <TitlesOfParts>
    <vt:vector size="1" baseType="lpstr">
      <vt:lpstr>SCCR/31/1 PROV</vt:lpstr>
    </vt:vector>
  </TitlesOfParts>
  <Company>WIPO</Company>
  <LinksUpToDate>false</LinksUpToDate>
  <CharactersWithSpaces>35425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SCCR/31/1 PROV</dc:title>
  <dc:creator>OLIVIÉ Karen</dc:creator>
  <cp:keywords>NR/DB/NGG/ko/mhf</cp:keywords>
  <cp:lastModifiedBy>HAIZEL Francesca</cp:lastModifiedBy>
  <cp:revision>2</cp:revision>
  <cp:lastPrinted>2015-12-07T15:04:00Z</cp:lastPrinted>
  <dcterms:created xsi:type="dcterms:W3CDTF">2015-12-09T09:57:00Z</dcterms:created>
  <dcterms:modified xsi:type="dcterms:W3CDTF">2015-12-09T09:57:00Z</dcterms:modified>
</cp:coreProperties>
</file>