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C59FD" w14:textId="62B701E9" w:rsidR="00746E45" w:rsidRPr="00821360" w:rsidRDefault="00821360" w:rsidP="00D52B7A">
      <w:pPr>
        <w:pStyle w:val="Heading1"/>
        <w:spacing w:after="160"/>
        <w:rPr>
          <w:lang w:val="fr-FR"/>
        </w:rPr>
      </w:pPr>
      <w:r w:rsidRPr="00821360">
        <w:rPr>
          <w:lang w:val="fr-FR"/>
        </w:rPr>
        <w:t>Étude actualisée et analyse complémentaire</w:t>
      </w:r>
    </w:p>
    <w:p w14:paraId="7D8531D9" w14:textId="77777777" w:rsidR="00746E45" w:rsidRPr="00821360" w:rsidRDefault="00746E45" w:rsidP="00D52B7A">
      <w:pPr>
        <w:pStyle w:val="Heading2"/>
        <w:spacing w:after="160"/>
        <w:rPr>
          <w:lang w:val="fr-FR"/>
        </w:rPr>
      </w:pPr>
      <w:r w:rsidRPr="00821360">
        <w:rPr>
          <w:lang w:val="fr-FR"/>
        </w:rPr>
        <w:t>Introduction</w:t>
      </w:r>
    </w:p>
    <w:p w14:paraId="7161898E" w14:textId="383B3793" w:rsidR="00AA5429" w:rsidRDefault="00746E45" w:rsidP="00D52B7A">
      <w:pPr>
        <w:rPr>
          <w:lang w:val="fr-FR"/>
        </w:rPr>
      </w:pPr>
      <w:r w:rsidRPr="00821360">
        <w:rPr>
          <w:lang w:val="fr-FR"/>
        </w:rPr>
        <w:t>A</w:t>
      </w:r>
      <w:r w:rsidR="00821360">
        <w:rPr>
          <w:lang w:val="fr-FR"/>
        </w:rPr>
        <w:t xml:space="preserve">près </w:t>
      </w:r>
      <w:r w:rsidR="00E5087A">
        <w:rPr>
          <w:lang w:val="fr-FR"/>
        </w:rPr>
        <w:t xml:space="preserve">la </w:t>
      </w:r>
      <w:r w:rsidRPr="00821360">
        <w:rPr>
          <w:lang w:val="fr-FR"/>
        </w:rPr>
        <w:t xml:space="preserve">conclusion </w:t>
      </w:r>
      <w:r w:rsidR="00E5087A">
        <w:rPr>
          <w:lang w:val="fr-FR"/>
        </w:rPr>
        <w:t>de l</w:t>
      </w:r>
      <w:r w:rsidR="00AA5429">
        <w:rPr>
          <w:lang w:val="fr-FR"/>
        </w:rPr>
        <w:t>’</w:t>
      </w:r>
      <w:r w:rsidR="00E5087A">
        <w:rPr>
          <w:lang w:val="fr-FR"/>
        </w:rPr>
        <w:t>étude établie en novembre 2</w:t>
      </w:r>
      <w:r w:rsidRPr="00821360">
        <w:rPr>
          <w:lang w:val="fr-FR"/>
        </w:rPr>
        <w:t xml:space="preserve">016, </w:t>
      </w:r>
      <w:r w:rsidR="00E5087A">
        <w:rPr>
          <w:lang w:val="fr-FR"/>
        </w:rPr>
        <w:t>les États membres de l</w:t>
      </w:r>
      <w:r w:rsidR="00AA5429">
        <w:rPr>
          <w:lang w:val="fr-FR"/>
        </w:rPr>
        <w:t>’</w:t>
      </w:r>
      <w:r w:rsidR="00E5087A">
        <w:rPr>
          <w:lang w:val="fr-FR"/>
        </w:rPr>
        <w:t xml:space="preserve">OMPI ont demandé que </w:t>
      </w:r>
      <w:r w:rsidR="00405CF2">
        <w:rPr>
          <w:lang w:val="fr-FR"/>
        </w:rPr>
        <w:t>cette dernière</w:t>
      </w:r>
      <w:r w:rsidR="00E5087A">
        <w:rPr>
          <w:lang w:val="fr-FR"/>
        </w:rPr>
        <w:t xml:space="preserve"> </w:t>
      </w:r>
      <w:r w:rsidR="00405CF2">
        <w:rPr>
          <w:lang w:val="fr-FR"/>
        </w:rPr>
        <w:t>couvre</w:t>
      </w:r>
      <w:r w:rsidR="00BF1FAB">
        <w:rPr>
          <w:lang w:val="fr-FR"/>
        </w:rPr>
        <w:t xml:space="preserve"> des questions supplémentaires de </w:t>
      </w:r>
      <w:r w:rsidR="00405CF2">
        <w:rPr>
          <w:lang w:val="fr-FR"/>
        </w:rPr>
        <w:t xml:space="preserve">manière à </w:t>
      </w:r>
      <w:r w:rsidR="00BF1FAB">
        <w:rPr>
          <w:lang w:val="fr-FR"/>
        </w:rPr>
        <w:t xml:space="preserve">faire </w:t>
      </w:r>
      <w:r w:rsidR="00405CF2">
        <w:rPr>
          <w:lang w:val="fr-FR"/>
        </w:rPr>
        <w:t xml:space="preserve">mieux </w:t>
      </w:r>
      <w:r w:rsidR="00BF1FAB">
        <w:rPr>
          <w:lang w:val="fr-FR"/>
        </w:rPr>
        <w:t>comprendre comment les limitations et exceptions relatives au droit d</w:t>
      </w:r>
      <w:r w:rsidR="00AA5429">
        <w:rPr>
          <w:lang w:val="fr-FR"/>
        </w:rPr>
        <w:t>’</w:t>
      </w:r>
      <w:r w:rsidR="00BF1FAB">
        <w:rPr>
          <w:lang w:val="fr-FR"/>
        </w:rPr>
        <w:t>auteur s</w:t>
      </w:r>
      <w:r w:rsidR="00AA5429">
        <w:rPr>
          <w:lang w:val="fr-FR"/>
        </w:rPr>
        <w:t>’</w:t>
      </w:r>
      <w:r w:rsidR="00BF1FAB">
        <w:rPr>
          <w:lang w:val="fr-FR"/>
        </w:rPr>
        <w:t>appliquent aux établissements d</w:t>
      </w:r>
      <w:r w:rsidR="00AA5429">
        <w:rPr>
          <w:lang w:val="fr-FR"/>
        </w:rPr>
        <w:t>’</w:t>
      </w:r>
      <w:r w:rsidR="00BF1FAB">
        <w:rPr>
          <w:lang w:val="fr-FR"/>
        </w:rPr>
        <w:t>enseigneme</w:t>
      </w:r>
      <w:r w:rsidR="00D07A5F">
        <w:rPr>
          <w:lang w:val="fr-FR"/>
        </w:rPr>
        <w:t>nt.  Ce</w:t>
      </w:r>
      <w:r w:rsidR="00BF1FAB">
        <w:rPr>
          <w:lang w:val="fr-FR"/>
        </w:rPr>
        <w:t>s questions sont, notamment</w:t>
      </w:r>
      <w:r w:rsidR="00AA5429">
        <w:rPr>
          <w:lang w:val="fr-FR"/>
        </w:rPr>
        <w:t> :</w:t>
      </w:r>
    </w:p>
    <w:p w14:paraId="2BFF4D13" w14:textId="57A60754" w:rsidR="00746E45" w:rsidRPr="00821360" w:rsidRDefault="00405CF2" w:rsidP="00D52B7A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l</w:t>
      </w:r>
      <w:r w:rsidR="00300606">
        <w:rPr>
          <w:lang w:val="fr-FR"/>
        </w:rPr>
        <w:t>a définition</w:t>
      </w:r>
      <w:r w:rsidR="00746E45" w:rsidRPr="00821360">
        <w:rPr>
          <w:lang w:val="fr-FR"/>
        </w:rPr>
        <w:t xml:space="preserve"> </w:t>
      </w:r>
      <w:r w:rsidR="00A43BEC">
        <w:rPr>
          <w:lang w:val="fr-FR"/>
        </w:rPr>
        <w:t xml:space="preserve">de </w:t>
      </w:r>
      <w:r w:rsidR="00746E45" w:rsidRPr="00821360">
        <w:rPr>
          <w:lang w:val="fr-FR"/>
        </w:rPr>
        <w:t xml:space="preserve">limitations </w:t>
      </w:r>
      <w:r w:rsidR="00A43BEC">
        <w:rPr>
          <w:lang w:val="fr-FR"/>
        </w:rPr>
        <w:t>et d</w:t>
      </w:r>
      <w:r w:rsidR="00AA5429">
        <w:rPr>
          <w:lang w:val="fr-FR"/>
        </w:rPr>
        <w:t>’</w:t>
      </w:r>
      <w:r w:rsidR="00746E45" w:rsidRPr="00821360">
        <w:rPr>
          <w:lang w:val="fr-FR"/>
        </w:rPr>
        <w:t xml:space="preserve">exceptions </w:t>
      </w:r>
      <w:r w:rsidR="00A43BEC">
        <w:rPr>
          <w:lang w:val="fr-FR"/>
        </w:rPr>
        <w:t>afin de faciliter l</w:t>
      </w:r>
      <w:r w:rsidR="00AA5429">
        <w:rPr>
          <w:lang w:val="fr-FR"/>
        </w:rPr>
        <w:t>’</w:t>
      </w:r>
      <w:r w:rsidR="00A43BEC">
        <w:rPr>
          <w:lang w:val="fr-FR"/>
        </w:rPr>
        <w:t>utilisation d</w:t>
      </w:r>
      <w:r w:rsidR="00AA5429">
        <w:rPr>
          <w:lang w:val="fr-FR"/>
        </w:rPr>
        <w:t>’</w:t>
      </w:r>
      <w:r w:rsidR="00A43BEC">
        <w:rPr>
          <w:lang w:val="fr-FR"/>
        </w:rPr>
        <w:t>a</w:t>
      </w:r>
      <w:r w:rsidR="00746E45" w:rsidRPr="00821360">
        <w:rPr>
          <w:lang w:val="fr-FR"/>
        </w:rPr>
        <w:t xml:space="preserve">daptations </w:t>
      </w:r>
      <w:r w:rsidR="00A43BEC">
        <w:rPr>
          <w:lang w:val="fr-FR"/>
        </w:rPr>
        <w:t>et de traductions à des fins d</w:t>
      </w:r>
      <w:r w:rsidR="00AA5429">
        <w:rPr>
          <w:lang w:val="fr-FR"/>
        </w:rPr>
        <w:t>’</w:t>
      </w:r>
      <w:r w:rsidR="00A43BEC">
        <w:rPr>
          <w:lang w:val="fr-FR"/>
        </w:rPr>
        <w:t>enseignement</w:t>
      </w:r>
      <w:r w:rsidR="00CB6EC1" w:rsidRPr="00821360">
        <w:rPr>
          <w:lang w:val="fr-FR"/>
        </w:rPr>
        <w:t xml:space="preserve">, </w:t>
      </w:r>
      <w:r w:rsidR="00A43BEC">
        <w:rPr>
          <w:lang w:val="fr-FR"/>
        </w:rPr>
        <w:t>au</w:t>
      </w:r>
      <w:r w:rsidR="00D52B7A">
        <w:rPr>
          <w:lang w:val="fr-FR"/>
        </w:rPr>
        <w:noBreakHyphen/>
      </w:r>
      <w:r w:rsidR="00A43BEC">
        <w:rPr>
          <w:lang w:val="fr-FR"/>
        </w:rPr>
        <w:t>delà de ce qui est prévu dans l</w:t>
      </w:r>
      <w:r w:rsidR="00AA5429">
        <w:rPr>
          <w:lang w:val="fr-FR"/>
        </w:rPr>
        <w:t>’</w:t>
      </w:r>
      <w:r w:rsidR="00A43BEC">
        <w:rPr>
          <w:lang w:val="fr-FR"/>
        </w:rPr>
        <w:t xml:space="preserve">annexe de la Convention de </w:t>
      </w:r>
      <w:r w:rsidR="00CB6EC1" w:rsidRPr="00821360">
        <w:rPr>
          <w:lang w:val="fr-FR"/>
        </w:rPr>
        <w:t>Berne</w:t>
      </w:r>
      <w:r w:rsidR="00CC5AAD" w:rsidRPr="00821360">
        <w:rPr>
          <w:lang w:val="fr-FR"/>
        </w:rPr>
        <w:t>;</w:t>
      </w:r>
    </w:p>
    <w:p w14:paraId="7C3C8B38" w14:textId="0257407F" w:rsidR="00746E45" w:rsidRPr="00821360" w:rsidRDefault="00A43BEC" w:rsidP="00D52B7A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la portée des dispositions visant à limiter </w:t>
      </w:r>
      <w:r w:rsidR="00370FC2">
        <w:rPr>
          <w:lang w:val="fr-FR"/>
        </w:rPr>
        <w:t>la responsabilité</w:t>
      </w:r>
      <w:r w:rsidR="00300606">
        <w:rPr>
          <w:lang w:val="fr-FR"/>
        </w:rPr>
        <w:t xml:space="preserve"> au titre du droit d</w:t>
      </w:r>
      <w:r w:rsidR="00AA5429">
        <w:rPr>
          <w:lang w:val="fr-FR"/>
        </w:rPr>
        <w:t>’</w:t>
      </w:r>
      <w:r w:rsidR="00300606">
        <w:rPr>
          <w:lang w:val="fr-FR"/>
        </w:rPr>
        <w:t xml:space="preserve">auteur </w:t>
      </w:r>
      <w:r w:rsidR="00D26931">
        <w:rPr>
          <w:lang w:val="fr-FR"/>
        </w:rPr>
        <w:t>des</w:t>
      </w:r>
      <w:r w:rsidR="00300606">
        <w:rPr>
          <w:lang w:val="fr-FR"/>
        </w:rPr>
        <w:t xml:space="preserve"> établissements d</w:t>
      </w:r>
      <w:r w:rsidR="00AA5429">
        <w:rPr>
          <w:lang w:val="fr-FR"/>
        </w:rPr>
        <w:t>’</w:t>
      </w:r>
      <w:r w:rsidR="00300606">
        <w:rPr>
          <w:lang w:val="fr-FR"/>
        </w:rPr>
        <w:t>enseignement</w:t>
      </w:r>
      <w:r w:rsidR="001D3646" w:rsidRPr="00821360">
        <w:rPr>
          <w:lang w:val="fr-FR"/>
        </w:rPr>
        <w:t>;</w:t>
      </w:r>
    </w:p>
    <w:p w14:paraId="39B5E1D3" w14:textId="6B02B999" w:rsidR="00746E45" w:rsidRPr="00821360" w:rsidRDefault="00300606" w:rsidP="00D52B7A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l</w:t>
      </w:r>
      <w:r w:rsidR="00AA5429">
        <w:rPr>
          <w:lang w:val="fr-FR"/>
        </w:rPr>
        <w:t>’</w:t>
      </w:r>
      <w:r w:rsidR="00746E45" w:rsidRPr="00821360">
        <w:rPr>
          <w:lang w:val="fr-FR"/>
        </w:rPr>
        <w:t xml:space="preserve">application </w:t>
      </w:r>
      <w:r>
        <w:rPr>
          <w:lang w:val="fr-FR"/>
        </w:rPr>
        <w:t xml:space="preserve">de dispositions </w:t>
      </w:r>
      <w:r w:rsidR="00405CF2">
        <w:rPr>
          <w:lang w:val="fr-FR"/>
        </w:rPr>
        <w:t xml:space="preserve">destinées à limiter </w:t>
      </w:r>
      <w:r w:rsidR="00DF4B45">
        <w:rPr>
          <w:lang w:val="fr-FR"/>
        </w:rPr>
        <w:t xml:space="preserve">la portée </w:t>
      </w:r>
      <w:r w:rsidR="00405CF2">
        <w:rPr>
          <w:lang w:val="fr-FR"/>
        </w:rPr>
        <w:t>des contrats visant à contourner les limitations et exceptions relatives au droit d</w:t>
      </w:r>
      <w:r w:rsidR="00AA5429">
        <w:rPr>
          <w:lang w:val="fr-FR"/>
        </w:rPr>
        <w:t>’</w:t>
      </w:r>
      <w:r w:rsidR="00405CF2">
        <w:rPr>
          <w:lang w:val="fr-FR"/>
        </w:rPr>
        <w:t xml:space="preserve">auteur </w:t>
      </w:r>
      <w:r w:rsidR="00B16130">
        <w:rPr>
          <w:lang w:val="fr-FR"/>
        </w:rPr>
        <w:t>applicables aux activités</w:t>
      </w:r>
      <w:r w:rsidR="00405CF2">
        <w:rPr>
          <w:lang w:val="fr-FR"/>
        </w:rPr>
        <w:t xml:space="preserve"> d</w:t>
      </w:r>
      <w:r w:rsidR="00AA5429">
        <w:rPr>
          <w:lang w:val="fr-FR"/>
        </w:rPr>
        <w:t>’</w:t>
      </w:r>
      <w:r w:rsidR="00405CF2">
        <w:rPr>
          <w:lang w:val="fr-FR"/>
        </w:rPr>
        <w:t>enseignement</w:t>
      </w:r>
      <w:r w:rsidR="001D3646" w:rsidRPr="00821360">
        <w:rPr>
          <w:lang w:val="fr-FR"/>
        </w:rPr>
        <w:t>;</w:t>
      </w:r>
    </w:p>
    <w:p w14:paraId="11A52682" w14:textId="36EAABC2" w:rsidR="00746E45" w:rsidRPr="00821360" w:rsidRDefault="00DF4B45" w:rsidP="00D52B7A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le champ d</w:t>
      </w:r>
      <w:r w:rsidR="00AA5429">
        <w:rPr>
          <w:lang w:val="fr-FR"/>
        </w:rPr>
        <w:t>’</w:t>
      </w:r>
      <w:r>
        <w:rPr>
          <w:lang w:val="fr-FR"/>
        </w:rPr>
        <w:t xml:space="preserve">application </w:t>
      </w:r>
      <w:r w:rsidR="00405CF2">
        <w:rPr>
          <w:lang w:val="fr-FR"/>
        </w:rPr>
        <w:t>de</w:t>
      </w:r>
      <w:r>
        <w:rPr>
          <w:lang w:val="fr-FR"/>
        </w:rPr>
        <w:t xml:space="preserve"> la </w:t>
      </w:r>
      <w:r w:rsidR="00405CF2">
        <w:rPr>
          <w:lang w:val="fr-FR"/>
        </w:rPr>
        <w:t xml:space="preserve">copie numérique et de la diffusion numérique </w:t>
      </w:r>
      <w:r w:rsidR="007D245E">
        <w:rPr>
          <w:lang w:val="fr-FR"/>
        </w:rPr>
        <w:t>au regard</w:t>
      </w:r>
      <w:r w:rsidR="00405CF2">
        <w:rPr>
          <w:lang w:val="fr-FR"/>
        </w:rPr>
        <w:t xml:space="preserve"> </w:t>
      </w:r>
      <w:r w:rsidR="007D245E">
        <w:rPr>
          <w:lang w:val="fr-FR"/>
        </w:rPr>
        <w:t xml:space="preserve">des dispositions </w:t>
      </w:r>
      <w:r w:rsidR="00405CF2">
        <w:rPr>
          <w:lang w:val="fr-FR"/>
        </w:rPr>
        <w:t>de l</w:t>
      </w:r>
      <w:r w:rsidR="00AA5429">
        <w:rPr>
          <w:lang w:val="fr-FR"/>
        </w:rPr>
        <w:t>’</w:t>
      </w:r>
      <w:r w:rsidR="00405CF2">
        <w:rPr>
          <w:lang w:val="fr-FR"/>
        </w:rPr>
        <w:t xml:space="preserve">annexe de la Convention de </w:t>
      </w:r>
      <w:r w:rsidR="00746E45" w:rsidRPr="00821360">
        <w:rPr>
          <w:lang w:val="fr-FR"/>
        </w:rPr>
        <w:t>Berne</w:t>
      </w:r>
      <w:r w:rsidR="001D3646" w:rsidRPr="00821360">
        <w:rPr>
          <w:lang w:val="fr-FR"/>
        </w:rPr>
        <w:t xml:space="preserve">; </w:t>
      </w:r>
      <w:r w:rsidR="007D245E">
        <w:rPr>
          <w:lang w:val="fr-FR"/>
        </w:rPr>
        <w:t xml:space="preserve"> et</w:t>
      </w:r>
    </w:p>
    <w:p w14:paraId="07C30E50" w14:textId="0DF10322" w:rsidR="00830237" w:rsidRPr="00821360" w:rsidRDefault="007D245E" w:rsidP="00D52B7A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l</w:t>
      </w:r>
      <w:r w:rsidR="00AA5429">
        <w:rPr>
          <w:lang w:val="fr-FR"/>
        </w:rPr>
        <w:t>’</w:t>
      </w:r>
      <w:r w:rsidR="00830237" w:rsidRPr="00821360">
        <w:rPr>
          <w:lang w:val="fr-FR"/>
        </w:rPr>
        <w:t>analys</w:t>
      </w:r>
      <w:r>
        <w:rPr>
          <w:lang w:val="fr-FR"/>
        </w:rPr>
        <w:t xml:space="preserve">e des dispositions portant sur les </w:t>
      </w:r>
      <w:r w:rsidR="00AE57F4">
        <w:rPr>
          <w:lang w:val="fr-FR"/>
        </w:rPr>
        <w:t xml:space="preserve">éléments de flexibilité et les limitations et exceptions </w:t>
      </w:r>
      <w:r w:rsidR="00AE57F4" w:rsidRPr="00AE57F4">
        <w:rPr>
          <w:lang w:val="fr-FR"/>
        </w:rPr>
        <w:t>relati</w:t>
      </w:r>
      <w:r w:rsidR="0057494D">
        <w:rPr>
          <w:lang w:val="fr-FR"/>
        </w:rPr>
        <w:t>f</w:t>
      </w:r>
      <w:r w:rsidR="00AE57F4" w:rsidRPr="00AE57F4">
        <w:rPr>
          <w:lang w:val="fr-FR"/>
        </w:rPr>
        <w:t>s aux mesures techniques de protection et à l</w:t>
      </w:r>
      <w:r w:rsidR="00AA5429">
        <w:rPr>
          <w:lang w:val="fr-FR"/>
        </w:rPr>
        <w:t>’</w:t>
      </w:r>
      <w:r w:rsidR="00AE57F4" w:rsidRPr="00AE57F4">
        <w:rPr>
          <w:lang w:val="fr-FR"/>
        </w:rPr>
        <w:t xml:space="preserve">information sur le régime des droits </w:t>
      </w:r>
      <w:r w:rsidR="00E97ED8">
        <w:rPr>
          <w:lang w:val="fr-FR"/>
        </w:rPr>
        <w:t>en faveur des activités</w:t>
      </w:r>
      <w:r w:rsidR="00AE57F4" w:rsidRPr="00AE57F4">
        <w:rPr>
          <w:lang w:val="fr-FR"/>
        </w:rPr>
        <w:t xml:space="preserve"> d</w:t>
      </w:r>
      <w:r w:rsidR="00AA5429">
        <w:rPr>
          <w:lang w:val="fr-FR"/>
        </w:rPr>
        <w:t>’</w:t>
      </w:r>
      <w:r w:rsidR="00AE57F4" w:rsidRPr="00AE57F4">
        <w:rPr>
          <w:lang w:val="fr-FR"/>
        </w:rPr>
        <w:t>enseignement</w:t>
      </w:r>
      <w:r w:rsidR="000E26C8" w:rsidRPr="00821360">
        <w:rPr>
          <w:lang w:val="fr-FR"/>
        </w:rPr>
        <w:t xml:space="preserve">, </w:t>
      </w:r>
      <w:r w:rsidR="00E97ED8">
        <w:rPr>
          <w:lang w:val="fr-FR"/>
        </w:rPr>
        <w:t>l</w:t>
      </w:r>
      <w:r w:rsidR="00AA5429">
        <w:rPr>
          <w:lang w:val="fr-FR"/>
        </w:rPr>
        <w:t>’</w:t>
      </w:r>
      <w:r w:rsidR="00E97ED8">
        <w:rPr>
          <w:lang w:val="fr-FR"/>
        </w:rPr>
        <w:t xml:space="preserve">accent étant mis sur </w:t>
      </w:r>
      <w:r w:rsidR="001C2715">
        <w:rPr>
          <w:lang w:val="fr-FR"/>
        </w:rPr>
        <w:t>la situation dans les</w:t>
      </w:r>
      <w:r w:rsidR="00E97ED8">
        <w:rPr>
          <w:lang w:val="fr-FR"/>
        </w:rPr>
        <w:t xml:space="preserve"> États membres</w:t>
      </w:r>
      <w:r w:rsidR="001C2715">
        <w:rPr>
          <w:lang w:val="fr-FR"/>
        </w:rPr>
        <w:t xml:space="preserve"> ayant adhéré</w:t>
      </w:r>
      <w:r w:rsidR="00E97ED8">
        <w:rPr>
          <w:lang w:val="fr-FR"/>
        </w:rPr>
        <w:t xml:space="preserve"> au Traité de l</w:t>
      </w:r>
      <w:r w:rsidR="00AA5429">
        <w:rPr>
          <w:lang w:val="fr-FR"/>
        </w:rPr>
        <w:t>’</w:t>
      </w:r>
      <w:r w:rsidR="00E97ED8">
        <w:rPr>
          <w:lang w:val="fr-FR"/>
        </w:rPr>
        <w:t>OMPI sur le droit d</w:t>
      </w:r>
      <w:r w:rsidR="00AA5429">
        <w:rPr>
          <w:lang w:val="fr-FR"/>
        </w:rPr>
        <w:t>’</w:t>
      </w:r>
      <w:r w:rsidR="00E97ED8">
        <w:rPr>
          <w:lang w:val="fr-FR"/>
        </w:rPr>
        <w:t xml:space="preserve">auteur </w:t>
      </w:r>
      <w:r w:rsidR="00CB6EC1" w:rsidRPr="00821360">
        <w:rPr>
          <w:lang w:val="fr-FR"/>
        </w:rPr>
        <w:t>(</w:t>
      </w:r>
      <w:proofErr w:type="spellStart"/>
      <w:r w:rsidR="00CB6EC1" w:rsidRPr="00821360">
        <w:rPr>
          <w:lang w:val="fr-FR"/>
        </w:rPr>
        <w:t>WCT</w:t>
      </w:r>
      <w:proofErr w:type="spellEnd"/>
      <w:r w:rsidR="00CB6EC1" w:rsidRPr="00821360">
        <w:rPr>
          <w:lang w:val="fr-FR"/>
        </w:rPr>
        <w:t xml:space="preserve">) </w:t>
      </w:r>
      <w:r w:rsidR="00996EAC">
        <w:rPr>
          <w:lang w:val="fr-FR"/>
        </w:rPr>
        <w:t>et au Traité de l</w:t>
      </w:r>
      <w:r w:rsidR="00AA5429">
        <w:rPr>
          <w:lang w:val="fr-FR"/>
        </w:rPr>
        <w:t>’</w:t>
      </w:r>
      <w:r w:rsidR="00996EAC">
        <w:rPr>
          <w:lang w:val="fr-FR"/>
        </w:rPr>
        <w:t>OMPI sur les interprétations et exécutions et les p</w:t>
      </w:r>
      <w:r w:rsidR="000E26C8" w:rsidRPr="00821360">
        <w:rPr>
          <w:lang w:val="fr-FR"/>
        </w:rPr>
        <w:t>honogram</w:t>
      </w:r>
      <w:r w:rsidR="00996EAC">
        <w:rPr>
          <w:lang w:val="fr-FR"/>
        </w:rPr>
        <w:t>me</w:t>
      </w:r>
      <w:r w:rsidR="000E26C8" w:rsidRPr="00821360">
        <w:rPr>
          <w:lang w:val="fr-FR"/>
        </w:rPr>
        <w:t>s</w:t>
      </w:r>
      <w:r w:rsidR="00CB6EC1" w:rsidRPr="00821360">
        <w:rPr>
          <w:lang w:val="fr-FR"/>
        </w:rPr>
        <w:t xml:space="preserve"> (</w:t>
      </w:r>
      <w:proofErr w:type="spellStart"/>
      <w:r w:rsidR="00CB6EC1" w:rsidRPr="00821360">
        <w:rPr>
          <w:lang w:val="fr-FR"/>
        </w:rPr>
        <w:t>WPPT</w:t>
      </w:r>
      <w:proofErr w:type="spellEnd"/>
      <w:r w:rsidR="00CB6EC1" w:rsidRPr="00821360">
        <w:rPr>
          <w:lang w:val="fr-FR"/>
        </w:rPr>
        <w:t>)</w:t>
      </w:r>
      <w:r w:rsidR="001D3646" w:rsidRPr="00821360">
        <w:rPr>
          <w:lang w:val="fr-FR"/>
        </w:rPr>
        <w:t>.</w:t>
      </w:r>
    </w:p>
    <w:p w14:paraId="475367A3" w14:textId="581F9C7D" w:rsidR="00AA5429" w:rsidRDefault="00DE2969" w:rsidP="00D52B7A">
      <w:pPr>
        <w:rPr>
          <w:lang w:val="fr-FR"/>
        </w:rPr>
      </w:pPr>
      <w:r>
        <w:rPr>
          <w:lang w:val="fr-FR"/>
        </w:rPr>
        <w:t xml:space="preserve">Si certaines de ces questions ont été abordées dans la précédente étude (par exemple, les limitations et exceptions visant à faciliter </w:t>
      </w:r>
      <w:r w:rsidRPr="00DE2969">
        <w:rPr>
          <w:lang w:val="fr-FR"/>
        </w:rPr>
        <w:t>l</w:t>
      </w:r>
      <w:r w:rsidR="00AA5429">
        <w:rPr>
          <w:lang w:val="fr-FR"/>
        </w:rPr>
        <w:t>’</w:t>
      </w:r>
      <w:r w:rsidRPr="00DE2969">
        <w:rPr>
          <w:lang w:val="fr-FR"/>
        </w:rPr>
        <w:t>utilisation d</w:t>
      </w:r>
      <w:r w:rsidR="00AA5429">
        <w:rPr>
          <w:lang w:val="fr-FR"/>
        </w:rPr>
        <w:t>’</w:t>
      </w:r>
      <w:r w:rsidRPr="00DE2969">
        <w:rPr>
          <w:lang w:val="fr-FR"/>
        </w:rPr>
        <w:t>adaptations et de traductions à des fins d</w:t>
      </w:r>
      <w:r w:rsidR="00AA5429">
        <w:rPr>
          <w:lang w:val="fr-FR"/>
        </w:rPr>
        <w:t>’</w:t>
      </w:r>
      <w:r w:rsidRPr="00DE2969">
        <w:rPr>
          <w:lang w:val="fr-FR"/>
        </w:rPr>
        <w:t xml:space="preserve">enseignement </w:t>
      </w:r>
      <w:r w:rsidR="002C7B05">
        <w:rPr>
          <w:lang w:val="fr-FR"/>
        </w:rPr>
        <w:t>au regard</w:t>
      </w:r>
      <w:r>
        <w:rPr>
          <w:lang w:val="fr-FR"/>
        </w:rPr>
        <w:t xml:space="preserve"> des dispositions de l</w:t>
      </w:r>
      <w:r w:rsidR="00AA5429">
        <w:rPr>
          <w:lang w:val="fr-FR"/>
        </w:rPr>
        <w:t>’</w:t>
      </w:r>
      <w:r>
        <w:rPr>
          <w:lang w:val="fr-FR"/>
        </w:rPr>
        <w:t xml:space="preserve">annexe de la Convention de Berne, ainsi que certaines des dispositions </w:t>
      </w:r>
      <w:r w:rsidR="001C2715">
        <w:rPr>
          <w:lang w:val="fr-FR"/>
        </w:rPr>
        <w:t>destinées</w:t>
      </w:r>
      <w:r w:rsidRPr="00DE2969">
        <w:rPr>
          <w:lang w:val="fr-FR"/>
        </w:rPr>
        <w:t xml:space="preserve"> à limiter </w:t>
      </w:r>
      <w:r w:rsidR="001C2715">
        <w:rPr>
          <w:lang w:val="fr-FR"/>
        </w:rPr>
        <w:t>la responsabilité</w:t>
      </w:r>
      <w:r w:rsidRPr="00DE2969">
        <w:rPr>
          <w:lang w:val="fr-FR"/>
        </w:rPr>
        <w:t xml:space="preserve"> au titre du droit d</w:t>
      </w:r>
      <w:r w:rsidR="00AA5429">
        <w:rPr>
          <w:lang w:val="fr-FR"/>
        </w:rPr>
        <w:t>’</w:t>
      </w:r>
      <w:r w:rsidRPr="00DE2969">
        <w:rPr>
          <w:lang w:val="fr-FR"/>
        </w:rPr>
        <w:t xml:space="preserve">auteur </w:t>
      </w:r>
      <w:r w:rsidR="001C2715">
        <w:rPr>
          <w:lang w:val="fr-FR"/>
        </w:rPr>
        <w:t>des</w:t>
      </w:r>
      <w:r w:rsidRPr="00DE2969">
        <w:rPr>
          <w:lang w:val="fr-FR"/>
        </w:rPr>
        <w:t xml:space="preserve"> établissements d</w:t>
      </w:r>
      <w:r w:rsidR="00AA5429">
        <w:rPr>
          <w:lang w:val="fr-FR"/>
        </w:rPr>
        <w:t>’</w:t>
      </w:r>
      <w:r w:rsidRPr="00DE2969">
        <w:rPr>
          <w:lang w:val="fr-FR"/>
        </w:rPr>
        <w:t>enseignement</w:t>
      </w:r>
      <w:r w:rsidR="00975442">
        <w:rPr>
          <w:lang w:val="fr-FR"/>
        </w:rPr>
        <w:t>,</w:t>
      </w:r>
      <w:r w:rsidRPr="00DE2969">
        <w:rPr>
          <w:lang w:val="fr-FR"/>
        </w:rPr>
        <w:t xml:space="preserve"> </w:t>
      </w:r>
      <w:r w:rsidR="00975442">
        <w:rPr>
          <w:lang w:val="fr-FR"/>
        </w:rPr>
        <w:t xml:space="preserve">et la portée des </w:t>
      </w:r>
      <w:r w:rsidR="00746E45" w:rsidRPr="00821360">
        <w:rPr>
          <w:lang w:val="fr-FR"/>
        </w:rPr>
        <w:t xml:space="preserve">contrats </w:t>
      </w:r>
      <w:r w:rsidR="00975442">
        <w:rPr>
          <w:lang w:val="fr-FR"/>
        </w:rPr>
        <w:t>conclus dans le cadre de certaines activités d</w:t>
      </w:r>
      <w:r w:rsidR="00AA5429">
        <w:rPr>
          <w:lang w:val="fr-FR"/>
        </w:rPr>
        <w:t>’</w:t>
      </w:r>
      <w:r w:rsidR="00975442">
        <w:rPr>
          <w:lang w:val="fr-FR"/>
        </w:rPr>
        <w:t>enseignement</w:t>
      </w:r>
      <w:r w:rsidR="00746E45" w:rsidRPr="00821360">
        <w:rPr>
          <w:lang w:val="fr-FR"/>
        </w:rPr>
        <w:t xml:space="preserve">), </w:t>
      </w:r>
      <w:r w:rsidR="005A3282">
        <w:rPr>
          <w:lang w:val="fr-FR"/>
        </w:rPr>
        <w:t xml:space="preserve">dans la présente version actualisée, il </w:t>
      </w:r>
      <w:r w:rsidR="009851E0">
        <w:rPr>
          <w:lang w:val="fr-FR"/>
        </w:rPr>
        <w:t>sera</w:t>
      </w:r>
      <w:r w:rsidR="005A3282">
        <w:rPr>
          <w:lang w:val="fr-FR"/>
        </w:rPr>
        <w:t xml:space="preserve"> tiré parti de ces éléments pour approfondir l</w:t>
      </w:r>
      <w:r w:rsidR="00AA5429">
        <w:rPr>
          <w:lang w:val="fr-FR"/>
        </w:rPr>
        <w:t>’</w:t>
      </w:r>
      <w:r w:rsidR="005A3282">
        <w:rPr>
          <w:lang w:val="fr-FR"/>
        </w:rPr>
        <w:t>examen des questions susmentionnées et affiner leur analy</w:t>
      </w:r>
      <w:r w:rsidR="00D07A5F">
        <w:rPr>
          <w:lang w:val="fr-FR"/>
        </w:rPr>
        <w:t xml:space="preserve">se.  À </w:t>
      </w:r>
      <w:r w:rsidR="009851E0">
        <w:rPr>
          <w:lang w:val="fr-FR"/>
        </w:rPr>
        <w:t>cet effet, il a été procédé au réexamen intégral de la législation en matière de droit d</w:t>
      </w:r>
      <w:r w:rsidR="00AA5429">
        <w:rPr>
          <w:lang w:val="fr-FR"/>
        </w:rPr>
        <w:t>’</w:t>
      </w:r>
      <w:r w:rsidR="009851E0">
        <w:rPr>
          <w:lang w:val="fr-FR"/>
        </w:rPr>
        <w:t>auteur de l</w:t>
      </w:r>
      <w:r w:rsidR="00AA5429">
        <w:rPr>
          <w:lang w:val="fr-FR"/>
        </w:rPr>
        <w:t>’</w:t>
      </w:r>
      <w:r w:rsidR="009851E0">
        <w:rPr>
          <w:lang w:val="fr-FR"/>
        </w:rPr>
        <w:t>ensemble des</w:t>
      </w:r>
      <w:r w:rsidR="00746E45" w:rsidRPr="00821360">
        <w:rPr>
          <w:lang w:val="fr-FR"/>
        </w:rPr>
        <w:t xml:space="preserve"> </w:t>
      </w:r>
      <w:r w:rsidR="00E05489" w:rsidRPr="00821360">
        <w:rPr>
          <w:lang w:val="fr-FR"/>
        </w:rPr>
        <w:t>191</w:t>
      </w:r>
      <w:r w:rsidR="009851E0">
        <w:rPr>
          <w:lang w:val="fr-FR"/>
        </w:rPr>
        <w:t> États membres de l</w:t>
      </w:r>
      <w:r w:rsidR="00AA5429">
        <w:rPr>
          <w:lang w:val="fr-FR"/>
        </w:rPr>
        <w:t>’</w:t>
      </w:r>
      <w:r w:rsidR="009851E0">
        <w:rPr>
          <w:lang w:val="fr-FR"/>
        </w:rPr>
        <w:t xml:space="preserve">OMPI sur la base des versions les plus récentes mises à disposition </w:t>
      </w:r>
      <w:r w:rsidR="00123B37">
        <w:rPr>
          <w:lang w:val="fr-FR"/>
        </w:rPr>
        <w:t xml:space="preserve">sur la page consacrée à </w:t>
      </w:r>
      <w:proofErr w:type="spellStart"/>
      <w:r w:rsidR="00123B37">
        <w:rPr>
          <w:lang w:val="fr-FR"/>
        </w:rPr>
        <w:t>WIPO</w:t>
      </w:r>
      <w:proofErr w:type="spellEnd"/>
      <w:r w:rsidR="00123B37">
        <w:rPr>
          <w:lang w:val="fr-FR"/>
        </w:rPr>
        <w:t xml:space="preserve"> </w:t>
      </w:r>
      <w:proofErr w:type="spellStart"/>
      <w:r w:rsidR="00123B37">
        <w:rPr>
          <w:lang w:val="fr-FR"/>
        </w:rPr>
        <w:t>Lex</w:t>
      </w:r>
      <w:proofErr w:type="spellEnd"/>
      <w:r w:rsidR="00123B37">
        <w:rPr>
          <w:lang w:val="fr-FR"/>
        </w:rPr>
        <w:t xml:space="preserve"> sur le site Web de l</w:t>
      </w:r>
      <w:r w:rsidR="00AA5429">
        <w:rPr>
          <w:lang w:val="fr-FR"/>
        </w:rPr>
        <w:t>’</w:t>
      </w:r>
      <w:r w:rsidR="00123B37">
        <w:rPr>
          <w:lang w:val="fr-FR"/>
        </w:rPr>
        <w:t>Organisati</w:t>
      </w:r>
      <w:r w:rsidR="00D07A5F">
        <w:rPr>
          <w:lang w:val="fr-FR"/>
        </w:rPr>
        <w:t>on.  Un</w:t>
      </w:r>
      <w:r w:rsidR="00123B37">
        <w:rPr>
          <w:lang w:val="fr-FR"/>
        </w:rPr>
        <w:t xml:space="preserve"> certain nombre d</w:t>
      </w:r>
      <w:r w:rsidR="00AA5429">
        <w:rPr>
          <w:lang w:val="fr-FR"/>
        </w:rPr>
        <w:t>’</w:t>
      </w:r>
      <w:r w:rsidR="00123B37">
        <w:rPr>
          <w:lang w:val="fr-FR"/>
        </w:rPr>
        <w:t>États membres de l</w:t>
      </w:r>
      <w:r w:rsidR="00AA5429">
        <w:rPr>
          <w:lang w:val="fr-FR"/>
        </w:rPr>
        <w:t>’</w:t>
      </w:r>
      <w:r w:rsidR="00123B37">
        <w:rPr>
          <w:lang w:val="fr-FR"/>
        </w:rPr>
        <w:t>OMPI ayant également actualisé leur législation nationale depuis que l</w:t>
      </w:r>
      <w:r w:rsidR="00AA5429">
        <w:rPr>
          <w:lang w:val="fr-FR"/>
        </w:rPr>
        <w:t>’</w:t>
      </w:r>
      <w:r w:rsidR="00123B37">
        <w:rPr>
          <w:lang w:val="fr-FR"/>
        </w:rPr>
        <w:t>étude précédente a été établie, la présente version actualisée s</w:t>
      </w:r>
      <w:r w:rsidR="00AA5429">
        <w:rPr>
          <w:lang w:val="fr-FR"/>
        </w:rPr>
        <w:t>’</w:t>
      </w:r>
      <w:r w:rsidR="00123B37">
        <w:rPr>
          <w:lang w:val="fr-FR"/>
        </w:rPr>
        <w:t>avère nécessaire et vient à son heu</w:t>
      </w:r>
      <w:r w:rsidR="00D07A5F">
        <w:rPr>
          <w:lang w:val="fr-FR"/>
        </w:rPr>
        <w:t>re.  L’a</w:t>
      </w:r>
      <w:r w:rsidR="00123B37">
        <w:rPr>
          <w:lang w:val="fr-FR"/>
        </w:rPr>
        <w:t xml:space="preserve">nalyse </w:t>
      </w:r>
      <w:r w:rsidR="007400D8">
        <w:rPr>
          <w:lang w:val="fr-FR"/>
        </w:rPr>
        <w:t xml:space="preserve">susmentionnée est </w:t>
      </w:r>
      <w:r w:rsidR="00A66111">
        <w:rPr>
          <w:lang w:val="fr-FR"/>
        </w:rPr>
        <w:t>présentée ci</w:t>
      </w:r>
      <w:r w:rsidR="00D52B7A">
        <w:rPr>
          <w:lang w:val="fr-FR"/>
        </w:rPr>
        <w:noBreakHyphen/>
      </w:r>
      <w:r w:rsidR="00A66111">
        <w:rPr>
          <w:lang w:val="fr-FR"/>
        </w:rPr>
        <w:t>après</w:t>
      </w:r>
      <w:r w:rsidR="00746E45" w:rsidRPr="00821360">
        <w:rPr>
          <w:lang w:val="fr-FR"/>
        </w:rPr>
        <w:t>.</w:t>
      </w:r>
    </w:p>
    <w:p w14:paraId="2DE0E244" w14:textId="04AE6E61" w:rsidR="00AA5429" w:rsidRDefault="00A66111" w:rsidP="00D52B7A">
      <w:pPr>
        <w:rPr>
          <w:lang w:val="fr-FR"/>
        </w:rPr>
      </w:pPr>
      <w:r>
        <w:rPr>
          <w:lang w:val="fr-FR"/>
        </w:rPr>
        <w:t>Les États membres de l</w:t>
      </w:r>
      <w:r w:rsidR="00AA5429">
        <w:rPr>
          <w:lang w:val="fr-FR"/>
        </w:rPr>
        <w:t>’</w:t>
      </w:r>
      <w:r>
        <w:rPr>
          <w:lang w:val="fr-FR"/>
        </w:rPr>
        <w:t>OMPI ont également demandé qu</w:t>
      </w:r>
      <w:r w:rsidR="00AA5429">
        <w:rPr>
          <w:lang w:val="fr-FR"/>
        </w:rPr>
        <w:t>’</w:t>
      </w:r>
      <w:r>
        <w:rPr>
          <w:lang w:val="fr-FR"/>
        </w:rPr>
        <w:t>il soit tenu compte de l</w:t>
      </w:r>
      <w:r w:rsidR="00AA5429">
        <w:rPr>
          <w:lang w:val="fr-FR"/>
        </w:rPr>
        <w:t>’</w:t>
      </w:r>
      <w:r>
        <w:rPr>
          <w:lang w:val="fr-FR"/>
        </w:rPr>
        <w:t>Accord de Bangui</w:t>
      </w:r>
      <w:r w:rsidR="00683C1B">
        <w:rPr>
          <w:lang w:val="fr-FR"/>
        </w:rPr>
        <w:t>, qui est un accord régional dans le domaine de la propriété intellectuelle entre le</w:t>
      </w:r>
      <w:r w:rsidR="00CB6EC1" w:rsidRPr="00821360">
        <w:rPr>
          <w:lang w:val="fr-FR"/>
        </w:rPr>
        <w:t xml:space="preserve"> </w:t>
      </w:r>
      <w:r w:rsidR="00683C1B">
        <w:rPr>
          <w:lang w:val="fr-FR"/>
        </w:rPr>
        <w:t>Bé</w:t>
      </w:r>
      <w:r w:rsidR="00746E45" w:rsidRPr="00821360">
        <w:rPr>
          <w:lang w:val="fr-FR"/>
        </w:rPr>
        <w:t xml:space="preserve">nin, </w:t>
      </w:r>
      <w:r w:rsidR="00683C1B">
        <w:rPr>
          <w:lang w:val="fr-FR"/>
        </w:rPr>
        <w:t xml:space="preserve">le </w:t>
      </w:r>
      <w:r w:rsidR="00746E45" w:rsidRPr="00821360">
        <w:rPr>
          <w:lang w:val="fr-FR"/>
        </w:rPr>
        <w:t>Burkina</w:t>
      </w:r>
      <w:r w:rsidR="00683C1B">
        <w:rPr>
          <w:lang w:val="fr-FR"/>
        </w:rPr>
        <w:t> </w:t>
      </w:r>
      <w:r w:rsidR="00746E45" w:rsidRPr="00821360">
        <w:rPr>
          <w:lang w:val="fr-FR"/>
        </w:rPr>
        <w:t xml:space="preserve">Faso, </w:t>
      </w:r>
      <w:r w:rsidR="00683C1B">
        <w:rPr>
          <w:lang w:val="fr-FR"/>
        </w:rPr>
        <w:t xml:space="preserve">le </w:t>
      </w:r>
      <w:r w:rsidR="00746E45" w:rsidRPr="00821360">
        <w:rPr>
          <w:lang w:val="fr-FR"/>
        </w:rPr>
        <w:t>Camero</w:t>
      </w:r>
      <w:r w:rsidR="00683C1B">
        <w:rPr>
          <w:lang w:val="fr-FR"/>
        </w:rPr>
        <w:t>u</w:t>
      </w:r>
      <w:r w:rsidR="00746E45" w:rsidRPr="00821360">
        <w:rPr>
          <w:lang w:val="fr-FR"/>
        </w:rPr>
        <w:t xml:space="preserve">n, </w:t>
      </w:r>
      <w:r w:rsidR="00683C1B">
        <w:rPr>
          <w:lang w:val="fr-FR"/>
        </w:rPr>
        <w:t xml:space="preserve">les Comores, le Congo, la </w:t>
      </w:r>
      <w:r w:rsidR="00746E45" w:rsidRPr="00821360">
        <w:rPr>
          <w:lang w:val="fr-FR"/>
        </w:rPr>
        <w:t>C</w:t>
      </w:r>
      <w:r w:rsidR="00746E45" w:rsidRPr="00821360">
        <w:rPr>
          <w:rFonts w:cs="Arial"/>
          <w:lang w:val="fr-FR"/>
        </w:rPr>
        <w:t>ô</w:t>
      </w:r>
      <w:r w:rsidR="00746E45" w:rsidRPr="00821360">
        <w:rPr>
          <w:lang w:val="fr-FR"/>
        </w:rPr>
        <w:t>te</w:t>
      </w:r>
      <w:r w:rsidR="00683C1B">
        <w:rPr>
          <w:lang w:val="fr-FR"/>
        </w:rPr>
        <w:t> </w:t>
      </w:r>
      <w:r w:rsidR="00746E45" w:rsidRPr="00821360">
        <w:rPr>
          <w:lang w:val="fr-FR"/>
        </w:rPr>
        <w:t>d</w:t>
      </w:r>
      <w:r w:rsidR="00AA5429">
        <w:rPr>
          <w:lang w:val="fr-FR"/>
        </w:rPr>
        <w:t>’</w:t>
      </w:r>
      <w:r w:rsidR="00746E45" w:rsidRPr="00821360">
        <w:rPr>
          <w:lang w:val="fr-FR"/>
        </w:rPr>
        <w:t xml:space="preserve">Ivoire, </w:t>
      </w:r>
      <w:r w:rsidR="00683C1B">
        <w:rPr>
          <w:lang w:val="fr-FR"/>
        </w:rPr>
        <w:t xml:space="preserve">le </w:t>
      </w:r>
      <w:r w:rsidR="00746E45" w:rsidRPr="00821360">
        <w:rPr>
          <w:lang w:val="fr-FR"/>
        </w:rPr>
        <w:t xml:space="preserve">Gabon, </w:t>
      </w:r>
      <w:r w:rsidR="00683C1B">
        <w:rPr>
          <w:lang w:val="fr-FR"/>
        </w:rPr>
        <w:t xml:space="preserve">la </w:t>
      </w:r>
      <w:r w:rsidR="00746E45" w:rsidRPr="00821360">
        <w:rPr>
          <w:lang w:val="fr-FR"/>
        </w:rPr>
        <w:t>Guin</w:t>
      </w:r>
      <w:r w:rsidR="00683C1B">
        <w:rPr>
          <w:lang w:val="fr-FR"/>
        </w:rPr>
        <w:t>é</w:t>
      </w:r>
      <w:r w:rsidR="00746E45" w:rsidRPr="00821360">
        <w:rPr>
          <w:lang w:val="fr-FR"/>
        </w:rPr>
        <w:t xml:space="preserve">e, </w:t>
      </w:r>
      <w:r w:rsidR="00683C1B">
        <w:rPr>
          <w:lang w:val="fr-FR"/>
        </w:rPr>
        <w:t xml:space="preserve">la </w:t>
      </w:r>
      <w:r w:rsidR="00746E45" w:rsidRPr="00821360">
        <w:rPr>
          <w:lang w:val="fr-FR"/>
        </w:rPr>
        <w:t>Guin</w:t>
      </w:r>
      <w:r w:rsidR="00683C1B">
        <w:rPr>
          <w:lang w:val="fr-FR"/>
        </w:rPr>
        <w:t>é</w:t>
      </w:r>
      <w:r w:rsidR="00746E45" w:rsidRPr="00821360">
        <w:rPr>
          <w:lang w:val="fr-FR"/>
        </w:rPr>
        <w:t>e</w:t>
      </w:r>
      <w:r w:rsidR="00D52B7A">
        <w:rPr>
          <w:lang w:val="fr-FR"/>
        </w:rPr>
        <w:noBreakHyphen/>
      </w:r>
      <w:r w:rsidR="00746E45" w:rsidRPr="00821360">
        <w:rPr>
          <w:lang w:val="fr-FR"/>
        </w:rPr>
        <w:t xml:space="preserve">Bissau, </w:t>
      </w:r>
      <w:r w:rsidR="00683C1B">
        <w:rPr>
          <w:lang w:val="fr-FR"/>
        </w:rPr>
        <w:t xml:space="preserve">la Guinée équatoriale, le </w:t>
      </w:r>
      <w:r w:rsidR="00746E45" w:rsidRPr="00821360">
        <w:rPr>
          <w:lang w:val="fr-FR"/>
        </w:rPr>
        <w:t xml:space="preserve">Mali, </w:t>
      </w:r>
      <w:r w:rsidR="00683C1B">
        <w:rPr>
          <w:lang w:val="fr-FR"/>
        </w:rPr>
        <w:t xml:space="preserve">la </w:t>
      </w:r>
      <w:r w:rsidR="00651996" w:rsidRPr="00821360">
        <w:rPr>
          <w:lang w:val="fr-FR"/>
        </w:rPr>
        <w:t>Mauritani</w:t>
      </w:r>
      <w:r w:rsidR="00683C1B">
        <w:rPr>
          <w:lang w:val="fr-FR"/>
        </w:rPr>
        <w:t>e</w:t>
      </w:r>
      <w:r w:rsidR="00746E45" w:rsidRPr="00821360">
        <w:rPr>
          <w:lang w:val="fr-FR"/>
        </w:rPr>
        <w:t xml:space="preserve">, </w:t>
      </w:r>
      <w:r w:rsidR="00683C1B">
        <w:rPr>
          <w:lang w:val="fr-FR"/>
        </w:rPr>
        <w:t xml:space="preserve">le </w:t>
      </w:r>
      <w:r w:rsidR="00746E45" w:rsidRPr="00821360">
        <w:rPr>
          <w:lang w:val="fr-FR"/>
        </w:rPr>
        <w:t xml:space="preserve">Niger, </w:t>
      </w:r>
      <w:r w:rsidR="00683C1B">
        <w:rPr>
          <w:lang w:val="fr-FR"/>
        </w:rPr>
        <w:t>la République</w:t>
      </w:r>
      <w:r w:rsidR="0079058B">
        <w:rPr>
          <w:lang w:val="fr-FR"/>
        </w:rPr>
        <w:t> </w:t>
      </w:r>
      <w:r w:rsidR="00683C1B">
        <w:rPr>
          <w:lang w:val="fr-FR"/>
        </w:rPr>
        <w:t>centrafricaine, le Sé</w:t>
      </w:r>
      <w:r w:rsidR="00746E45" w:rsidRPr="00821360">
        <w:rPr>
          <w:lang w:val="fr-FR"/>
        </w:rPr>
        <w:t>n</w:t>
      </w:r>
      <w:r w:rsidR="00683C1B">
        <w:rPr>
          <w:lang w:val="fr-FR"/>
        </w:rPr>
        <w:t>é</w:t>
      </w:r>
      <w:r w:rsidR="00746E45" w:rsidRPr="00821360">
        <w:rPr>
          <w:lang w:val="fr-FR"/>
        </w:rPr>
        <w:t>gal</w:t>
      </w:r>
      <w:r w:rsidR="00683C1B">
        <w:rPr>
          <w:lang w:val="fr-FR"/>
        </w:rPr>
        <w:t xml:space="preserve">, le Tchad et le </w:t>
      </w:r>
      <w:r w:rsidR="00746E45" w:rsidRPr="00821360">
        <w:rPr>
          <w:lang w:val="fr-FR"/>
        </w:rPr>
        <w:t>To</w:t>
      </w:r>
      <w:r w:rsidR="00D07A5F" w:rsidRPr="00821360">
        <w:rPr>
          <w:lang w:val="fr-FR"/>
        </w:rPr>
        <w:t>go</w:t>
      </w:r>
      <w:r w:rsidR="00D07A5F">
        <w:rPr>
          <w:lang w:val="fr-FR"/>
        </w:rPr>
        <w:t>.  Le</w:t>
      </w:r>
      <w:r w:rsidR="0079058B">
        <w:rPr>
          <w:lang w:val="fr-FR"/>
        </w:rPr>
        <w:t>s États membres ont en outre souhaité qu</w:t>
      </w:r>
      <w:r w:rsidR="00AA5429">
        <w:rPr>
          <w:lang w:val="fr-FR"/>
        </w:rPr>
        <w:t>’</w:t>
      </w:r>
      <w:r w:rsidR="0079058B">
        <w:rPr>
          <w:lang w:val="fr-FR"/>
        </w:rPr>
        <w:t>il soit rendu compte de la situation de chaque État membre au regard de la ratification</w:t>
      </w:r>
      <w:r w:rsidR="00AA5429" w:rsidRPr="00AA5429">
        <w:rPr>
          <w:lang w:val="fr-FR"/>
        </w:rPr>
        <w:t xml:space="preserve"> du </w:t>
      </w:r>
      <w:proofErr w:type="spellStart"/>
      <w:r w:rsidR="00AA5429" w:rsidRPr="00AA5429">
        <w:rPr>
          <w:lang w:val="fr-FR"/>
        </w:rPr>
        <w:t>WCT</w:t>
      </w:r>
      <w:proofErr w:type="spellEnd"/>
      <w:r w:rsidR="0079058B">
        <w:rPr>
          <w:lang w:val="fr-FR"/>
        </w:rPr>
        <w:t xml:space="preserve"> et</w:t>
      </w:r>
      <w:r w:rsidR="00AA5429" w:rsidRPr="00AA5429">
        <w:rPr>
          <w:lang w:val="fr-FR"/>
        </w:rPr>
        <w:t xml:space="preserve"> du </w:t>
      </w:r>
      <w:proofErr w:type="spellStart"/>
      <w:r w:rsidR="00AA5429" w:rsidRPr="00AA5429">
        <w:rPr>
          <w:lang w:val="fr-FR"/>
        </w:rPr>
        <w:t>WPP</w:t>
      </w:r>
      <w:r w:rsidR="0079058B">
        <w:rPr>
          <w:lang w:val="fr-FR"/>
        </w:rPr>
        <w:t>T</w:t>
      </w:r>
      <w:proofErr w:type="spellEnd"/>
      <w:r w:rsidR="0079058B">
        <w:rPr>
          <w:lang w:val="fr-FR"/>
        </w:rPr>
        <w:t xml:space="preserve"> ou de l</w:t>
      </w:r>
      <w:r w:rsidR="00AA5429">
        <w:rPr>
          <w:lang w:val="fr-FR"/>
        </w:rPr>
        <w:t>’</w:t>
      </w:r>
      <w:r w:rsidR="0079058B">
        <w:rPr>
          <w:lang w:val="fr-FR"/>
        </w:rPr>
        <w:t>adhésion à ces traités</w:t>
      </w:r>
      <w:r w:rsidR="00746E45" w:rsidRPr="00821360">
        <w:rPr>
          <w:lang w:val="fr-FR"/>
        </w:rPr>
        <w:t>.</w:t>
      </w:r>
    </w:p>
    <w:p w14:paraId="040C6C5A" w14:textId="7FB4CFC8" w:rsidR="00AA5429" w:rsidRDefault="0079058B" w:rsidP="00D52B7A">
      <w:pPr>
        <w:rPr>
          <w:lang w:val="fr-FR"/>
        </w:rPr>
      </w:pPr>
      <w:r>
        <w:rPr>
          <w:lang w:val="fr-FR"/>
        </w:rPr>
        <w:t xml:space="preserve">Les </w:t>
      </w:r>
      <w:r w:rsidR="004D4F52">
        <w:rPr>
          <w:lang w:val="fr-FR"/>
        </w:rPr>
        <w:t>sections</w:t>
      </w:r>
      <w:r>
        <w:rPr>
          <w:lang w:val="fr-FR"/>
        </w:rPr>
        <w:t xml:space="preserve"> </w:t>
      </w:r>
      <w:r w:rsidR="004D4F52">
        <w:rPr>
          <w:lang w:val="fr-FR"/>
        </w:rPr>
        <w:t>consacrées aux</w:t>
      </w:r>
      <w:r w:rsidR="00BA61C5">
        <w:rPr>
          <w:lang w:val="fr-FR"/>
        </w:rPr>
        <w:t xml:space="preserve"> différents États membres ont également été </w:t>
      </w:r>
      <w:r w:rsidR="004D4F52">
        <w:rPr>
          <w:lang w:val="fr-FR"/>
        </w:rPr>
        <w:t>actualisées de manière à prendre en considération l</w:t>
      </w:r>
      <w:r w:rsidR="00AA5429">
        <w:rPr>
          <w:lang w:val="fr-FR"/>
        </w:rPr>
        <w:t>’</w:t>
      </w:r>
      <w:r w:rsidR="004D4F52">
        <w:rPr>
          <w:lang w:val="fr-FR"/>
        </w:rPr>
        <w:t>Accord de Bangui, ainsi que la situation des États membres de l</w:t>
      </w:r>
      <w:r w:rsidR="00AA5429">
        <w:rPr>
          <w:lang w:val="fr-FR"/>
        </w:rPr>
        <w:t>’</w:t>
      </w:r>
      <w:r w:rsidR="004D4F52">
        <w:rPr>
          <w:lang w:val="fr-FR"/>
        </w:rPr>
        <w:t xml:space="preserve">OMPI au </w:t>
      </w:r>
      <w:r w:rsidR="004D4F52">
        <w:rPr>
          <w:lang w:val="fr-FR"/>
        </w:rPr>
        <w:lastRenderedPageBreak/>
        <w:t>regard de la ratification de la Convention de Berne,</w:t>
      </w:r>
      <w:r w:rsidR="00AA5429" w:rsidRPr="00AA5429">
        <w:rPr>
          <w:lang w:val="fr-FR"/>
        </w:rPr>
        <w:t xml:space="preserve"> du </w:t>
      </w:r>
      <w:proofErr w:type="spellStart"/>
      <w:r w:rsidR="00AA5429" w:rsidRPr="00AA5429">
        <w:rPr>
          <w:lang w:val="fr-FR"/>
        </w:rPr>
        <w:t>WCT</w:t>
      </w:r>
      <w:proofErr w:type="spellEnd"/>
      <w:r w:rsidR="004D4F52">
        <w:rPr>
          <w:lang w:val="fr-FR"/>
        </w:rPr>
        <w:t xml:space="preserve"> et</w:t>
      </w:r>
      <w:r w:rsidR="00AA5429" w:rsidRPr="00AA5429">
        <w:rPr>
          <w:lang w:val="fr-FR"/>
        </w:rPr>
        <w:t xml:space="preserve"> du </w:t>
      </w:r>
      <w:proofErr w:type="spellStart"/>
      <w:r w:rsidR="00AA5429" w:rsidRPr="00AA5429">
        <w:rPr>
          <w:lang w:val="fr-FR"/>
        </w:rPr>
        <w:t>WPP</w:t>
      </w:r>
      <w:r w:rsidR="004D4F52">
        <w:rPr>
          <w:lang w:val="fr-FR"/>
        </w:rPr>
        <w:t>T</w:t>
      </w:r>
      <w:proofErr w:type="spellEnd"/>
      <w:r w:rsidR="004D4F52">
        <w:rPr>
          <w:lang w:val="fr-FR"/>
        </w:rPr>
        <w:t xml:space="preserve"> ou de l</w:t>
      </w:r>
      <w:r w:rsidR="00AA5429">
        <w:rPr>
          <w:lang w:val="fr-FR"/>
        </w:rPr>
        <w:t>’</w:t>
      </w:r>
      <w:r w:rsidR="004D4F52">
        <w:rPr>
          <w:lang w:val="fr-FR"/>
        </w:rPr>
        <w:t>adhésion à ces traités.</w:t>
      </w:r>
    </w:p>
    <w:p w14:paraId="6B6B831C" w14:textId="44997D38" w:rsidR="00AA5429" w:rsidRDefault="004D4F52" w:rsidP="00D52B7A">
      <w:pPr>
        <w:rPr>
          <w:lang w:val="fr-FR"/>
        </w:rPr>
      </w:pPr>
      <w:r>
        <w:rPr>
          <w:lang w:val="fr-FR"/>
        </w:rPr>
        <w:t xml:space="preserve">La présente étude </w:t>
      </w:r>
      <w:r w:rsidR="006910FD">
        <w:rPr>
          <w:lang w:val="fr-FR"/>
        </w:rPr>
        <w:t>s</w:t>
      </w:r>
      <w:r w:rsidR="00AA5429">
        <w:rPr>
          <w:lang w:val="fr-FR"/>
        </w:rPr>
        <w:t>’</w:t>
      </w:r>
      <w:r w:rsidR="006910FD">
        <w:rPr>
          <w:lang w:val="fr-FR"/>
        </w:rPr>
        <w:t xml:space="preserve">efforce de </w:t>
      </w:r>
      <w:r w:rsidR="001C2715">
        <w:rPr>
          <w:lang w:val="fr-FR"/>
        </w:rPr>
        <w:t>prendre en considération</w:t>
      </w:r>
      <w:r w:rsidR="006910FD">
        <w:rPr>
          <w:lang w:val="fr-FR"/>
        </w:rPr>
        <w:t xml:space="preserve"> la législation en matière de droit d</w:t>
      </w:r>
      <w:r w:rsidR="00AA5429">
        <w:rPr>
          <w:lang w:val="fr-FR"/>
        </w:rPr>
        <w:t>’</w:t>
      </w:r>
      <w:r w:rsidR="006910FD">
        <w:rPr>
          <w:lang w:val="fr-FR"/>
        </w:rPr>
        <w:t>auteur des États membres de l</w:t>
      </w:r>
      <w:r w:rsidR="00AA5429">
        <w:rPr>
          <w:lang w:val="fr-FR"/>
        </w:rPr>
        <w:t>’</w:t>
      </w:r>
      <w:r w:rsidR="006910FD">
        <w:rPr>
          <w:lang w:val="fr-FR"/>
        </w:rPr>
        <w:t>OMPI en août </w:t>
      </w:r>
      <w:r w:rsidR="00746E45" w:rsidRPr="00821360">
        <w:rPr>
          <w:lang w:val="fr-FR"/>
        </w:rPr>
        <w:t>2017.</w:t>
      </w:r>
    </w:p>
    <w:p w14:paraId="2AAB82A9" w14:textId="65BBA9BC" w:rsidR="00746E45" w:rsidRPr="00821360" w:rsidRDefault="00746E45" w:rsidP="00D52B7A">
      <w:pPr>
        <w:pStyle w:val="Heading2"/>
        <w:spacing w:after="160"/>
        <w:rPr>
          <w:lang w:val="fr-FR"/>
        </w:rPr>
      </w:pPr>
      <w:r w:rsidRPr="00821360">
        <w:rPr>
          <w:lang w:val="fr-FR"/>
        </w:rPr>
        <w:t xml:space="preserve">Adaptations </w:t>
      </w:r>
      <w:r w:rsidR="006910FD">
        <w:rPr>
          <w:lang w:val="fr-FR"/>
        </w:rPr>
        <w:t>et traductions</w:t>
      </w:r>
    </w:p>
    <w:p w14:paraId="424AFBA4" w14:textId="0686B7FE" w:rsidR="00AA5429" w:rsidRDefault="006910FD" w:rsidP="00D52B7A">
      <w:pPr>
        <w:rPr>
          <w:lang w:val="fr-FR"/>
        </w:rPr>
      </w:pPr>
      <w:r>
        <w:rPr>
          <w:lang w:val="fr-FR"/>
        </w:rPr>
        <w:t>Dans la précédente étude, il a été procédé à une analyse des dispositions traitant des adaptations et traductions en rapport avec les dispositions relatives à la concession sous licence dans l</w:t>
      </w:r>
      <w:r w:rsidR="00AA5429">
        <w:rPr>
          <w:lang w:val="fr-FR"/>
        </w:rPr>
        <w:t>’</w:t>
      </w:r>
      <w:r>
        <w:rPr>
          <w:lang w:val="fr-FR"/>
        </w:rPr>
        <w:t>annexe de la Convention de Ber</w:t>
      </w:r>
      <w:r w:rsidR="00D07A5F">
        <w:rPr>
          <w:lang w:val="fr-FR"/>
        </w:rPr>
        <w:t xml:space="preserve">ne.  </w:t>
      </w:r>
      <w:r w:rsidR="00D07A5F" w:rsidRPr="00821360">
        <w:rPr>
          <w:lang w:val="fr-FR"/>
        </w:rPr>
        <w:t>I</w:t>
      </w:r>
      <w:r w:rsidR="00D07A5F">
        <w:rPr>
          <w:lang w:val="fr-FR"/>
        </w:rPr>
        <w:t>l</w:t>
      </w:r>
      <w:r w:rsidR="00753640">
        <w:rPr>
          <w:lang w:val="fr-FR"/>
        </w:rPr>
        <w:t xml:space="preserve"> a été demandé d</w:t>
      </w:r>
      <w:r w:rsidR="00AA5429">
        <w:rPr>
          <w:lang w:val="fr-FR"/>
        </w:rPr>
        <w:t>’</w:t>
      </w:r>
      <w:r w:rsidR="00753640">
        <w:rPr>
          <w:lang w:val="fr-FR"/>
        </w:rPr>
        <w:t>élargir l</w:t>
      </w:r>
      <w:r w:rsidR="00AA5429">
        <w:rPr>
          <w:lang w:val="fr-FR"/>
        </w:rPr>
        <w:t>’</w:t>
      </w:r>
      <w:r w:rsidR="00753640">
        <w:rPr>
          <w:lang w:val="fr-FR"/>
        </w:rPr>
        <w:t>analyse au</w:t>
      </w:r>
      <w:r w:rsidR="00D52B7A">
        <w:rPr>
          <w:lang w:val="fr-FR"/>
        </w:rPr>
        <w:noBreakHyphen/>
      </w:r>
      <w:r w:rsidR="00753640">
        <w:rPr>
          <w:lang w:val="fr-FR"/>
        </w:rPr>
        <w:t>delà de ce qui est prévu dans l</w:t>
      </w:r>
      <w:r w:rsidR="00AA5429">
        <w:rPr>
          <w:lang w:val="fr-FR"/>
        </w:rPr>
        <w:t>’</w:t>
      </w:r>
      <w:r w:rsidR="00753640">
        <w:rPr>
          <w:lang w:val="fr-FR"/>
        </w:rPr>
        <w:t>annexe de la Convention de Berne.</w:t>
      </w:r>
    </w:p>
    <w:p w14:paraId="7165DF5D" w14:textId="56227291" w:rsidR="00AA5429" w:rsidRDefault="00C329BC" w:rsidP="00D52B7A">
      <w:pPr>
        <w:rPr>
          <w:lang w:val="fr-FR"/>
        </w:rPr>
      </w:pPr>
      <w:r>
        <w:rPr>
          <w:lang w:val="fr-FR"/>
        </w:rPr>
        <w:t xml:space="preserve">Il a été établi </w:t>
      </w:r>
      <w:r w:rsidR="004E5CF9">
        <w:rPr>
          <w:lang w:val="fr-FR"/>
        </w:rPr>
        <w:t xml:space="preserve">dans la nouvelle étude que les </w:t>
      </w:r>
      <w:r w:rsidR="00746E45" w:rsidRPr="00821360">
        <w:rPr>
          <w:lang w:val="fr-FR"/>
        </w:rPr>
        <w:t xml:space="preserve">limitations </w:t>
      </w:r>
      <w:r w:rsidR="004E5CF9">
        <w:rPr>
          <w:lang w:val="fr-FR"/>
        </w:rPr>
        <w:t>et</w:t>
      </w:r>
      <w:r w:rsidR="00746E45" w:rsidRPr="00821360">
        <w:rPr>
          <w:lang w:val="fr-FR"/>
        </w:rPr>
        <w:t xml:space="preserve"> exceptions </w:t>
      </w:r>
      <w:r w:rsidR="004E5CF9">
        <w:rPr>
          <w:lang w:val="fr-FR"/>
        </w:rPr>
        <w:t>permettant d</w:t>
      </w:r>
      <w:r w:rsidR="00AA5429">
        <w:rPr>
          <w:lang w:val="fr-FR"/>
        </w:rPr>
        <w:t>’</w:t>
      </w:r>
      <w:r w:rsidR="004E5CF9">
        <w:rPr>
          <w:lang w:val="fr-FR"/>
        </w:rPr>
        <w:t>effectuer des ada</w:t>
      </w:r>
      <w:r w:rsidR="00746E45" w:rsidRPr="00821360">
        <w:rPr>
          <w:lang w:val="fr-FR"/>
        </w:rPr>
        <w:t xml:space="preserve">ptations </w:t>
      </w:r>
      <w:r w:rsidR="004E5CF9">
        <w:rPr>
          <w:lang w:val="fr-FR"/>
        </w:rPr>
        <w:t>et des traductions à des fins d</w:t>
      </w:r>
      <w:r w:rsidR="00AA5429">
        <w:rPr>
          <w:lang w:val="fr-FR"/>
        </w:rPr>
        <w:t>’</w:t>
      </w:r>
      <w:r w:rsidR="004E5CF9">
        <w:rPr>
          <w:lang w:val="fr-FR"/>
        </w:rPr>
        <w:t>enseignement sont mises en œuvre essentiellement au moyen de trois formulations différentes</w:t>
      </w:r>
      <w:r w:rsidR="00AA5429">
        <w:rPr>
          <w:lang w:val="fr-FR"/>
        </w:rPr>
        <w:t> </w:t>
      </w:r>
      <w:proofErr w:type="gramStart"/>
      <w:r w:rsidR="00AA5429">
        <w:rPr>
          <w:lang w:val="fr-FR"/>
        </w:rPr>
        <w:t>:</w:t>
      </w:r>
      <w:r w:rsidR="000F09BC" w:rsidRPr="00821360">
        <w:rPr>
          <w:lang w:val="fr-FR"/>
        </w:rPr>
        <w:t xml:space="preserve"> </w:t>
      </w:r>
      <w:r w:rsidR="00A6241F">
        <w:rPr>
          <w:lang w:val="fr-FR"/>
        </w:rPr>
        <w:t>la</w:t>
      </w:r>
      <w:proofErr w:type="gramEnd"/>
      <w:r w:rsidR="00A6241F">
        <w:rPr>
          <w:lang w:val="fr-FR"/>
        </w:rPr>
        <w:t xml:space="preserve"> formulation dans laquelle il est fait référence à une </w:t>
      </w:r>
      <w:r w:rsidR="00AA5429">
        <w:rPr>
          <w:lang w:val="fr-FR"/>
        </w:rPr>
        <w:t>“</w:t>
      </w:r>
      <w:r w:rsidR="00AA5429" w:rsidRPr="00821360">
        <w:rPr>
          <w:lang w:val="fr-FR"/>
        </w:rPr>
        <w:t>a</w:t>
      </w:r>
      <w:r w:rsidR="00CB6EC1" w:rsidRPr="00821360">
        <w:rPr>
          <w:lang w:val="fr-FR"/>
        </w:rPr>
        <w:t>daptation o</w:t>
      </w:r>
      <w:r w:rsidR="00A6241F">
        <w:rPr>
          <w:lang w:val="fr-FR"/>
        </w:rPr>
        <w:t>u traductio</w:t>
      </w:r>
      <w:r w:rsidR="00AA5429">
        <w:rPr>
          <w:lang w:val="fr-FR"/>
        </w:rPr>
        <w:t>n”</w:t>
      </w:r>
      <w:r w:rsidR="00F97AE9">
        <w:rPr>
          <w:lang w:val="fr-FR"/>
        </w:rPr>
        <w:t>;</w:t>
      </w:r>
      <w:r w:rsidR="00CB6EC1" w:rsidRPr="00821360">
        <w:rPr>
          <w:lang w:val="fr-FR"/>
        </w:rPr>
        <w:t xml:space="preserve"> </w:t>
      </w:r>
      <w:r w:rsidR="00F97AE9">
        <w:rPr>
          <w:lang w:val="fr-FR"/>
        </w:rPr>
        <w:t xml:space="preserve"> </w:t>
      </w:r>
      <w:r w:rsidR="00A6241F">
        <w:rPr>
          <w:lang w:val="fr-FR"/>
        </w:rPr>
        <w:t xml:space="preserve">la formulation </w:t>
      </w:r>
      <w:r w:rsidR="00F97AE9">
        <w:rPr>
          <w:lang w:val="fr-FR"/>
        </w:rPr>
        <w:t>dans laquelle</w:t>
      </w:r>
      <w:r w:rsidR="00A6241F">
        <w:rPr>
          <w:lang w:val="fr-FR"/>
        </w:rPr>
        <w:t xml:space="preserve"> l</w:t>
      </w:r>
      <w:r w:rsidR="00AA5429">
        <w:rPr>
          <w:lang w:val="fr-FR"/>
        </w:rPr>
        <w:t>’“œ</w:t>
      </w:r>
      <w:r w:rsidR="00A6241F">
        <w:rPr>
          <w:lang w:val="fr-FR"/>
        </w:rPr>
        <w:t>uvre d</w:t>
      </w:r>
      <w:r w:rsidR="00AA5429">
        <w:rPr>
          <w:lang w:val="fr-FR"/>
        </w:rPr>
        <w:t>’</w:t>
      </w:r>
      <w:r w:rsidR="00A6241F">
        <w:rPr>
          <w:lang w:val="fr-FR"/>
        </w:rPr>
        <w:t>origin</w:t>
      </w:r>
      <w:r w:rsidR="00AA5429">
        <w:rPr>
          <w:lang w:val="fr-FR"/>
        </w:rPr>
        <w:t>e”</w:t>
      </w:r>
      <w:r w:rsidR="00CB6EC1" w:rsidRPr="00821360">
        <w:rPr>
          <w:lang w:val="fr-FR"/>
        </w:rPr>
        <w:t xml:space="preserve"> </w:t>
      </w:r>
      <w:r w:rsidR="00F97AE9">
        <w:rPr>
          <w:lang w:val="fr-FR"/>
        </w:rPr>
        <w:t xml:space="preserve">est mentionnée;  et la </w:t>
      </w:r>
      <w:r w:rsidR="00CB6EC1" w:rsidRPr="00821360">
        <w:rPr>
          <w:lang w:val="fr-FR"/>
        </w:rPr>
        <w:t xml:space="preserve">formulation </w:t>
      </w:r>
      <w:r w:rsidR="00F97AE9">
        <w:rPr>
          <w:lang w:val="fr-FR"/>
        </w:rPr>
        <w:t>faisant référence à l</w:t>
      </w:r>
      <w:r w:rsidR="00AA5429">
        <w:rPr>
          <w:lang w:val="fr-FR"/>
        </w:rPr>
        <w:t>’“</w:t>
      </w:r>
      <w:r w:rsidR="00AA5429" w:rsidRPr="00821360">
        <w:rPr>
          <w:lang w:val="fr-FR"/>
        </w:rPr>
        <w:t>u</w:t>
      </w:r>
      <w:r w:rsidR="00F97AE9">
        <w:rPr>
          <w:lang w:val="fr-FR"/>
        </w:rPr>
        <w:t>tilisatio</w:t>
      </w:r>
      <w:r w:rsidR="00AA5429">
        <w:rPr>
          <w:lang w:val="fr-FR"/>
        </w:rPr>
        <w:t>n”</w:t>
      </w:r>
      <w:r w:rsidR="00746E45" w:rsidRPr="00821360">
        <w:rPr>
          <w:lang w:val="fr-FR"/>
        </w:rPr>
        <w:t>.</w:t>
      </w:r>
    </w:p>
    <w:p w14:paraId="120F115B" w14:textId="505E877E" w:rsidR="00AA5429" w:rsidRDefault="00F97AE9" w:rsidP="00D52B7A">
      <w:pPr>
        <w:rPr>
          <w:lang w:val="fr-FR"/>
        </w:rPr>
      </w:pPr>
      <w:r>
        <w:rPr>
          <w:lang w:val="fr-FR"/>
        </w:rPr>
        <w:t>Tout d</w:t>
      </w:r>
      <w:r w:rsidR="00AA5429">
        <w:rPr>
          <w:lang w:val="fr-FR"/>
        </w:rPr>
        <w:t>’</w:t>
      </w:r>
      <w:r>
        <w:rPr>
          <w:lang w:val="fr-FR"/>
        </w:rPr>
        <w:t xml:space="preserve">abord, la portée de ces dispositions </w:t>
      </w:r>
      <w:r w:rsidR="00926F01">
        <w:rPr>
          <w:lang w:val="fr-FR"/>
        </w:rPr>
        <w:t>pourrait</w:t>
      </w:r>
      <w:r>
        <w:rPr>
          <w:lang w:val="fr-FR"/>
        </w:rPr>
        <w:t xml:space="preserve"> permettre l</w:t>
      </w:r>
      <w:r w:rsidR="00AA5429">
        <w:rPr>
          <w:lang w:val="fr-FR"/>
        </w:rPr>
        <w:t>’</w:t>
      </w:r>
      <w:r>
        <w:rPr>
          <w:lang w:val="fr-FR"/>
        </w:rPr>
        <w:t xml:space="preserve">adaptation ou la </w:t>
      </w:r>
      <w:r w:rsidR="00926F01">
        <w:rPr>
          <w:lang w:val="fr-FR"/>
        </w:rPr>
        <w:t>traduction de l</w:t>
      </w:r>
      <w:r w:rsidR="00AA5429">
        <w:rPr>
          <w:lang w:val="fr-FR"/>
        </w:rPr>
        <w:t>’</w:t>
      </w:r>
      <w:r w:rsidR="00926F01">
        <w:rPr>
          <w:lang w:val="fr-FR"/>
        </w:rPr>
        <w:t>œuvre, en sus de l</w:t>
      </w:r>
      <w:r w:rsidR="00AA5429">
        <w:rPr>
          <w:lang w:val="fr-FR"/>
        </w:rPr>
        <w:t>’</w:t>
      </w:r>
      <w:r w:rsidR="00926F01">
        <w:rPr>
          <w:lang w:val="fr-FR"/>
        </w:rPr>
        <w:t xml:space="preserve">activité </w:t>
      </w:r>
      <w:r w:rsidR="008F1160">
        <w:rPr>
          <w:lang w:val="fr-FR"/>
        </w:rPr>
        <w:t>faisant l</w:t>
      </w:r>
      <w:r w:rsidR="00AA5429">
        <w:rPr>
          <w:lang w:val="fr-FR"/>
        </w:rPr>
        <w:t>’</w:t>
      </w:r>
      <w:r w:rsidR="008F1160">
        <w:rPr>
          <w:lang w:val="fr-FR"/>
        </w:rPr>
        <w:t>objet d</w:t>
      </w:r>
      <w:r w:rsidR="00AA5429">
        <w:rPr>
          <w:lang w:val="fr-FR"/>
        </w:rPr>
        <w:t>’</w:t>
      </w:r>
      <w:r w:rsidR="00926F01">
        <w:rPr>
          <w:lang w:val="fr-FR"/>
        </w:rPr>
        <w:t xml:space="preserve">une exception telle que la reproduction ou la </w:t>
      </w:r>
      <w:r w:rsidR="00E05489" w:rsidRPr="00821360">
        <w:rPr>
          <w:lang w:val="fr-FR"/>
        </w:rPr>
        <w:t xml:space="preserve">communication </w:t>
      </w:r>
      <w:r w:rsidR="00926F01">
        <w:rPr>
          <w:lang w:val="fr-FR"/>
        </w:rPr>
        <w:t>de l</w:t>
      </w:r>
      <w:r w:rsidR="00AA5429">
        <w:rPr>
          <w:lang w:val="fr-FR"/>
        </w:rPr>
        <w:t>’</w:t>
      </w:r>
      <w:r w:rsidR="00926F01">
        <w:rPr>
          <w:lang w:val="fr-FR"/>
        </w:rPr>
        <w:t xml:space="preserve">œuvre </w:t>
      </w:r>
      <w:r w:rsidR="00E369AF" w:rsidRPr="00821360">
        <w:rPr>
          <w:lang w:val="fr-FR"/>
        </w:rPr>
        <w:t>(</w:t>
      </w:r>
      <w:r w:rsidR="00926F01">
        <w:rPr>
          <w:lang w:val="fr-FR"/>
        </w:rPr>
        <w:t xml:space="preserve">formulation dans laquelle il est fait référence à une </w:t>
      </w:r>
      <w:r w:rsidR="00AA5429">
        <w:rPr>
          <w:lang w:val="fr-FR"/>
        </w:rPr>
        <w:t>“</w:t>
      </w:r>
      <w:r w:rsidR="00AA5429" w:rsidRPr="00821360">
        <w:rPr>
          <w:lang w:val="fr-FR"/>
        </w:rPr>
        <w:t>a</w:t>
      </w:r>
      <w:r w:rsidR="00E369AF" w:rsidRPr="00821360">
        <w:rPr>
          <w:lang w:val="fr-FR"/>
        </w:rPr>
        <w:t>dapt</w:t>
      </w:r>
      <w:r w:rsidR="00CD1A17" w:rsidRPr="00821360">
        <w:rPr>
          <w:lang w:val="fr-FR"/>
        </w:rPr>
        <w:t xml:space="preserve">ation </w:t>
      </w:r>
      <w:r w:rsidR="00926F01">
        <w:rPr>
          <w:lang w:val="fr-FR"/>
        </w:rPr>
        <w:t>ou</w:t>
      </w:r>
      <w:r w:rsidR="00E369AF" w:rsidRPr="00821360">
        <w:rPr>
          <w:lang w:val="fr-FR"/>
        </w:rPr>
        <w:t xml:space="preserve"> </w:t>
      </w:r>
      <w:r w:rsidR="00CD1A17" w:rsidRPr="00821360">
        <w:rPr>
          <w:lang w:val="fr-FR"/>
        </w:rPr>
        <w:t>tra</w:t>
      </w:r>
      <w:r w:rsidR="00926F01">
        <w:rPr>
          <w:lang w:val="fr-FR"/>
        </w:rPr>
        <w:t>duct</w:t>
      </w:r>
      <w:r w:rsidR="00CD1A17" w:rsidRPr="00821360">
        <w:rPr>
          <w:lang w:val="fr-FR"/>
        </w:rPr>
        <w:t>io</w:t>
      </w:r>
      <w:r w:rsidR="00AA5429" w:rsidRPr="00821360">
        <w:rPr>
          <w:lang w:val="fr-FR"/>
        </w:rPr>
        <w:t>n</w:t>
      </w:r>
      <w:r w:rsidR="00AA5429">
        <w:rPr>
          <w:lang w:val="fr-FR"/>
        </w:rPr>
        <w:t>”</w:t>
      </w:r>
      <w:r w:rsidR="00E369AF" w:rsidRPr="00821360">
        <w:rPr>
          <w:lang w:val="fr-FR"/>
        </w:rPr>
        <w:t>)</w:t>
      </w:r>
      <w:r w:rsidR="00E06EE9" w:rsidRPr="00821360">
        <w:rPr>
          <w:rStyle w:val="FootnoteReference"/>
          <w:lang w:val="fr-FR"/>
        </w:rPr>
        <w:footnoteReference w:id="2"/>
      </w:r>
      <w:r w:rsidR="00926F01">
        <w:rPr>
          <w:lang w:val="fr-FR"/>
        </w:rPr>
        <w:t xml:space="preserve">. </w:t>
      </w:r>
      <w:r w:rsidR="00E05489" w:rsidRPr="00821360">
        <w:rPr>
          <w:lang w:val="fr-FR"/>
        </w:rPr>
        <w:t xml:space="preserve"> </w:t>
      </w:r>
      <w:r w:rsidR="004A5CEC">
        <w:rPr>
          <w:lang w:val="fr-FR"/>
        </w:rPr>
        <w:t xml:space="preserve">Cette formulation est adoptée dans </w:t>
      </w:r>
      <w:r w:rsidR="00E05489" w:rsidRPr="00821360">
        <w:rPr>
          <w:lang w:val="fr-FR"/>
        </w:rPr>
        <w:t>128</w:t>
      </w:r>
      <w:r w:rsidR="00317D67">
        <w:rPr>
          <w:lang w:val="fr-FR"/>
        </w:rPr>
        <w:t> d</w:t>
      </w:r>
      <w:r w:rsidR="004A5CEC">
        <w:rPr>
          <w:lang w:val="fr-FR"/>
        </w:rPr>
        <w:t>ispositions</w:t>
      </w:r>
      <w:r w:rsidR="00E05489" w:rsidRPr="00821360">
        <w:rPr>
          <w:lang w:val="fr-FR"/>
        </w:rPr>
        <w:t xml:space="preserve"> </w:t>
      </w:r>
      <w:r w:rsidR="00D52B7A">
        <w:rPr>
          <w:lang w:val="fr-FR"/>
        </w:rPr>
        <w:t>(66 </w:t>
      </w:r>
      <w:r w:rsidR="008F1160">
        <w:rPr>
          <w:lang w:val="fr-FR"/>
        </w:rPr>
        <w:t>États membr</w:t>
      </w:r>
      <w:r w:rsidR="00D07A5F">
        <w:rPr>
          <w:lang w:val="fr-FR"/>
        </w:rPr>
        <w:t>es).  La</w:t>
      </w:r>
      <w:r w:rsidR="008F1160">
        <w:rPr>
          <w:lang w:val="fr-FR"/>
        </w:rPr>
        <w:t xml:space="preserve"> plupart de ces dispositions visent à </w:t>
      </w:r>
      <w:r w:rsidR="00D967EB">
        <w:rPr>
          <w:lang w:val="fr-FR"/>
        </w:rPr>
        <w:t>autoriser</w:t>
      </w:r>
      <w:r w:rsidR="008F1160">
        <w:rPr>
          <w:lang w:val="fr-FR"/>
        </w:rPr>
        <w:t xml:space="preserve"> l</w:t>
      </w:r>
      <w:r w:rsidR="00AA5429">
        <w:rPr>
          <w:lang w:val="fr-FR"/>
        </w:rPr>
        <w:t>’</w:t>
      </w:r>
      <w:r w:rsidR="008F1160">
        <w:rPr>
          <w:lang w:val="fr-FR"/>
        </w:rPr>
        <w:t>u</w:t>
      </w:r>
      <w:r w:rsidR="00242E3E">
        <w:rPr>
          <w:lang w:val="fr-FR"/>
        </w:rPr>
        <w:t xml:space="preserve">tilisation </w:t>
      </w:r>
      <w:r w:rsidR="008F1160">
        <w:rPr>
          <w:lang w:val="fr-FR"/>
        </w:rPr>
        <w:t xml:space="preserve">des œuvres </w:t>
      </w:r>
      <w:r w:rsidR="00242E3E">
        <w:rPr>
          <w:lang w:val="fr-FR"/>
        </w:rPr>
        <w:t xml:space="preserve">à des fins privées </w:t>
      </w:r>
      <w:r w:rsidR="00E05489" w:rsidRPr="00821360">
        <w:rPr>
          <w:lang w:val="fr-FR"/>
        </w:rPr>
        <w:t>(42</w:t>
      </w:r>
      <w:r w:rsidR="008F1160">
        <w:rPr>
          <w:lang w:val="fr-FR"/>
        </w:rPr>
        <w:t xml:space="preserve"> dispositions, </w:t>
      </w:r>
      <w:r w:rsidR="002010BF" w:rsidRPr="00821360">
        <w:rPr>
          <w:lang w:val="fr-FR"/>
        </w:rPr>
        <w:t>40</w:t>
      </w:r>
      <w:r w:rsidR="008F1160">
        <w:rPr>
          <w:lang w:val="fr-FR"/>
        </w:rPr>
        <w:t> États membres</w:t>
      </w:r>
      <w:r w:rsidR="00E05489" w:rsidRPr="00821360">
        <w:rPr>
          <w:lang w:val="fr-FR"/>
        </w:rPr>
        <w:t xml:space="preserve">), </w:t>
      </w:r>
      <w:r w:rsidR="008F1160">
        <w:rPr>
          <w:lang w:val="fr-FR"/>
        </w:rPr>
        <w:t xml:space="preserve">la </w:t>
      </w:r>
      <w:r w:rsidR="00E05489" w:rsidRPr="00821360">
        <w:rPr>
          <w:lang w:val="fr-FR"/>
        </w:rPr>
        <w:t xml:space="preserve">reproduction </w:t>
      </w:r>
      <w:r w:rsidR="008F1160">
        <w:rPr>
          <w:lang w:val="fr-FR"/>
        </w:rPr>
        <w:t>des œuvres à des fins pédagogiques</w:t>
      </w:r>
      <w:r w:rsidR="00E05489" w:rsidRPr="00821360">
        <w:rPr>
          <w:lang w:val="fr-FR"/>
        </w:rPr>
        <w:t xml:space="preserve"> (36</w:t>
      </w:r>
      <w:r w:rsidR="008F1160">
        <w:rPr>
          <w:lang w:val="fr-FR"/>
        </w:rPr>
        <w:t xml:space="preserve"> dispositions, </w:t>
      </w:r>
      <w:r w:rsidR="00D42B8F" w:rsidRPr="00821360">
        <w:rPr>
          <w:lang w:val="fr-FR"/>
        </w:rPr>
        <w:t>23</w:t>
      </w:r>
      <w:r w:rsidR="008F1160">
        <w:rPr>
          <w:lang w:val="fr-FR"/>
        </w:rPr>
        <w:t> États membres</w:t>
      </w:r>
      <w:r w:rsidR="00E05489" w:rsidRPr="00821360">
        <w:rPr>
          <w:lang w:val="fr-FR"/>
        </w:rPr>
        <w:t>)</w:t>
      </w:r>
      <w:r w:rsidR="00CD1A17" w:rsidRPr="00821360">
        <w:rPr>
          <w:lang w:val="fr-FR"/>
        </w:rPr>
        <w:t xml:space="preserve"> </w:t>
      </w:r>
      <w:r w:rsidR="00A979A0">
        <w:rPr>
          <w:lang w:val="fr-FR"/>
        </w:rPr>
        <w:t>et l</w:t>
      </w:r>
      <w:r w:rsidR="00AA5429">
        <w:rPr>
          <w:lang w:val="fr-FR"/>
        </w:rPr>
        <w:t>’</w:t>
      </w:r>
      <w:r w:rsidR="00A979A0">
        <w:rPr>
          <w:lang w:val="fr-FR"/>
        </w:rPr>
        <w:t xml:space="preserve">utilisation des œuvres pour des citations </w:t>
      </w:r>
      <w:r w:rsidR="00CD1A17" w:rsidRPr="00821360">
        <w:rPr>
          <w:lang w:val="fr-FR"/>
        </w:rPr>
        <w:t>(24</w:t>
      </w:r>
      <w:r w:rsidR="00A979A0">
        <w:rPr>
          <w:lang w:val="fr-FR"/>
        </w:rPr>
        <w:t> dispositions, 21 États membres</w:t>
      </w:r>
      <w:r w:rsidR="00CD1A17" w:rsidRPr="00821360">
        <w:rPr>
          <w:lang w:val="fr-FR"/>
        </w:rPr>
        <w:t>)</w:t>
      </w:r>
      <w:r w:rsidR="00E05489" w:rsidRPr="00821360">
        <w:rPr>
          <w:lang w:val="fr-FR"/>
        </w:rPr>
        <w:t>.</w:t>
      </w:r>
    </w:p>
    <w:p w14:paraId="0A4FB135" w14:textId="7507EC43" w:rsidR="00576F62" w:rsidRPr="00821360" w:rsidRDefault="0068293B" w:rsidP="00D52B7A">
      <w:pPr>
        <w:rPr>
          <w:lang w:val="fr-FR"/>
        </w:rPr>
      </w:pPr>
      <w:r>
        <w:rPr>
          <w:lang w:val="fr-FR"/>
        </w:rPr>
        <w:t xml:space="preserve">Un autre moyen de mettre en œuvre la formulation faisant référence à une </w:t>
      </w:r>
      <w:r w:rsidR="00AA5429">
        <w:rPr>
          <w:lang w:val="fr-FR"/>
        </w:rPr>
        <w:t>“</w:t>
      </w:r>
      <w:r w:rsidR="00AA5429" w:rsidRPr="00821360">
        <w:rPr>
          <w:lang w:val="fr-FR"/>
        </w:rPr>
        <w:t>a</w:t>
      </w:r>
      <w:r w:rsidR="00346553" w:rsidRPr="00821360">
        <w:rPr>
          <w:lang w:val="fr-FR"/>
        </w:rPr>
        <w:t>dapt</w:t>
      </w:r>
      <w:r>
        <w:rPr>
          <w:lang w:val="fr-FR"/>
        </w:rPr>
        <w:t>ation ou</w:t>
      </w:r>
      <w:r w:rsidR="00B710E5" w:rsidRPr="00821360">
        <w:rPr>
          <w:lang w:val="fr-FR"/>
        </w:rPr>
        <w:t xml:space="preserve"> tra</w:t>
      </w:r>
      <w:r>
        <w:rPr>
          <w:lang w:val="fr-FR"/>
        </w:rPr>
        <w:t>ductio</w:t>
      </w:r>
      <w:r w:rsidR="00AA5429">
        <w:rPr>
          <w:lang w:val="fr-FR"/>
        </w:rPr>
        <w:t>n”</w:t>
      </w:r>
      <w:r w:rsidR="00346553" w:rsidRPr="00821360">
        <w:rPr>
          <w:lang w:val="fr-FR"/>
        </w:rPr>
        <w:t xml:space="preserve"> </w:t>
      </w:r>
      <w:r>
        <w:rPr>
          <w:lang w:val="fr-FR"/>
        </w:rPr>
        <w:t>couramment adopté par un certain nombre d</w:t>
      </w:r>
      <w:r w:rsidR="00AA5429">
        <w:rPr>
          <w:lang w:val="fr-FR"/>
        </w:rPr>
        <w:t>’</w:t>
      </w:r>
      <w:r>
        <w:rPr>
          <w:lang w:val="fr-FR"/>
        </w:rPr>
        <w:t xml:space="preserve">États membres est </w:t>
      </w:r>
      <w:r w:rsidR="00F87556">
        <w:rPr>
          <w:lang w:val="fr-FR"/>
        </w:rPr>
        <w:t>d</w:t>
      </w:r>
      <w:r w:rsidR="00AA5429">
        <w:rPr>
          <w:lang w:val="fr-FR"/>
        </w:rPr>
        <w:t>’</w:t>
      </w:r>
      <w:r w:rsidR="00F87556">
        <w:rPr>
          <w:lang w:val="fr-FR"/>
        </w:rPr>
        <w:t xml:space="preserve">adapter les activités telles que les </w:t>
      </w:r>
      <w:r w:rsidR="00346553" w:rsidRPr="00821360">
        <w:rPr>
          <w:lang w:val="fr-FR"/>
        </w:rPr>
        <w:t>adaptations</w:t>
      </w:r>
      <w:r w:rsidR="00B710E5" w:rsidRPr="00821360">
        <w:rPr>
          <w:lang w:val="fr-FR"/>
        </w:rPr>
        <w:t xml:space="preserve">, </w:t>
      </w:r>
      <w:r w:rsidR="00F87556">
        <w:rPr>
          <w:lang w:val="fr-FR"/>
        </w:rPr>
        <w:t xml:space="preserve">les </w:t>
      </w:r>
      <w:r w:rsidR="00B710E5" w:rsidRPr="00821360">
        <w:rPr>
          <w:lang w:val="fr-FR"/>
        </w:rPr>
        <w:t>tra</w:t>
      </w:r>
      <w:r w:rsidR="00F87556">
        <w:rPr>
          <w:lang w:val="fr-FR"/>
        </w:rPr>
        <w:t>duct</w:t>
      </w:r>
      <w:r w:rsidR="00B710E5" w:rsidRPr="00821360">
        <w:rPr>
          <w:lang w:val="fr-FR"/>
        </w:rPr>
        <w:t>ions</w:t>
      </w:r>
      <w:r w:rsidR="00346553" w:rsidRPr="00821360">
        <w:rPr>
          <w:lang w:val="fr-FR"/>
        </w:rPr>
        <w:t xml:space="preserve"> </w:t>
      </w:r>
      <w:r w:rsidR="00F87556">
        <w:rPr>
          <w:lang w:val="fr-FR"/>
        </w:rPr>
        <w:t xml:space="preserve">et les </w:t>
      </w:r>
      <w:r w:rsidR="00346553" w:rsidRPr="00821360">
        <w:rPr>
          <w:lang w:val="fr-FR"/>
        </w:rPr>
        <w:t xml:space="preserve">transformations </w:t>
      </w:r>
      <w:r w:rsidR="00F87556">
        <w:rPr>
          <w:lang w:val="fr-FR"/>
        </w:rPr>
        <w:t>aux limitations et exceptions en vigueur</w:t>
      </w:r>
      <w:r w:rsidR="00746E45" w:rsidRPr="00821360">
        <w:rPr>
          <w:lang w:val="fr-FR"/>
        </w:rPr>
        <w:t>.</w:t>
      </w:r>
    </w:p>
    <w:p w14:paraId="1F93CE3E" w14:textId="23ECD85C" w:rsidR="00746E45" w:rsidRPr="00821360" w:rsidRDefault="00F87556" w:rsidP="00D52B7A">
      <w:pPr>
        <w:rPr>
          <w:lang w:val="fr-FR"/>
        </w:rPr>
      </w:pPr>
      <w:r>
        <w:rPr>
          <w:lang w:val="fr-FR"/>
        </w:rPr>
        <w:t>Deuxièmement, les dispositions pourraient aussi permettre la reproduction ou l</w:t>
      </w:r>
      <w:r w:rsidR="00AA5429">
        <w:rPr>
          <w:lang w:val="fr-FR"/>
        </w:rPr>
        <w:t>’</w:t>
      </w:r>
      <w:r>
        <w:rPr>
          <w:lang w:val="fr-FR"/>
        </w:rPr>
        <w:t>utilisation de l</w:t>
      </w:r>
      <w:r w:rsidR="00AA5429">
        <w:rPr>
          <w:lang w:val="fr-FR"/>
        </w:rPr>
        <w:t>’</w:t>
      </w:r>
      <w:r>
        <w:rPr>
          <w:lang w:val="fr-FR"/>
        </w:rPr>
        <w:t>œuvre d</w:t>
      </w:r>
      <w:r w:rsidR="00AA5429">
        <w:rPr>
          <w:lang w:val="fr-FR"/>
        </w:rPr>
        <w:t>’</w:t>
      </w:r>
      <w:r>
        <w:rPr>
          <w:lang w:val="fr-FR"/>
        </w:rPr>
        <w:t>origine</w:t>
      </w:r>
      <w:r w:rsidR="007F289B" w:rsidRPr="00821360">
        <w:rPr>
          <w:lang w:val="fr-FR"/>
        </w:rPr>
        <w:t>, o</w:t>
      </w:r>
      <w:r>
        <w:rPr>
          <w:lang w:val="fr-FR"/>
        </w:rPr>
        <w:t>u toute autre activité faisant l</w:t>
      </w:r>
      <w:r w:rsidR="00AA5429">
        <w:rPr>
          <w:lang w:val="fr-FR"/>
        </w:rPr>
        <w:t>’</w:t>
      </w:r>
      <w:r>
        <w:rPr>
          <w:lang w:val="fr-FR"/>
        </w:rPr>
        <w:t>objet d</w:t>
      </w:r>
      <w:r w:rsidR="00AA5429">
        <w:rPr>
          <w:lang w:val="fr-FR"/>
        </w:rPr>
        <w:t>’</w:t>
      </w:r>
      <w:r>
        <w:rPr>
          <w:lang w:val="fr-FR"/>
        </w:rPr>
        <w:t>une exception</w:t>
      </w:r>
      <w:r w:rsidR="007F289B" w:rsidRPr="00821360">
        <w:rPr>
          <w:lang w:val="fr-FR"/>
        </w:rPr>
        <w:t xml:space="preserve">, </w:t>
      </w:r>
      <w:r>
        <w:rPr>
          <w:lang w:val="fr-FR"/>
        </w:rPr>
        <w:t>et permettre également la réalisation</w:t>
      </w:r>
      <w:r w:rsidR="00370FC2">
        <w:rPr>
          <w:lang w:val="fr-FR"/>
        </w:rPr>
        <w:t xml:space="preserve"> sur la base de l</w:t>
      </w:r>
      <w:r w:rsidR="00AA5429">
        <w:rPr>
          <w:lang w:val="fr-FR"/>
        </w:rPr>
        <w:t>’</w:t>
      </w:r>
      <w:r w:rsidR="00370FC2">
        <w:rPr>
          <w:lang w:val="fr-FR"/>
        </w:rPr>
        <w:t xml:space="preserve">œuvre traduite </w:t>
      </w:r>
      <w:r>
        <w:rPr>
          <w:lang w:val="fr-FR"/>
        </w:rPr>
        <w:t>de l</w:t>
      </w:r>
      <w:r w:rsidR="00AA5429">
        <w:rPr>
          <w:lang w:val="fr-FR"/>
        </w:rPr>
        <w:t>’</w:t>
      </w:r>
      <w:r>
        <w:rPr>
          <w:lang w:val="fr-FR"/>
        </w:rPr>
        <w:t>activité faisant l</w:t>
      </w:r>
      <w:r w:rsidR="00AA5429">
        <w:rPr>
          <w:lang w:val="fr-FR"/>
        </w:rPr>
        <w:t>’</w:t>
      </w:r>
      <w:r>
        <w:rPr>
          <w:lang w:val="fr-FR"/>
        </w:rPr>
        <w:t>objet d</w:t>
      </w:r>
      <w:r w:rsidR="00AA5429">
        <w:rPr>
          <w:lang w:val="fr-FR"/>
        </w:rPr>
        <w:t>’</w:t>
      </w:r>
      <w:r>
        <w:rPr>
          <w:lang w:val="fr-FR"/>
        </w:rPr>
        <w:t xml:space="preserve">une exception </w:t>
      </w:r>
      <w:r w:rsidR="00E369AF" w:rsidRPr="00821360">
        <w:rPr>
          <w:lang w:val="fr-FR"/>
        </w:rPr>
        <w:t>(</w:t>
      </w:r>
      <w:r w:rsidR="00370FC2">
        <w:rPr>
          <w:lang w:val="fr-FR"/>
        </w:rPr>
        <w:t xml:space="preserve">formulation </w:t>
      </w:r>
      <w:r w:rsidR="00370FC2" w:rsidRPr="00370FC2">
        <w:rPr>
          <w:lang w:val="fr-FR"/>
        </w:rPr>
        <w:t>dans laquelle l</w:t>
      </w:r>
      <w:r w:rsidR="00AA5429">
        <w:rPr>
          <w:lang w:val="fr-FR"/>
        </w:rPr>
        <w:t>’“</w:t>
      </w:r>
      <w:r w:rsidR="00AA5429" w:rsidRPr="00370FC2">
        <w:rPr>
          <w:lang w:val="fr-FR"/>
        </w:rPr>
        <w:t>œ</w:t>
      </w:r>
      <w:r w:rsidR="00370FC2" w:rsidRPr="00370FC2">
        <w:rPr>
          <w:lang w:val="fr-FR"/>
        </w:rPr>
        <w:t>uvre d</w:t>
      </w:r>
      <w:r w:rsidR="00AA5429">
        <w:rPr>
          <w:lang w:val="fr-FR"/>
        </w:rPr>
        <w:t>’</w:t>
      </w:r>
      <w:r w:rsidR="00370FC2" w:rsidRPr="00370FC2">
        <w:rPr>
          <w:lang w:val="fr-FR"/>
        </w:rPr>
        <w:t>origin</w:t>
      </w:r>
      <w:r w:rsidR="00AA5429" w:rsidRPr="00370FC2">
        <w:rPr>
          <w:lang w:val="fr-FR"/>
        </w:rPr>
        <w:t>e</w:t>
      </w:r>
      <w:r w:rsidR="00AA5429">
        <w:rPr>
          <w:lang w:val="fr-FR"/>
        </w:rPr>
        <w:t>”</w:t>
      </w:r>
      <w:r w:rsidR="00370FC2" w:rsidRPr="00370FC2">
        <w:rPr>
          <w:lang w:val="fr-FR"/>
        </w:rPr>
        <w:t xml:space="preserve"> est mentionn</w:t>
      </w:r>
      <w:r w:rsidR="00D07A5F" w:rsidRPr="00370FC2">
        <w:rPr>
          <w:lang w:val="fr-FR"/>
        </w:rPr>
        <w:t>ée</w:t>
      </w:r>
      <w:r w:rsidR="00D07A5F" w:rsidRPr="00821360">
        <w:rPr>
          <w:lang w:val="fr-FR"/>
        </w:rPr>
        <w:t>)</w:t>
      </w:r>
      <w:r w:rsidR="00D07A5F">
        <w:rPr>
          <w:lang w:val="fr-FR"/>
        </w:rPr>
        <w:t>.  Ce</w:t>
      </w:r>
      <w:r w:rsidR="00370FC2">
        <w:rPr>
          <w:lang w:val="fr-FR"/>
        </w:rPr>
        <w:t xml:space="preserve">tte formulation est adoptée dans </w:t>
      </w:r>
      <w:r w:rsidR="00E36D95" w:rsidRPr="00821360">
        <w:rPr>
          <w:lang w:val="fr-FR"/>
        </w:rPr>
        <w:t>153</w:t>
      </w:r>
      <w:r w:rsidR="00370FC2">
        <w:rPr>
          <w:lang w:val="fr-FR"/>
        </w:rPr>
        <w:t> dispositions</w:t>
      </w:r>
      <w:r w:rsidR="00E36D95" w:rsidRPr="00821360">
        <w:rPr>
          <w:lang w:val="fr-FR"/>
        </w:rPr>
        <w:t xml:space="preserve"> (33</w:t>
      </w:r>
      <w:r w:rsidR="00370FC2">
        <w:rPr>
          <w:lang w:val="fr-FR"/>
        </w:rPr>
        <w:t> États membr</w:t>
      </w:r>
      <w:r w:rsidR="00D07A5F">
        <w:rPr>
          <w:lang w:val="fr-FR"/>
        </w:rPr>
        <w:t>es</w:t>
      </w:r>
      <w:r w:rsidR="00D07A5F" w:rsidRPr="00821360">
        <w:rPr>
          <w:lang w:val="fr-FR"/>
        </w:rPr>
        <w:t>)</w:t>
      </w:r>
      <w:r w:rsidR="00D07A5F">
        <w:rPr>
          <w:lang w:val="fr-FR"/>
        </w:rPr>
        <w:t>.  Ce</w:t>
      </w:r>
      <w:r w:rsidR="00370FC2">
        <w:rPr>
          <w:lang w:val="fr-FR"/>
        </w:rPr>
        <w:t>la signifie que les l</w:t>
      </w:r>
      <w:r w:rsidR="00746E45" w:rsidRPr="00821360">
        <w:rPr>
          <w:lang w:val="fr-FR"/>
        </w:rPr>
        <w:t xml:space="preserve">imitations </w:t>
      </w:r>
      <w:r w:rsidR="00370FC2">
        <w:rPr>
          <w:lang w:val="fr-FR"/>
        </w:rPr>
        <w:t xml:space="preserve">et </w:t>
      </w:r>
      <w:r w:rsidR="00746E45" w:rsidRPr="00821360">
        <w:rPr>
          <w:lang w:val="fr-FR"/>
        </w:rPr>
        <w:t xml:space="preserve">exceptions </w:t>
      </w:r>
      <w:r w:rsidR="00370FC2">
        <w:rPr>
          <w:lang w:val="fr-FR"/>
        </w:rPr>
        <w:t xml:space="preserve">visent à exonérer le bénéficiaire de toute </w:t>
      </w:r>
      <w:r w:rsidR="00D26931">
        <w:rPr>
          <w:lang w:val="fr-FR"/>
        </w:rPr>
        <w:t>responsabilité au titre du droit d</w:t>
      </w:r>
      <w:r w:rsidR="00AA5429">
        <w:rPr>
          <w:lang w:val="fr-FR"/>
        </w:rPr>
        <w:t>’</w:t>
      </w:r>
      <w:r w:rsidR="00D26931">
        <w:rPr>
          <w:lang w:val="fr-FR"/>
        </w:rPr>
        <w:t>auteur en cas d</w:t>
      </w:r>
      <w:r w:rsidR="00AA5429">
        <w:rPr>
          <w:lang w:val="fr-FR"/>
        </w:rPr>
        <w:t>’</w:t>
      </w:r>
      <w:r w:rsidR="00D26931">
        <w:rPr>
          <w:lang w:val="fr-FR"/>
        </w:rPr>
        <w:t>action intentée non seulement par le traducteur de l</w:t>
      </w:r>
      <w:r w:rsidR="00AA5429">
        <w:rPr>
          <w:lang w:val="fr-FR"/>
        </w:rPr>
        <w:t>’</w:t>
      </w:r>
      <w:r w:rsidR="00D26931">
        <w:rPr>
          <w:lang w:val="fr-FR"/>
        </w:rPr>
        <w:t>œuvre, mais aussi par l</w:t>
      </w:r>
      <w:r w:rsidR="00AA5429">
        <w:rPr>
          <w:lang w:val="fr-FR"/>
        </w:rPr>
        <w:t>’</w:t>
      </w:r>
      <w:r w:rsidR="00D26931">
        <w:rPr>
          <w:lang w:val="fr-FR"/>
        </w:rPr>
        <w:t>auteur de l</w:t>
      </w:r>
      <w:r w:rsidR="00AA5429">
        <w:rPr>
          <w:lang w:val="fr-FR"/>
        </w:rPr>
        <w:t>’</w:t>
      </w:r>
      <w:r w:rsidR="00D26931">
        <w:rPr>
          <w:lang w:val="fr-FR"/>
        </w:rPr>
        <w:t>œuvre d</w:t>
      </w:r>
      <w:r w:rsidR="00AA5429">
        <w:rPr>
          <w:lang w:val="fr-FR"/>
        </w:rPr>
        <w:t>’</w:t>
      </w:r>
      <w:r w:rsidR="00D26931">
        <w:rPr>
          <w:lang w:val="fr-FR"/>
        </w:rPr>
        <w:t>origine ayant fait l</w:t>
      </w:r>
      <w:r w:rsidR="00AA5429">
        <w:rPr>
          <w:lang w:val="fr-FR"/>
        </w:rPr>
        <w:t>’</w:t>
      </w:r>
      <w:r w:rsidR="00D26931">
        <w:rPr>
          <w:lang w:val="fr-FR"/>
        </w:rPr>
        <w:t>objet de la traducti</w:t>
      </w:r>
      <w:r w:rsidR="00D07A5F">
        <w:rPr>
          <w:lang w:val="fr-FR"/>
        </w:rPr>
        <w:t>on.  Il</w:t>
      </w:r>
      <w:r w:rsidR="00242772">
        <w:rPr>
          <w:lang w:val="fr-FR"/>
        </w:rPr>
        <w:t xml:space="preserve"> n</w:t>
      </w:r>
      <w:r w:rsidR="00AA5429">
        <w:rPr>
          <w:lang w:val="fr-FR"/>
        </w:rPr>
        <w:t>’</w:t>
      </w:r>
      <w:r w:rsidR="00242772">
        <w:rPr>
          <w:lang w:val="fr-FR"/>
        </w:rPr>
        <w:t xml:space="preserve">est pas </w:t>
      </w:r>
      <w:r w:rsidR="007C3BF3">
        <w:rPr>
          <w:lang w:val="fr-FR"/>
        </w:rPr>
        <w:t>étonnant que cette formulation soit retrouvée plus généralement dans les dispositions autorisant l</w:t>
      </w:r>
      <w:r w:rsidR="00AA5429">
        <w:rPr>
          <w:lang w:val="fr-FR"/>
        </w:rPr>
        <w:t>’</w:t>
      </w:r>
      <w:r w:rsidR="007C3BF3">
        <w:rPr>
          <w:lang w:val="fr-FR"/>
        </w:rPr>
        <w:t xml:space="preserve">utilisation des œuvres pour des citations </w:t>
      </w:r>
      <w:r w:rsidR="00746E45" w:rsidRPr="00821360">
        <w:rPr>
          <w:lang w:val="fr-FR"/>
        </w:rPr>
        <w:t>(3</w:t>
      </w:r>
      <w:r w:rsidR="000A2585" w:rsidRPr="00821360">
        <w:rPr>
          <w:lang w:val="fr-FR"/>
        </w:rPr>
        <w:t>4</w:t>
      </w:r>
      <w:r w:rsidR="007C3BF3">
        <w:rPr>
          <w:lang w:val="fr-FR"/>
        </w:rPr>
        <w:t xml:space="preserve"> dispositions, </w:t>
      </w:r>
      <w:r w:rsidR="001321D2" w:rsidRPr="00821360">
        <w:rPr>
          <w:lang w:val="fr-FR"/>
        </w:rPr>
        <w:t>30</w:t>
      </w:r>
      <w:r w:rsidR="007C3BF3">
        <w:rPr>
          <w:lang w:val="fr-FR"/>
        </w:rPr>
        <w:t> États membres)</w:t>
      </w:r>
      <w:r w:rsidR="000A2585" w:rsidRPr="00821360">
        <w:rPr>
          <w:lang w:val="fr-FR"/>
        </w:rPr>
        <w:t xml:space="preserve">, </w:t>
      </w:r>
      <w:r w:rsidR="007C3BF3">
        <w:rPr>
          <w:lang w:val="fr-FR"/>
        </w:rPr>
        <w:t xml:space="preserve">même si cette formulation a également été adoptée </w:t>
      </w:r>
      <w:r w:rsidR="00D967EB">
        <w:rPr>
          <w:lang w:val="fr-FR"/>
        </w:rPr>
        <w:t>dans des limitations et exceptions autorisant les reproductions à des fins de recherche et d</w:t>
      </w:r>
      <w:r w:rsidR="00AA5429">
        <w:rPr>
          <w:lang w:val="fr-FR"/>
        </w:rPr>
        <w:t>’</w:t>
      </w:r>
      <w:r w:rsidR="00D967EB">
        <w:rPr>
          <w:lang w:val="fr-FR"/>
        </w:rPr>
        <w:t xml:space="preserve">enseignement </w:t>
      </w:r>
      <w:r w:rsidR="000A2585" w:rsidRPr="00821360">
        <w:rPr>
          <w:lang w:val="fr-FR"/>
        </w:rPr>
        <w:t xml:space="preserve">(33 </w:t>
      </w:r>
      <w:r w:rsidR="00D967EB">
        <w:rPr>
          <w:lang w:val="fr-FR"/>
        </w:rPr>
        <w:t>dispositions</w:t>
      </w:r>
      <w:r w:rsidR="001321D2" w:rsidRPr="00821360">
        <w:rPr>
          <w:lang w:val="fr-FR"/>
        </w:rPr>
        <w:t>, 18</w:t>
      </w:r>
      <w:r w:rsidR="00317D67">
        <w:rPr>
          <w:lang w:val="fr-FR"/>
        </w:rPr>
        <w:t> É</w:t>
      </w:r>
      <w:r w:rsidR="00D967EB">
        <w:rPr>
          <w:lang w:val="fr-FR"/>
        </w:rPr>
        <w:t>tats membres</w:t>
      </w:r>
      <w:r w:rsidR="000A2585" w:rsidRPr="00821360">
        <w:rPr>
          <w:lang w:val="fr-FR"/>
        </w:rPr>
        <w:t>)</w:t>
      </w:r>
      <w:r w:rsidR="00746E45" w:rsidRPr="00821360">
        <w:rPr>
          <w:lang w:val="fr-FR"/>
        </w:rPr>
        <w:t xml:space="preserve"> </w:t>
      </w:r>
      <w:r w:rsidR="00D967EB">
        <w:rPr>
          <w:lang w:val="fr-FR"/>
        </w:rPr>
        <w:t>et l</w:t>
      </w:r>
      <w:r w:rsidR="00AA5429">
        <w:rPr>
          <w:lang w:val="fr-FR"/>
        </w:rPr>
        <w:t>’</w:t>
      </w:r>
      <w:r w:rsidR="00D967EB">
        <w:rPr>
          <w:lang w:val="fr-FR"/>
        </w:rPr>
        <w:t>u</w:t>
      </w:r>
      <w:r w:rsidR="00242E3E">
        <w:rPr>
          <w:lang w:val="fr-FR"/>
        </w:rPr>
        <w:t xml:space="preserve">tilisation à des fins </w:t>
      </w:r>
      <w:r w:rsidR="00D967EB">
        <w:rPr>
          <w:lang w:val="fr-FR"/>
        </w:rPr>
        <w:t>privé</w:t>
      </w:r>
      <w:r w:rsidR="00242E3E">
        <w:rPr>
          <w:lang w:val="fr-FR"/>
        </w:rPr>
        <w:t xml:space="preserve">es ou </w:t>
      </w:r>
      <w:r w:rsidR="00D967EB">
        <w:rPr>
          <w:lang w:val="fr-FR"/>
        </w:rPr>
        <w:t>personnel</w:t>
      </w:r>
      <w:r w:rsidR="00242E3E">
        <w:rPr>
          <w:lang w:val="fr-FR"/>
        </w:rPr>
        <w:t>les</w:t>
      </w:r>
      <w:r w:rsidR="00D967EB">
        <w:rPr>
          <w:lang w:val="fr-FR"/>
        </w:rPr>
        <w:t xml:space="preserve"> </w:t>
      </w:r>
      <w:r w:rsidR="00746E45" w:rsidRPr="00821360">
        <w:rPr>
          <w:lang w:val="fr-FR"/>
        </w:rPr>
        <w:t>(</w:t>
      </w:r>
      <w:r w:rsidR="000A2585" w:rsidRPr="00821360">
        <w:rPr>
          <w:lang w:val="fr-FR"/>
        </w:rPr>
        <w:t>29</w:t>
      </w:r>
      <w:r w:rsidR="00746E45" w:rsidRPr="00821360">
        <w:rPr>
          <w:lang w:val="fr-FR"/>
        </w:rPr>
        <w:t xml:space="preserve"> </w:t>
      </w:r>
      <w:r w:rsidR="00D967EB">
        <w:rPr>
          <w:lang w:val="fr-FR"/>
        </w:rPr>
        <w:t xml:space="preserve">dispositions, </w:t>
      </w:r>
      <w:r w:rsidR="00317D67">
        <w:rPr>
          <w:lang w:val="fr-FR"/>
        </w:rPr>
        <w:t>24 É</w:t>
      </w:r>
      <w:r w:rsidR="00D967EB">
        <w:rPr>
          <w:lang w:val="fr-FR"/>
        </w:rPr>
        <w:t xml:space="preserve">tats </w:t>
      </w:r>
      <w:r w:rsidR="001321D2" w:rsidRPr="00821360">
        <w:rPr>
          <w:lang w:val="fr-FR"/>
        </w:rPr>
        <w:t>memb</w:t>
      </w:r>
      <w:r w:rsidR="00D967EB">
        <w:rPr>
          <w:lang w:val="fr-FR"/>
        </w:rPr>
        <w:t>res</w:t>
      </w:r>
      <w:r w:rsidR="00746E45" w:rsidRPr="00821360">
        <w:rPr>
          <w:lang w:val="fr-FR"/>
        </w:rPr>
        <w:t>).</w:t>
      </w:r>
    </w:p>
    <w:p w14:paraId="68A67162" w14:textId="743C8079" w:rsidR="00E35734" w:rsidRPr="00821360" w:rsidRDefault="00D967EB" w:rsidP="00D52B7A">
      <w:pPr>
        <w:rPr>
          <w:lang w:val="fr-FR"/>
        </w:rPr>
      </w:pPr>
      <w:r>
        <w:rPr>
          <w:lang w:val="fr-FR"/>
        </w:rPr>
        <w:t xml:space="preserve">La formulation faisant référence à une </w:t>
      </w:r>
      <w:r w:rsidR="00AA5429">
        <w:rPr>
          <w:lang w:val="fr-FR"/>
        </w:rPr>
        <w:t>“</w:t>
      </w:r>
      <w:r w:rsidR="00AA5429" w:rsidRPr="00821360">
        <w:rPr>
          <w:lang w:val="fr-FR"/>
        </w:rPr>
        <w:t>a</w:t>
      </w:r>
      <w:r w:rsidR="000B4EEB" w:rsidRPr="00821360">
        <w:rPr>
          <w:lang w:val="fr-FR"/>
        </w:rPr>
        <w:t>daptation o</w:t>
      </w:r>
      <w:r>
        <w:rPr>
          <w:lang w:val="fr-FR"/>
        </w:rPr>
        <w:t>u traductio</w:t>
      </w:r>
      <w:r w:rsidR="00AA5429">
        <w:rPr>
          <w:lang w:val="fr-FR"/>
        </w:rPr>
        <w:t>n”</w:t>
      </w:r>
      <w:r w:rsidR="000B4EEB" w:rsidRPr="00821360">
        <w:rPr>
          <w:lang w:val="fr-FR"/>
        </w:rPr>
        <w:t xml:space="preserve"> </w:t>
      </w:r>
      <w:r>
        <w:rPr>
          <w:lang w:val="fr-FR"/>
        </w:rPr>
        <w:t xml:space="preserve">peut être utilisée parallèlement à la formulation </w:t>
      </w:r>
      <w:r w:rsidRPr="00D967EB">
        <w:rPr>
          <w:lang w:val="fr-FR"/>
        </w:rPr>
        <w:t>dans laquelle l</w:t>
      </w:r>
      <w:r w:rsidR="00AA5429">
        <w:rPr>
          <w:lang w:val="fr-FR"/>
        </w:rPr>
        <w:t>’“</w:t>
      </w:r>
      <w:r w:rsidR="00AA5429" w:rsidRPr="00D967EB">
        <w:rPr>
          <w:lang w:val="fr-FR"/>
        </w:rPr>
        <w:t>œ</w:t>
      </w:r>
      <w:r w:rsidRPr="00D967EB">
        <w:rPr>
          <w:lang w:val="fr-FR"/>
        </w:rPr>
        <w:t>uvre d</w:t>
      </w:r>
      <w:r w:rsidR="00AA5429">
        <w:rPr>
          <w:lang w:val="fr-FR"/>
        </w:rPr>
        <w:t>’</w:t>
      </w:r>
      <w:r w:rsidRPr="00D967EB">
        <w:rPr>
          <w:lang w:val="fr-FR"/>
        </w:rPr>
        <w:t>origin</w:t>
      </w:r>
      <w:r w:rsidR="00AA5429" w:rsidRPr="00D967EB">
        <w:rPr>
          <w:lang w:val="fr-FR"/>
        </w:rPr>
        <w:t>e</w:t>
      </w:r>
      <w:r w:rsidR="00AA5429">
        <w:rPr>
          <w:lang w:val="fr-FR"/>
        </w:rPr>
        <w:t>”</w:t>
      </w:r>
      <w:r w:rsidRPr="00D967EB">
        <w:rPr>
          <w:lang w:val="fr-FR"/>
        </w:rPr>
        <w:t xml:space="preserve"> est mentionnée</w:t>
      </w:r>
      <w:r w:rsidR="00E35734" w:rsidRPr="00821360">
        <w:rPr>
          <w:lang w:val="fr-FR"/>
        </w:rPr>
        <w:t xml:space="preserve">, </w:t>
      </w:r>
      <w:r>
        <w:rPr>
          <w:lang w:val="fr-FR"/>
        </w:rPr>
        <w:t>afin d</w:t>
      </w:r>
      <w:r w:rsidR="00AA5429">
        <w:rPr>
          <w:lang w:val="fr-FR"/>
        </w:rPr>
        <w:t>’</w:t>
      </w:r>
      <w:r>
        <w:rPr>
          <w:lang w:val="fr-FR"/>
        </w:rPr>
        <w:t xml:space="preserve">élargir la portée de la </w:t>
      </w:r>
      <w:r w:rsidR="00E35734" w:rsidRPr="00821360">
        <w:rPr>
          <w:lang w:val="fr-FR"/>
        </w:rPr>
        <w:t>limitation o</w:t>
      </w:r>
      <w:r>
        <w:rPr>
          <w:lang w:val="fr-FR"/>
        </w:rPr>
        <w:t>u</w:t>
      </w:r>
      <w:r w:rsidR="00E35734" w:rsidRPr="00821360">
        <w:rPr>
          <w:lang w:val="fr-FR"/>
        </w:rPr>
        <w:t xml:space="preserve"> exception</w:t>
      </w:r>
      <w:r w:rsidR="0002028B" w:rsidRPr="00821360">
        <w:rPr>
          <w:lang w:val="fr-FR"/>
        </w:rPr>
        <w:t>.</w:t>
      </w:r>
    </w:p>
    <w:p w14:paraId="577EFFF6" w14:textId="6803A7F9" w:rsidR="00AA5429" w:rsidRDefault="004F67B4" w:rsidP="00D52B7A">
      <w:pPr>
        <w:rPr>
          <w:lang w:val="fr-FR"/>
        </w:rPr>
      </w:pPr>
      <w:r w:rsidRPr="00821360">
        <w:rPr>
          <w:lang w:val="fr-FR"/>
        </w:rPr>
        <w:t>T</w:t>
      </w:r>
      <w:r w:rsidR="00D967EB">
        <w:rPr>
          <w:lang w:val="fr-FR"/>
        </w:rPr>
        <w:t xml:space="preserve">roisièmement, il convient de comparer la formulation </w:t>
      </w:r>
      <w:r w:rsidR="00D967EB" w:rsidRPr="00D967EB">
        <w:rPr>
          <w:lang w:val="fr-FR"/>
        </w:rPr>
        <w:t xml:space="preserve">faisant référence à une </w:t>
      </w:r>
      <w:r w:rsidR="00AA5429">
        <w:rPr>
          <w:lang w:val="fr-FR"/>
        </w:rPr>
        <w:t>“</w:t>
      </w:r>
      <w:r w:rsidR="00AA5429" w:rsidRPr="00D967EB">
        <w:rPr>
          <w:lang w:val="fr-FR"/>
        </w:rPr>
        <w:t>a</w:t>
      </w:r>
      <w:r w:rsidR="00D967EB" w:rsidRPr="00D967EB">
        <w:rPr>
          <w:lang w:val="fr-FR"/>
        </w:rPr>
        <w:t>daptation ou traductio</w:t>
      </w:r>
      <w:r w:rsidR="00AA5429" w:rsidRPr="00D967EB">
        <w:rPr>
          <w:lang w:val="fr-FR"/>
        </w:rPr>
        <w:t>n</w:t>
      </w:r>
      <w:r w:rsidR="00AA5429">
        <w:rPr>
          <w:lang w:val="fr-FR"/>
        </w:rPr>
        <w:t>”</w:t>
      </w:r>
      <w:r w:rsidR="00D967EB" w:rsidRPr="00D967EB">
        <w:rPr>
          <w:lang w:val="fr-FR"/>
        </w:rPr>
        <w:t xml:space="preserve"> </w:t>
      </w:r>
      <w:r w:rsidR="00D967EB">
        <w:rPr>
          <w:lang w:val="fr-FR"/>
        </w:rPr>
        <w:t xml:space="preserve">et la formulation </w:t>
      </w:r>
      <w:r w:rsidR="00D967EB" w:rsidRPr="00D967EB">
        <w:rPr>
          <w:lang w:val="fr-FR"/>
        </w:rPr>
        <w:t>dans laquelle l</w:t>
      </w:r>
      <w:r w:rsidR="00AA5429">
        <w:rPr>
          <w:lang w:val="fr-FR"/>
        </w:rPr>
        <w:t>’“</w:t>
      </w:r>
      <w:r w:rsidR="00AA5429" w:rsidRPr="00D967EB">
        <w:rPr>
          <w:lang w:val="fr-FR"/>
        </w:rPr>
        <w:t>œ</w:t>
      </w:r>
      <w:r w:rsidR="00D967EB" w:rsidRPr="00D967EB">
        <w:rPr>
          <w:lang w:val="fr-FR"/>
        </w:rPr>
        <w:t>uvre d</w:t>
      </w:r>
      <w:r w:rsidR="00AA5429">
        <w:rPr>
          <w:lang w:val="fr-FR"/>
        </w:rPr>
        <w:t>’</w:t>
      </w:r>
      <w:r w:rsidR="00D967EB" w:rsidRPr="00D967EB">
        <w:rPr>
          <w:lang w:val="fr-FR"/>
        </w:rPr>
        <w:t>origin</w:t>
      </w:r>
      <w:r w:rsidR="00AA5429" w:rsidRPr="00D967EB">
        <w:rPr>
          <w:lang w:val="fr-FR"/>
        </w:rPr>
        <w:t>e</w:t>
      </w:r>
      <w:r w:rsidR="00AA5429">
        <w:rPr>
          <w:lang w:val="fr-FR"/>
        </w:rPr>
        <w:t>”</w:t>
      </w:r>
      <w:r w:rsidR="00D967EB" w:rsidRPr="00D967EB">
        <w:rPr>
          <w:lang w:val="fr-FR"/>
        </w:rPr>
        <w:t xml:space="preserve"> est mentionnée </w:t>
      </w:r>
      <w:r w:rsidR="00D967EB">
        <w:rPr>
          <w:lang w:val="fr-FR"/>
        </w:rPr>
        <w:t xml:space="preserve">avec </w:t>
      </w:r>
      <w:r w:rsidR="00EB12BC">
        <w:rPr>
          <w:lang w:val="fr-FR"/>
        </w:rPr>
        <w:t xml:space="preserve">les dispositions </w:t>
      </w:r>
      <w:r w:rsidR="00EB12BC">
        <w:rPr>
          <w:lang w:val="fr-FR"/>
        </w:rPr>
        <w:lastRenderedPageBreak/>
        <w:t>autorisant l</w:t>
      </w:r>
      <w:r w:rsidR="00AA5429">
        <w:rPr>
          <w:lang w:val="fr-FR"/>
        </w:rPr>
        <w:t>’</w:t>
      </w:r>
      <w:r w:rsidR="00EB12BC">
        <w:rPr>
          <w:lang w:val="fr-FR"/>
        </w:rPr>
        <w:t>“utilisation” de l</w:t>
      </w:r>
      <w:r w:rsidR="00AA5429">
        <w:rPr>
          <w:lang w:val="fr-FR"/>
        </w:rPr>
        <w:t>’</w:t>
      </w:r>
      <w:r w:rsidR="00EB12BC">
        <w:rPr>
          <w:lang w:val="fr-FR"/>
        </w:rPr>
        <w:t>œuv</w:t>
      </w:r>
      <w:r w:rsidR="00D07A5F">
        <w:rPr>
          <w:lang w:val="fr-FR"/>
        </w:rPr>
        <w:t>re.  Ce</w:t>
      </w:r>
      <w:r w:rsidR="00EB12BC">
        <w:rPr>
          <w:lang w:val="fr-FR"/>
        </w:rPr>
        <w:t>tte formulation est reprise directement de l</w:t>
      </w:r>
      <w:r w:rsidR="00AA5429">
        <w:rPr>
          <w:lang w:val="fr-FR"/>
        </w:rPr>
        <w:t>’</w:t>
      </w:r>
      <w:r w:rsidR="00EB12BC">
        <w:rPr>
          <w:lang w:val="fr-FR"/>
        </w:rPr>
        <w:t>article 10.2) de la Convention de Berne, ainsi libellé</w:t>
      </w:r>
      <w:r w:rsidR="00AA5429">
        <w:rPr>
          <w:lang w:val="fr-FR"/>
        </w:rPr>
        <w:t> :</w:t>
      </w:r>
    </w:p>
    <w:p w14:paraId="6DCE9561" w14:textId="42315D47" w:rsidR="000B4EEB" w:rsidRPr="00821360" w:rsidRDefault="00AA5429" w:rsidP="00D52B7A">
      <w:pPr>
        <w:pStyle w:val="Provision"/>
        <w:spacing w:after="160" w:line="259" w:lineRule="auto"/>
        <w:rPr>
          <w:lang w:val="fr-FR"/>
        </w:rPr>
      </w:pPr>
      <w:r w:rsidRPr="00821360">
        <w:rPr>
          <w:lang w:val="fr-FR"/>
        </w:rPr>
        <w:t>Article</w:t>
      </w:r>
      <w:r>
        <w:rPr>
          <w:lang w:val="fr-FR"/>
        </w:rPr>
        <w:t> </w:t>
      </w:r>
      <w:r w:rsidRPr="00821360">
        <w:rPr>
          <w:lang w:val="fr-FR"/>
        </w:rPr>
        <w:t>1</w:t>
      </w:r>
      <w:r w:rsidR="000B4EEB" w:rsidRPr="00821360">
        <w:rPr>
          <w:lang w:val="fr-FR"/>
        </w:rPr>
        <w:t xml:space="preserve">0. </w:t>
      </w:r>
      <w:r w:rsidR="0031003D" w:rsidRPr="0031003D">
        <w:rPr>
          <w:lang w:val="fr-FR"/>
        </w:rPr>
        <w:t xml:space="preserve"> </w:t>
      </w:r>
      <w:r w:rsidR="00D811FB" w:rsidRPr="00D811FB">
        <w:rPr>
          <w:lang w:val="fr-FR"/>
        </w:rPr>
        <w:t>Libre utilisation des œuvres dans certains cas</w:t>
      </w:r>
      <w:r>
        <w:rPr>
          <w:lang w:val="fr-FR"/>
        </w:rPr>
        <w:t> :</w:t>
      </w:r>
    </w:p>
    <w:p w14:paraId="12953CF2" w14:textId="7AD44DE6" w:rsidR="00AA5429" w:rsidRDefault="000B4EEB" w:rsidP="00D52B7A">
      <w:pPr>
        <w:pStyle w:val="Provision"/>
        <w:spacing w:after="160" w:line="259" w:lineRule="auto"/>
        <w:rPr>
          <w:lang w:val="fr-FR"/>
        </w:rPr>
      </w:pPr>
      <w:r w:rsidRPr="00821360">
        <w:rPr>
          <w:lang w:val="fr-FR"/>
        </w:rPr>
        <w:t>2.</w:t>
      </w:r>
      <w:r w:rsidR="0031003D" w:rsidRPr="0031003D">
        <w:rPr>
          <w:lang w:val="fr-FR"/>
        </w:rPr>
        <w:t xml:space="preserve"> </w:t>
      </w:r>
      <w:r w:rsidRPr="00821360">
        <w:rPr>
          <w:lang w:val="fr-FR"/>
        </w:rPr>
        <w:t xml:space="preserve"> Illustration</w:t>
      </w:r>
      <w:r w:rsidR="00D811FB">
        <w:rPr>
          <w:lang w:val="fr-FR"/>
        </w:rPr>
        <w:t xml:space="preserve"> de l</w:t>
      </w:r>
      <w:r w:rsidR="00AA5429">
        <w:rPr>
          <w:lang w:val="fr-FR"/>
        </w:rPr>
        <w:t>’</w:t>
      </w:r>
      <w:r w:rsidR="00D811FB">
        <w:rPr>
          <w:lang w:val="fr-FR"/>
        </w:rPr>
        <w:t>enseignement</w:t>
      </w:r>
      <w:r w:rsidRPr="00821360">
        <w:rPr>
          <w:lang w:val="fr-FR"/>
        </w:rPr>
        <w:t>;</w:t>
      </w:r>
    </w:p>
    <w:p w14:paraId="44F96A54" w14:textId="5000C234" w:rsidR="000B4EEB" w:rsidRPr="00821360" w:rsidRDefault="000B4EEB" w:rsidP="00D52B7A">
      <w:pPr>
        <w:pStyle w:val="Provision"/>
        <w:spacing w:after="160" w:line="259" w:lineRule="auto"/>
        <w:rPr>
          <w:lang w:val="fr-FR"/>
        </w:rPr>
      </w:pPr>
      <w:r w:rsidRPr="00821360">
        <w:rPr>
          <w:lang w:val="fr-FR"/>
        </w:rPr>
        <w:t xml:space="preserve">2) </w:t>
      </w:r>
      <w:r w:rsidR="00D811FB" w:rsidRPr="00D811FB">
        <w:rPr>
          <w:lang w:val="fr-FR"/>
        </w:rPr>
        <w:t>Est réservé l</w:t>
      </w:r>
      <w:r w:rsidR="00AA5429">
        <w:rPr>
          <w:lang w:val="fr-FR"/>
        </w:rPr>
        <w:t>’</w:t>
      </w:r>
      <w:r w:rsidR="00D811FB" w:rsidRPr="00D811FB">
        <w:rPr>
          <w:lang w:val="fr-FR"/>
        </w:rPr>
        <w:t>effet de la législation des pays de l</w:t>
      </w:r>
      <w:r w:rsidR="00AA5429">
        <w:rPr>
          <w:lang w:val="fr-FR"/>
        </w:rPr>
        <w:t>’</w:t>
      </w:r>
      <w:r w:rsidR="00D811FB" w:rsidRPr="00D811FB">
        <w:rPr>
          <w:lang w:val="fr-FR"/>
        </w:rPr>
        <w:t>Union et des arrangements particuliers existants ou à conclure entre eux, en ce qui concerne la faculté d</w:t>
      </w:r>
      <w:r w:rsidR="00AA5429">
        <w:rPr>
          <w:lang w:val="fr-FR"/>
        </w:rPr>
        <w:t>’</w:t>
      </w:r>
      <w:r w:rsidR="00D811FB" w:rsidRPr="001F4789">
        <w:rPr>
          <w:i/>
          <w:lang w:val="fr-FR"/>
        </w:rPr>
        <w:t>utiliser</w:t>
      </w:r>
      <w:r w:rsidR="00D811FB" w:rsidRPr="00D811FB">
        <w:rPr>
          <w:lang w:val="fr-FR"/>
        </w:rPr>
        <w:t xml:space="preserve"> licitement, dans la mesure justifiée par le but à atteindre, des œuvres littéraires ou artistiques à titre d</w:t>
      </w:r>
      <w:r w:rsidR="00AA5429">
        <w:rPr>
          <w:lang w:val="fr-FR"/>
        </w:rPr>
        <w:t>’</w:t>
      </w:r>
      <w:r w:rsidR="00D811FB" w:rsidRPr="00D811FB">
        <w:rPr>
          <w:lang w:val="fr-FR"/>
        </w:rPr>
        <w:t>illustration de l</w:t>
      </w:r>
      <w:r w:rsidR="00AA5429">
        <w:rPr>
          <w:lang w:val="fr-FR"/>
        </w:rPr>
        <w:t>’</w:t>
      </w:r>
      <w:r w:rsidR="00D811FB" w:rsidRPr="00D811FB">
        <w:rPr>
          <w:lang w:val="fr-FR"/>
        </w:rPr>
        <w:t>enseignement par le moyen de publications, d</w:t>
      </w:r>
      <w:r w:rsidR="00AA5429">
        <w:rPr>
          <w:lang w:val="fr-FR"/>
        </w:rPr>
        <w:t>’</w:t>
      </w:r>
      <w:r w:rsidR="00D811FB" w:rsidRPr="00D811FB">
        <w:rPr>
          <w:lang w:val="fr-FR"/>
        </w:rPr>
        <w:t>émissions de radiodiffusion ou d</w:t>
      </w:r>
      <w:r w:rsidR="00AA5429">
        <w:rPr>
          <w:lang w:val="fr-FR"/>
        </w:rPr>
        <w:t>’</w:t>
      </w:r>
      <w:r w:rsidR="00D811FB" w:rsidRPr="00D811FB">
        <w:rPr>
          <w:lang w:val="fr-FR"/>
        </w:rPr>
        <w:t>enregistrements sonores ou visuels, sous réserve qu</w:t>
      </w:r>
      <w:r w:rsidR="00AA5429">
        <w:rPr>
          <w:lang w:val="fr-FR"/>
        </w:rPr>
        <w:t>’</w:t>
      </w:r>
      <w:r w:rsidR="00D811FB" w:rsidRPr="00D811FB">
        <w:rPr>
          <w:lang w:val="fr-FR"/>
        </w:rPr>
        <w:t>une telle utilisation soit conforme aux bons usages</w:t>
      </w:r>
      <w:r w:rsidRPr="00821360">
        <w:rPr>
          <w:lang w:val="fr-FR"/>
        </w:rPr>
        <w:t xml:space="preserve"> [</w:t>
      </w:r>
      <w:r w:rsidR="001F4789">
        <w:rPr>
          <w:lang w:val="fr-FR"/>
        </w:rPr>
        <w:t>non souligné dans le texte de l</w:t>
      </w:r>
      <w:r w:rsidR="00AA5429">
        <w:rPr>
          <w:lang w:val="fr-FR"/>
        </w:rPr>
        <w:t>’</w:t>
      </w:r>
      <w:r w:rsidR="001F4789">
        <w:rPr>
          <w:lang w:val="fr-FR"/>
        </w:rPr>
        <w:t>article</w:t>
      </w:r>
      <w:r w:rsidRPr="00821360">
        <w:rPr>
          <w:lang w:val="fr-FR"/>
        </w:rPr>
        <w:t>]</w:t>
      </w:r>
      <w:r w:rsidR="00D07A5F">
        <w:rPr>
          <w:lang w:val="fr-FR"/>
        </w:rPr>
        <w:t>.</w:t>
      </w:r>
    </w:p>
    <w:p w14:paraId="19CC74D0" w14:textId="351FB96D" w:rsidR="00887C76" w:rsidRPr="00821360" w:rsidRDefault="001F4789" w:rsidP="00D52B7A">
      <w:pPr>
        <w:rPr>
          <w:lang w:val="fr-FR"/>
        </w:rPr>
      </w:pPr>
      <w:r>
        <w:rPr>
          <w:lang w:val="fr-FR"/>
        </w:rPr>
        <w:t xml:space="preserve">À première vue, il peut sembler que tant la </w:t>
      </w:r>
      <w:r w:rsidRPr="001F4789">
        <w:rPr>
          <w:lang w:val="fr-FR"/>
        </w:rPr>
        <w:t xml:space="preserve">formulation faisant référence à une </w:t>
      </w:r>
      <w:r w:rsidR="00AA5429">
        <w:rPr>
          <w:lang w:val="fr-FR"/>
        </w:rPr>
        <w:t>“</w:t>
      </w:r>
      <w:r w:rsidR="00AA5429" w:rsidRPr="001F4789">
        <w:rPr>
          <w:lang w:val="fr-FR"/>
        </w:rPr>
        <w:t>a</w:t>
      </w:r>
      <w:r w:rsidRPr="001F4789">
        <w:rPr>
          <w:lang w:val="fr-FR"/>
        </w:rPr>
        <w:t>daptation ou traductio</w:t>
      </w:r>
      <w:r w:rsidR="00AA5429" w:rsidRPr="001F4789">
        <w:rPr>
          <w:lang w:val="fr-FR"/>
        </w:rPr>
        <w:t>n</w:t>
      </w:r>
      <w:r w:rsidR="00AA5429">
        <w:rPr>
          <w:lang w:val="fr-FR"/>
        </w:rPr>
        <w:t>”</w:t>
      </w:r>
      <w:r w:rsidR="00A940C9" w:rsidRPr="00821360">
        <w:rPr>
          <w:lang w:val="fr-FR"/>
        </w:rPr>
        <w:t xml:space="preserve">, </w:t>
      </w:r>
      <w:r>
        <w:rPr>
          <w:lang w:val="fr-FR"/>
        </w:rPr>
        <w:t>qui crée une exception au droit d</w:t>
      </w:r>
      <w:r w:rsidR="00AA5429">
        <w:rPr>
          <w:lang w:val="fr-FR"/>
        </w:rPr>
        <w:t>’</w:t>
      </w:r>
      <w:r>
        <w:rPr>
          <w:lang w:val="fr-FR"/>
        </w:rPr>
        <w:t xml:space="preserve">adaptation ou de traduction, que la </w:t>
      </w:r>
      <w:r w:rsidRPr="001F4789">
        <w:rPr>
          <w:lang w:val="fr-FR"/>
        </w:rPr>
        <w:t>formulation dans laquelle l</w:t>
      </w:r>
      <w:r w:rsidR="00AA5429">
        <w:rPr>
          <w:lang w:val="fr-FR"/>
        </w:rPr>
        <w:t>’“</w:t>
      </w:r>
      <w:r w:rsidR="00AA5429" w:rsidRPr="001F4789">
        <w:rPr>
          <w:lang w:val="fr-FR"/>
        </w:rPr>
        <w:t>œ</w:t>
      </w:r>
      <w:r w:rsidRPr="001F4789">
        <w:rPr>
          <w:lang w:val="fr-FR"/>
        </w:rPr>
        <w:t>uvre d</w:t>
      </w:r>
      <w:r w:rsidR="00AA5429">
        <w:rPr>
          <w:lang w:val="fr-FR"/>
        </w:rPr>
        <w:t>’</w:t>
      </w:r>
      <w:r w:rsidRPr="001F4789">
        <w:rPr>
          <w:lang w:val="fr-FR"/>
        </w:rPr>
        <w:t>origin</w:t>
      </w:r>
      <w:r w:rsidR="00AA5429" w:rsidRPr="001F4789">
        <w:rPr>
          <w:lang w:val="fr-FR"/>
        </w:rPr>
        <w:t>e</w:t>
      </w:r>
      <w:r w:rsidR="00AA5429">
        <w:rPr>
          <w:lang w:val="fr-FR"/>
        </w:rPr>
        <w:t>”</w:t>
      </w:r>
      <w:r w:rsidRPr="001F4789">
        <w:rPr>
          <w:lang w:val="fr-FR"/>
        </w:rPr>
        <w:t xml:space="preserve"> est mentionnée</w:t>
      </w:r>
      <w:r w:rsidR="00A940C9" w:rsidRPr="00821360">
        <w:rPr>
          <w:lang w:val="fr-FR"/>
        </w:rPr>
        <w:t xml:space="preserve">, </w:t>
      </w:r>
      <w:r>
        <w:rPr>
          <w:lang w:val="fr-FR"/>
        </w:rPr>
        <w:t xml:space="preserve">qui </w:t>
      </w:r>
      <w:r w:rsidR="00607515">
        <w:rPr>
          <w:lang w:val="fr-FR"/>
        </w:rPr>
        <w:t>libère le bénéficiaire de l</w:t>
      </w:r>
      <w:r w:rsidR="00AA5429">
        <w:rPr>
          <w:lang w:val="fr-FR"/>
        </w:rPr>
        <w:t>’</w:t>
      </w:r>
      <w:r w:rsidR="00607515">
        <w:rPr>
          <w:lang w:val="fr-FR"/>
        </w:rPr>
        <w:t xml:space="preserve">exception </w:t>
      </w:r>
      <w:r w:rsidR="00A3618C">
        <w:rPr>
          <w:lang w:val="fr-FR"/>
        </w:rPr>
        <w:t>de l</w:t>
      </w:r>
      <w:r w:rsidR="00AA5429">
        <w:rPr>
          <w:lang w:val="fr-FR"/>
        </w:rPr>
        <w:t>’</w:t>
      </w:r>
      <w:r w:rsidR="00A3618C">
        <w:rPr>
          <w:lang w:val="fr-FR"/>
        </w:rPr>
        <w:t>obligation de demander le consentement préalable de l</w:t>
      </w:r>
      <w:r w:rsidR="00AA5429">
        <w:rPr>
          <w:lang w:val="fr-FR"/>
        </w:rPr>
        <w:t>’</w:t>
      </w:r>
      <w:r w:rsidR="00A3618C">
        <w:rPr>
          <w:lang w:val="fr-FR"/>
        </w:rPr>
        <w:t>auteur de l</w:t>
      </w:r>
      <w:r w:rsidR="00AA5429">
        <w:rPr>
          <w:lang w:val="fr-FR"/>
        </w:rPr>
        <w:t>’</w:t>
      </w:r>
      <w:r w:rsidR="00A3618C">
        <w:rPr>
          <w:lang w:val="fr-FR"/>
        </w:rPr>
        <w:t>œuvre d</w:t>
      </w:r>
      <w:r w:rsidR="00AA5429">
        <w:rPr>
          <w:lang w:val="fr-FR"/>
        </w:rPr>
        <w:t>’</w:t>
      </w:r>
      <w:r w:rsidR="00A3618C">
        <w:rPr>
          <w:lang w:val="fr-FR"/>
        </w:rPr>
        <w:t xml:space="preserve">origine, ne sont pas couvertes par la formulation </w:t>
      </w:r>
      <w:r w:rsidR="00A3618C" w:rsidRPr="00A3618C">
        <w:rPr>
          <w:lang w:val="fr-FR"/>
        </w:rPr>
        <w:t>faisant référence à l</w:t>
      </w:r>
      <w:r w:rsidR="00AA5429">
        <w:rPr>
          <w:lang w:val="fr-FR"/>
        </w:rPr>
        <w:t>’“</w:t>
      </w:r>
      <w:r w:rsidR="00AA5429" w:rsidRPr="00A3618C">
        <w:rPr>
          <w:lang w:val="fr-FR"/>
        </w:rPr>
        <w:t>u</w:t>
      </w:r>
      <w:r w:rsidR="00A3618C" w:rsidRPr="00A3618C">
        <w:rPr>
          <w:lang w:val="fr-FR"/>
        </w:rPr>
        <w:t>tilisatio</w:t>
      </w:r>
      <w:r w:rsidR="00AA5429" w:rsidRPr="00A3618C">
        <w:rPr>
          <w:lang w:val="fr-FR"/>
        </w:rPr>
        <w:t>n</w:t>
      </w:r>
      <w:r w:rsidR="00AA5429">
        <w:rPr>
          <w:lang w:val="fr-FR"/>
        </w:rPr>
        <w:t>”</w:t>
      </w:r>
      <w:r w:rsidR="00A940C9" w:rsidRPr="00821360">
        <w:rPr>
          <w:lang w:val="fr-FR"/>
        </w:rPr>
        <w:t xml:space="preserve">. </w:t>
      </w:r>
      <w:r w:rsidR="00A3618C">
        <w:rPr>
          <w:lang w:val="fr-FR"/>
        </w:rPr>
        <w:t xml:space="preserve"> Toutefois une lecture attentive des </w:t>
      </w:r>
      <w:r w:rsidR="00BD5011" w:rsidRPr="00A3618C">
        <w:rPr>
          <w:lang w:val="fr-FR"/>
        </w:rPr>
        <w:t xml:space="preserve">travaux </w:t>
      </w:r>
      <w:r w:rsidR="001D3646" w:rsidRPr="00A3618C">
        <w:rPr>
          <w:lang w:val="fr-FR"/>
        </w:rPr>
        <w:t>préparatoires</w:t>
      </w:r>
      <w:r w:rsidR="00BD5011" w:rsidRPr="00821360">
        <w:rPr>
          <w:lang w:val="fr-FR"/>
        </w:rPr>
        <w:t xml:space="preserve"> </w:t>
      </w:r>
      <w:r w:rsidR="00A3618C">
        <w:rPr>
          <w:lang w:val="fr-FR"/>
        </w:rPr>
        <w:t xml:space="preserve">de la </w:t>
      </w:r>
      <w:r w:rsidR="00BD5011" w:rsidRPr="00821360">
        <w:rPr>
          <w:lang w:val="fr-FR"/>
        </w:rPr>
        <w:t xml:space="preserve">Convention </w:t>
      </w:r>
      <w:r w:rsidR="00A3618C">
        <w:rPr>
          <w:lang w:val="fr-FR"/>
        </w:rPr>
        <w:t xml:space="preserve">de </w:t>
      </w:r>
      <w:r w:rsidR="00CA4A57">
        <w:rPr>
          <w:lang w:val="fr-FR"/>
        </w:rPr>
        <w:t xml:space="preserve">Berne </w:t>
      </w:r>
      <w:r w:rsidR="00BD5011" w:rsidRPr="00821360">
        <w:rPr>
          <w:lang w:val="fr-FR"/>
        </w:rPr>
        <w:t>(Act</w:t>
      </w:r>
      <w:r w:rsidR="00CA4A57">
        <w:rPr>
          <w:lang w:val="fr-FR"/>
        </w:rPr>
        <w:t xml:space="preserve">e de </w:t>
      </w:r>
      <w:r w:rsidR="00CA4A57" w:rsidRPr="00821360">
        <w:rPr>
          <w:lang w:val="fr-FR"/>
        </w:rPr>
        <w:t>Stockholm</w:t>
      </w:r>
      <w:r w:rsidR="00BD5011" w:rsidRPr="00821360">
        <w:rPr>
          <w:lang w:val="fr-FR"/>
        </w:rPr>
        <w:t>)</w:t>
      </w:r>
      <w:r w:rsidR="00A940C9" w:rsidRPr="00821360">
        <w:rPr>
          <w:lang w:val="fr-FR"/>
        </w:rPr>
        <w:t xml:space="preserve">, </w:t>
      </w:r>
      <w:r w:rsidR="00CA4A57">
        <w:rPr>
          <w:lang w:val="fr-FR"/>
        </w:rPr>
        <w:t>au cours desquels le libellé actuel de l</w:t>
      </w:r>
      <w:r w:rsidR="00AA5429">
        <w:rPr>
          <w:lang w:val="fr-FR"/>
        </w:rPr>
        <w:t>’</w:t>
      </w:r>
      <w:r w:rsidR="00CA4A57">
        <w:rPr>
          <w:lang w:val="fr-FR"/>
        </w:rPr>
        <w:t>article 10 a été adopté</w:t>
      </w:r>
      <w:r w:rsidR="00A940C9" w:rsidRPr="00821360">
        <w:rPr>
          <w:lang w:val="fr-FR"/>
        </w:rPr>
        <w:t>,</w:t>
      </w:r>
      <w:r w:rsidR="00BD5011" w:rsidRPr="00821360">
        <w:rPr>
          <w:lang w:val="fr-FR"/>
        </w:rPr>
        <w:t xml:space="preserve"> </w:t>
      </w:r>
      <w:r w:rsidR="00BE010B">
        <w:rPr>
          <w:lang w:val="fr-FR"/>
        </w:rPr>
        <w:t xml:space="preserve">pousse à conclure que les délégués ont accepté que la formulation </w:t>
      </w:r>
      <w:r w:rsidR="00BE010B" w:rsidRPr="00BE010B">
        <w:rPr>
          <w:lang w:val="fr-FR"/>
        </w:rPr>
        <w:t>faisant référence à l</w:t>
      </w:r>
      <w:r w:rsidR="00AA5429">
        <w:rPr>
          <w:lang w:val="fr-FR"/>
        </w:rPr>
        <w:t>’“</w:t>
      </w:r>
      <w:r w:rsidR="00AA5429" w:rsidRPr="00BE010B">
        <w:rPr>
          <w:lang w:val="fr-FR"/>
        </w:rPr>
        <w:t>u</w:t>
      </w:r>
      <w:r w:rsidR="00BE010B" w:rsidRPr="00BE010B">
        <w:rPr>
          <w:lang w:val="fr-FR"/>
        </w:rPr>
        <w:t>tilisatio</w:t>
      </w:r>
      <w:r w:rsidR="00AA5429" w:rsidRPr="00BE010B">
        <w:rPr>
          <w:lang w:val="fr-FR"/>
        </w:rPr>
        <w:t>n</w:t>
      </w:r>
      <w:r w:rsidR="00AA5429">
        <w:rPr>
          <w:lang w:val="fr-FR"/>
        </w:rPr>
        <w:t>”</w:t>
      </w:r>
      <w:r w:rsidR="00BE010B">
        <w:rPr>
          <w:lang w:val="fr-FR"/>
        </w:rPr>
        <w:t xml:space="preserve"> à l</w:t>
      </w:r>
      <w:r w:rsidR="00AA5429">
        <w:rPr>
          <w:lang w:val="fr-FR"/>
        </w:rPr>
        <w:t>’</w:t>
      </w:r>
      <w:r w:rsidR="00BE010B">
        <w:rPr>
          <w:lang w:val="fr-FR"/>
        </w:rPr>
        <w:t>article </w:t>
      </w:r>
      <w:r w:rsidR="00BD5011" w:rsidRPr="00821360">
        <w:rPr>
          <w:lang w:val="fr-FR"/>
        </w:rPr>
        <w:t>10</w:t>
      </w:r>
      <w:r w:rsidR="00BE010B">
        <w:rPr>
          <w:lang w:val="fr-FR"/>
        </w:rPr>
        <w:t>.</w:t>
      </w:r>
      <w:r w:rsidR="00BD5011" w:rsidRPr="00821360">
        <w:rPr>
          <w:lang w:val="fr-FR"/>
        </w:rPr>
        <w:t xml:space="preserve">2) </w:t>
      </w:r>
      <w:r w:rsidR="00BE010B">
        <w:rPr>
          <w:lang w:val="fr-FR"/>
        </w:rPr>
        <w:t xml:space="preserve">de la Convention de </w:t>
      </w:r>
      <w:r w:rsidR="00BD5011" w:rsidRPr="00821360">
        <w:rPr>
          <w:lang w:val="fr-FR"/>
        </w:rPr>
        <w:t>Berne Convention</w:t>
      </w:r>
      <w:r w:rsidR="00D76383" w:rsidRPr="00821360">
        <w:rPr>
          <w:lang w:val="fr-FR"/>
        </w:rPr>
        <w:t xml:space="preserve"> </w:t>
      </w:r>
      <w:r w:rsidR="00BE010B">
        <w:rPr>
          <w:lang w:val="fr-FR"/>
        </w:rPr>
        <w:t>s</w:t>
      </w:r>
      <w:r w:rsidR="00AA5429">
        <w:rPr>
          <w:lang w:val="fr-FR"/>
        </w:rPr>
        <w:t>’</w:t>
      </w:r>
      <w:r w:rsidR="00BE010B">
        <w:rPr>
          <w:lang w:val="fr-FR"/>
        </w:rPr>
        <w:t xml:space="preserve">applique afin de créer une </w:t>
      </w:r>
      <w:r w:rsidR="00D76383" w:rsidRPr="00821360">
        <w:rPr>
          <w:lang w:val="fr-FR"/>
        </w:rPr>
        <w:t xml:space="preserve">exception </w:t>
      </w:r>
      <w:r w:rsidR="00BE010B">
        <w:rPr>
          <w:lang w:val="fr-FR"/>
        </w:rPr>
        <w:t>au droit d</w:t>
      </w:r>
      <w:r w:rsidR="00AA5429">
        <w:rPr>
          <w:lang w:val="fr-FR"/>
        </w:rPr>
        <w:t>’</w:t>
      </w:r>
      <w:r w:rsidR="00BE010B">
        <w:rPr>
          <w:lang w:val="fr-FR"/>
        </w:rPr>
        <w:t>a</w:t>
      </w:r>
      <w:r w:rsidR="00E06EE9" w:rsidRPr="00821360">
        <w:rPr>
          <w:lang w:val="fr-FR"/>
        </w:rPr>
        <w:t>daptation</w:t>
      </w:r>
      <w:r w:rsidR="00BE010B">
        <w:rPr>
          <w:lang w:val="fr-FR"/>
        </w:rPr>
        <w:t xml:space="preserve"> ou de traduction, pour autant que les conditions requises </w:t>
      </w:r>
      <w:r w:rsidR="004C1F8C">
        <w:rPr>
          <w:lang w:val="fr-FR"/>
        </w:rPr>
        <w:t>pour créer l</w:t>
      </w:r>
      <w:r w:rsidR="00AA5429">
        <w:rPr>
          <w:lang w:val="fr-FR"/>
        </w:rPr>
        <w:t>’</w:t>
      </w:r>
      <w:r w:rsidR="004C1F8C">
        <w:rPr>
          <w:lang w:val="fr-FR"/>
        </w:rPr>
        <w:t>exception relative à l</w:t>
      </w:r>
      <w:r w:rsidR="00AA5429">
        <w:rPr>
          <w:lang w:val="fr-FR"/>
        </w:rPr>
        <w:t>’</w:t>
      </w:r>
      <w:r w:rsidR="004C1F8C">
        <w:rPr>
          <w:lang w:val="fr-FR"/>
        </w:rPr>
        <w:t>œuvre d</w:t>
      </w:r>
      <w:r w:rsidR="00AA5429">
        <w:rPr>
          <w:lang w:val="fr-FR"/>
        </w:rPr>
        <w:t>’</w:t>
      </w:r>
      <w:r w:rsidR="004C1F8C">
        <w:rPr>
          <w:lang w:val="fr-FR"/>
        </w:rPr>
        <w:t>origine soient remplies</w:t>
      </w:r>
      <w:r w:rsidR="00D76383" w:rsidRPr="001A54D7">
        <w:rPr>
          <w:rStyle w:val="FootnoteReference"/>
          <w:lang w:val="fr-FR"/>
        </w:rPr>
        <w:footnoteReference w:id="3"/>
      </w:r>
      <w:r w:rsidR="00FA78C8" w:rsidRPr="001A54D7">
        <w:rPr>
          <w:lang w:val="fr-FR"/>
        </w:rPr>
        <w:t xml:space="preserve"> </w:t>
      </w:r>
      <w:r w:rsidR="00426E50">
        <w:rPr>
          <w:lang w:val="fr-FR"/>
        </w:rPr>
        <w:t>–</w:t>
      </w:r>
      <w:r w:rsidR="00FA78C8" w:rsidRPr="00821360">
        <w:rPr>
          <w:lang w:val="fr-FR"/>
        </w:rPr>
        <w:t xml:space="preserve"> </w:t>
      </w:r>
      <w:r w:rsidR="00426E50">
        <w:rPr>
          <w:lang w:val="fr-FR"/>
        </w:rPr>
        <w:t xml:space="preserve">la formulation </w:t>
      </w:r>
      <w:r w:rsidR="00426E50" w:rsidRPr="00426E50">
        <w:rPr>
          <w:lang w:val="fr-FR"/>
        </w:rPr>
        <w:t xml:space="preserve">faisant référence à une </w:t>
      </w:r>
      <w:r w:rsidR="00AA5429">
        <w:rPr>
          <w:lang w:val="fr-FR"/>
        </w:rPr>
        <w:t>“</w:t>
      </w:r>
      <w:r w:rsidR="00AA5429" w:rsidRPr="00426E50">
        <w:rPr>
          <w:lang w:val="fr-FR"/>
        </w:rPr>
        <w:t>a</w:t>
      </w:r>
      <w:r w:rsidR="00426E50" w:rsidRPr="00426E50">
        <w:rPr>
          <w:lang w:val="fr-FR"/>
        </w:rPr>
        <w:t>daptation ou traductio</w:t>
      </w:r>
      <w:r w:rsidR="00AA5429" w:rsidRPr="00426E50">
        <w:rPr>
          <w:lang w:val="fr-FR"/>
        </w:rPr>
        <w:t>n</w:t>
      </w:r>
      <w:r w:rsidR="00AA5429">
        <w:rPr>
          <w:lang w:val="fr-FR"/>
        </w:rPr>
        <w:t>”</w:t>
      </w:r>
      <w:r w:rsidR="00FA78C8" w:rsidRPr="00821360">
        <w:rPr>
          <w:lang w:val="fr-FR"/>
        </w:rPr>
        <w:t>.</w:t>
      </w:r>
      <w:r w:rsidR="00BD5011" w:rsidRPr="00821360">
        <w:rPr>
          <w:lang w:val="fr-FR"/>
        </w:rPr>
        <w:t xml:space="preserve"> </w:t>
      </w:r>
      <w:r w:rsidR="00572A82">
        <w:rPr>
          <w:lang w:val="fr-FR"/>
        </w:rPr>
        <w:t xml:space="preserve"> Malgré certains désaccords, </w:t>
      </w:r>
      <w:r w:rsidR="008D7159">
        <w:rPr>
          <w:lang w:val="fr-FR"/>
        </w:rPr>
        <w:t xml:space="preserve">les délégués ont également accepté que </w:t>
      </w:r>
      <w:r w:rsidR="00951C73">
        <w:rPr>
          <w:lang w:val="fr-FR"/>
        </w:rPr>
        <w:t xml:space="preserve">la portée de </w:t>
      </w:r>
      <w:r w:rsidR="008D7159">
        <w:rPr>
          <w:lang w:val="fr-FR"/>
        </w:rPr>
        <w:t>l</w:t>
      </w:r>
      <w:r w:rsidR="00AA5429">
        <w:rPr>
          <w:lang w:val="fr-FR"/>
        </w:rPr>
        <w:t>’</w:t>
      </w:r>
      <w:r w:rsidR="008D7159">
        <w:rPr>
          <w:lang w:val="fr-FR"/>
        </w:rPr>
        <w:t>article </w:t>
      </w:r>
      <w:r w:rsidR="00887C76" w:rsidRPr="00821360">
        <w:rPr>
          <w:lang w:val="fr-FR"/>
        </w:rPr>
        <w:t>10</w:t>
      </w:r>
      <w:r w:rsidR="008D7159">
        <w:rPr>
          <w:lang w:val="fr-FR"/>
        </w:rPr>
        <w:t>.</w:t>
      </w:r>
      <w:r w:rsidR="00887C76" w:rsidRPr="00821360">
        <w:rPr>
          <w:lang w:val="fr-FR"/>
        </w:rPr>
        <w:t>2)</w:t>
      </w:r>
      <w:r w:rsidR="00864B46">
        <w:rPr>
          <w:lang w:val="fr-FR"/>
        </w:rPr>
        <w:t xml:space="preserve"> </w:t>
      </w:r>
      <w:r w:rsidR="008D7159">
        <w:rPr>
          <w:lang w:val="fr-FR"/>
        </w:rPr>
        <w:t>tel qu</w:t>
      </w:r>
      <w:r w:rsidR="00AA5429">
        <w:rPr>
          <w:lang w:val="fr-FR"/>
        </w:rPr>
        <w:t>’</w:t>
      </w:r>
      <w:r w:rsidR="008D7159">
        <w:rPr>
          <w:lang w:val="fr-FR"/>
        </w:rPr>
        <w:t>il est formulé</w:t>
      </w:r>
      <w:r w:rsidR="00864B46">
        <w:rPr>
          <w:lang w:val="fr-FR"/>
        </w:rPr>
        <w:t xml:space="preserve"> </w:t>
      </w:r>
      <w:r w:rsidR="00951C73">
        <w:rPr>
          <w:lang w:val="fr-FR"/>
        </w:rPr>
        <w:t xml:space="preserve">soit suffisamment large pour couvrir </w:t>
      </w:r>
      <w:r w:rsidR="006A36FC">
        <w:rPr>
          <w:lang w:val="fr-FR"/>
        </w:rPr>
        <w:t>l</w:t>
      </w:r>
      <w:r w:rsidR="00AA5429">
        <w:rPr>
          <w:lang w:val="fr-FR"/>
        </w:rPr>
        <w:t>’</w:t>
      </w:r>
      <w:r w:rsidR="006A36FC">
        <w:rPr>
          <w:lang w:val="fr-FR"/>
        </w:rPr>
        <w:t>utilisation d</w:t>
      </w:r>
      <w:r w:rsidR="00AA5429">
        <w:rPr>
          <w:lang w:val="fr-FR"/>
        </w:rPr>
        <w:t>’</w:t>
      </w:r>
      <w:r w:rsidR="006A36FC">
        <w:rPr>
          <w:lang w:val="fr-FR"/>
        </w:rPr>
        <w:t>une œuvre non seulement dans sa version d</w:t>
      </w:r>
      <w:r w:rsidR="00AA5429">
        <w:rPr>
          <w:lang w:val="fr-FR"/>
        </w:rPr>
        <w:t>’</w:t>
      </w:r>
      <w:r w:rsidR="006A36FC">
        <w:rPr>
          <w:lang w:val="fr-FR"/>
        </w:rPr>
        <w:t>origine, mais aussi sous la forme d</w:t>
      </w:r>
      <w:r w:rsidR="00AA5429">
        <w:rPr>
          <w:lang w:val="fr-FR"/>
        </w:rPr>
        <w:t>’</w:t>
      </w:r>
      <w:r w:rsidR="006A36FC">
        <w:rPr>
          <w:lang w:val="fr-FR"/>
        </w:rPr>
        <w:t>une traduction</w:t>
      </w:r>
      <w:r w:rsidR="00FA78C8" w:rsidRPr="00821360">
        <w:rPr>
          <w:rStyle w:val="FootnoteReference"/>
          <w:lang w:val="fr-FR"/>
        </w:rPr>
        <w:footnoteReference w:id="4"/>
      </w:r>
      <w:r w:rsidR="00AA5429">
        <w:rPr>
          <w:lang w:val="fr-FR"/>
        </w:rPr>
        <w:t xml:space="preserve"> – </w:t>
      </w:r>
      <w:r w:rsidR="006A36FC">
        <w:rPr>
          <w:lang w:val="fr-FR"/>
        </w:rPr>
        <w:t xml:space="preserve">la formulation </w:t>
      </w:r>
      <w:r w:rsidR="006A36FC" w:rsidRPr="006A36FC">
        <w:rPr>
          <w:lang w:val="fr-FR"/>
        </w:rPr>
        <w:t>dans laquelle l</w:t>
      </w:r>
      <w:r w:rsidR="00AA5429">
        <w:rPr>
          <w:lang w:val="fr-FR"/>
        </w:rPr>
        <w:t>’“</w:t>
      </w:r>
      <w:r w:rsidR="00AA5429" w:rsidRPr="006A36FC">
        <w:rPr>
          <w:lang w:val="fr-FR"/>
        </w:rPr>
        <w:t>œ</w:t>
      </w:r>
      <w:r w:rsidR="006A36FC" w:rsidRPr="006A36FC">
        <w:rPr>
          <w:lang w:val="fr-FR"/>
        </w:rPr>
        <w:t>uvre d</w:t>
      </w:r>
      <w:r w:rsidR="00AA5429">
        <w:rPr>
          <w:lang w:val="fr-FR"/>
        </w:rPr>
        <w:t>’</w:t>
      </w:r>
      <w:r w:rsidR="006A36FC" w:rsidRPr="006A36FC">
        <w:rPr>
          <w:lang w:val="fr-FR"/>
        </w:rPr>
        <w:t>origin</w:t>
      </w:r>
      <w:r w:rsidR="00AA5429" w:rsidRPr="006A36FC">
        <w:rPr>
          <w:lang w:val="fr-FR"/>
        </w:rPr>
        <w:t>e</w:t>
      </w:r>
      <w:r w:rsidR="00AA5429">
        <w:rPr>
          <w:lang w:val="fr-FR"/>
        </w:rPr>
        <w:t>”</w:t>
      </w:r>
      <w:r w:rsidR="006A36FC" w:rsidRPr="006A36FC">
        <w:rPr>
          <w:lang w:val="fr-FR"/>
        </w:rPr>
        <w:t xml:space="preserve"> est mentionn</w:t>
      </w:r>
      <w:r w:rsidR="00D07A5F" w:rsidRPr="006A36FC">
        <w:rPr>
          <w:lang w:val="fr-FR"/>
        </w:rPr>
        <w:t>ée</w:t>
      </w:r>
      <w:r w:rsidR="00D07A5F">
        <w:rPr>
          <w:lang w:val="fr-FR"/>
        </w:rPr>
        <w:t>.  Co</w:t>
      </w:r>
      <w:r w:rsidR="006A36FC">
        <w:rPr>
          <w:lang w:val="fr-FR"/>
        </w:rPr>
        <w:t>mme l</w:t>
      </w:r>
      <w:r w:rsidR="00AA5429">
        <w:rPr>
          <w:lang w:val="fr-FR"/>
        </w:rPr>
        <w:t>’</w:t>
      </w:r>
      <w:r w:rsidR="006A36FC">
        <w:rPr>
          <w:lang w:val="fr-FR"/>
        </w:rPr>
        <w:t>ont fait observer un grand nombre de délégués à la Conférence de St</w:t>
      </w:r>
      <w:r w:rsidR="00BD5011" w:rsidRPr="00821360">
        <w:rPr>
          <w:lang w:val="fr-FR"/>
        </w:rPr>
        <w:t xml:space="preserve">ockholm, </w:t>
      </w:r>
      <w:r w:rsidR="00996EBA">
        <w:rPr>
          <w:lang w:val="fr-FR"/>
        </w:rPr>
        <w:t>au regard de l</w:t>
      </w:r>
      <w:r w:rsidR="00AA5429">
        <w:rPr>
          <w:lang w:val="fr-FR"/>
        </w:rPr>
        <w:t>’</w:t>
      </w:r>
      <w:r w:rsidR="00996EBA">
        <w:rPr>
          <w:lang w:val="fr-FR"/>
        </w:rPr>
        <w:t>art</w:t>
      </w:r>
      <w:r w:rsidR="00080B8B" w:rsidRPr="00821360">
        <w:rPr>
          <w:lang w:val="fr-FR"/>
        </w:rPr>
        <w:t>i</w:t>
      </w:r>
      <w:r w:rsidR="00996EBA">
        <w:rPr>
          <w:lang w:val="fr-FR"/>
        </w:rPr>
        <w:t>cle </w:t>
      </w:r>
      <w:r w:rsidR="00080B8B" w:rsidRPr="00821360">
        <w:rPr>
          <w:lang w:val="fr-FR"/>
        </w:rPr>
        <w:t>10</w:t>
      </w:r>
      <w:r w:rsidR="00996EBA">
        <w:rPr>
          <w:lang w:val="fr-FR"/>
        </w:rPr>
        <w:t>.</w:t>
      </w:r>
      <w:r w:rsidR="00080B8B" w:rsidRPr="00821360">
        <w:rPr>
          <w:lang w:val="fr-FR"/>
        </w:rPr>
        <w:t xml:space="preserve">2), </w:t>
      </w:r>
      <w:r w:rsidR="00996EBA">
        <w:rPr>
          <w:lang w:val="fr-FR"/>
        </w:rPr>
        <w:t>l</w:t>
      </w:r>
      <w:r w:rsidR="00AA5429">
        <w:rPr>
          <w:lang w:val="fr-FR"/>
        </w:rPr>
        <w:t>’</w:t>
      </w:r>
      <w:r w:rsidR="00996EBA">
        <w:rPr>
          <w:lang w:val="fr-FR"/>
        </w:rPr>
        <w:t>intérêt d</w:t>
      </w:r>
      <w:r w:rsidR="00AA5429">
        <w:rPr>
          <w:lang w:val="fr-FR"/>
        </w:rPr>
        <w:t>’</w:t>
      </w:r>
      <w:r w:rsidR="00996EBA">
        <w:rPr>
          <w:lang w:val="fr-FR"/>
        </w:rPr>
        <w:t xml:space="preserve">une </w:t>
      </w:r>
      <w:r w:rsidR="00996EBA" w:rsidRPr="00996EBA">
        <w:rPr>
          <w:lang w:val="fr-FR"/>
        </w:rPr>
        <w:t>formulation faisant référence à l</w:t>
      </w:r>
      <w:r w:rsidR="00AA5429">
        <w:rPr>
          <w:lang w:val="fr-FR"/>
        </w:rPr>
        <w:t>’“</w:t>
      </w:r>
      <w:r w:rsidR="00AA5429" w:rsidRPr="00996EBA">
        <w:rPr>
          <w:lang w:val="fr-FR"/>
        </w:rPr>
        <w:t>u</w:t>
      </w:r>
      <w:r w:rsidR="00996EBA" w:rsidRPr="00996EBA">
        <w:rPr>
          <w:lang w:val="fr-FR"/>
        </w:rPr>
        <w:t>tilisatio</w:t>
      </w:r>
      <w:r w:rsidR="00AA5429" w:rsidRPr="00996EBA">
        <w:rPr>
          <w:lang w:val="fr-FR"/>
        </w:rPr>
        <w:t>n</w:t>
      </w:r>
      <w:r w:rsidR="00AA5429">
        <w:rPr>
          <w:lang w:val="fr-FR"/>
        </w:rPr>
        <w:t>”</w:t>
      </w:r>
      <w:r w:rsidR="00996EBA">
        <w:rPr>
          <w:lang w:val="fr-FR"/>
        </w:rPr>
        <w:t xml:space="preserve"> sera moindre si la </w:t>
      </w:r>
      <w:r w:rsidR="00BD5011" w:rsidRPr="00821360">
        <w:rPr>
          <w:lang w:val="fr-FR"/>
        </w:rPr>
        <w:t>limitation o</w:t>
      </w:r>
      <w:r w:rsidR="00996EBA">
        <w:rPr>
          <w:lang w:val="fr-FR"/>
        </w:rPr>
        <w:t xml:space="preserve">u </w:t>
      </w:r>
      <w:r w:rsidR="00BD5011" w:rsidRPr="00821360">
        <w:rPr>
          <w:lang w:val="fr-FR"/>
        </w:rPr>
        <w:t xml:space="preserve">exception </w:t>
      </w:r>
      <w:r w:rsidR="00996EBA">
        <w:rPr>
          <w:lang w:val="fr-FR"/>
        </w:rPr>
        <w:t>porte uniquement sur l</w:t>
      </w:r>
      <w:r w:rsidR="00AA5429">
        <w:rPr>
          <w:lang w:val="fr-FR"/>
        </w:rPr>
        <w:t>’</w:t>
      </w:r>
      <w:r w:rsidR="00996EBA">
        <w:rPr>
          <w:lang w:val="fr-FR"/>
        </w:rPr>
        <w:t>œuvre traduite et s</w:t>
      </w:r>
      <w:r w:rsidR="00BD5011" w:rsidRPr="00821360">
        <w:rPr>
          <w:lang w:val="fr-FR"/>
        </w:rPr>
        <w:t>i</w:t>
      </w:r>
      <w:r w:rsidR="00996EBA">
        <w:rPr>
          <w:lang w:val="fr-FR"/>
        </w:rPr>
        <w:t xml:space="preserve"> l</w:t>
      </w:r>
      <w:r w:rsidR="00AA5429">
        <w:rPr>
          <w:lang w:val="fr-FR"/>
        </w:rPr>
        <w:t>’</w:t>
      </w:r>
      <w:r w:rsidR="00996EBA">
        <w:rPr>
          <w:lang w:val="fr-FR"/>
        </w:rPr>
        <w:t>autorisation de l</w:t>
      </w:r>
      <w:r w:rsidR="00AA5429">
        <w:rPr>
          <w:lang w:val="fr-FR"/>
        </w:rPr>
        <w:t>’</w:t>
      </w:r>
      <w:r w:rsidR="00996EBA">
        <w:rPr>
          <w:lang w:val="fr-FR"/>
        </w:rPr>
        <w:t>auteur de l</w:t>
      </w:r>
      <w:r w:rsidR="00AA5429">
        <w:rPr>
          <w:lang w:val="fr-FR"/>
        </w:rPr>
        <w:t>’</w:t>
      </w:r>
      <w:r w:rsidR="00996EBA">
        <w:rPr>
          <w:lang w:val="fr-FR"/>
        </w:rPr>
        <w:t>œuvre d</w:t>
      </w:r>
      <w:r w:rsidR="00AA5429">
        <w:rPr>
          <w:lang w:val="fr-FR"/>
        </w:rPr>
        <w:t>’</w:t>
      </w:r>
      <w:r w:rsidR="00996EBA">
        <w:rPr>
          <w:lang w:val="fr-FR"/>
        </w:rPr>
        <w:t>origine demeure requise</w:t>
      </w:r>
      <w:r w:rsidR="00FA78C8" w:rsidRPr="00821360">
        <w:rPr>
          <w:rStyle w:val="FootnoteReference"/>
          <w:lang w:val="fr-FR"/>
        </w:rPr>
        <w:footnoteReference w:id="5"/>
      </w:r>
      <w:r w:rsidR="00996EBA">
        <w:rPr>
          <w:lang w:val="fr-FR"/>
        </w:rPr>
        <w:t xml:space="preserve">. </w:t>
      </w:r>
      <w:r w:rsidR="00BD5011" w:rsidRPr="00821360">
        <w:rPr>
          <w:lang w:val="fr-FR"/>
        </w:rPr>
        <w:t xml:space="preserve"> </w:t>
      </w:r>
      <w:r w:rsidR="00996EBA">
        <w:rPr>
          <w:lang w:val="fr-FR"/>
        </w:rPr>
        <w:t>En d</w:t>
      </w:r>
      <w:r w:rsidR="00AA5429">
        <w:rPr>
          <w:lang w:val="fr-FR"/>
        </w:rPr>
        <w:t>’</w:t>
      </w:r>
      <w:r w:rsidR="00996EBA">
        <w:rPr>
          <w:lang w:val="fr-FR"/>
        </w:rPr>
        <w:t>autres termes</w:t>
      </w:r>
      <w:r w:rsidR="00AF11E2">
        <w:rPr>
          <w:lang w:val="fr-FR"/>
        </w:rPr>
        <w:t xml:space="preserve">, les délibérations tenues à la Conférence de Stockholm ont eu pour effet de faire de la formulation actuelle </w:t>
      </w:r>
      <w:r w:rsidR="00AF11E2" w:rsidRPr="00AF11E2">
        <w:rPr>
          <w:lang w:val="fr-FR"/>
        </w:rPr>
        <w:t>faisant référence à l</w:t>
      </w:r>
      <w:r w:rsidR="00AA5429">
        <w:rPr>
          <w:lang w:val="fr-FR"/>
        </w:rPr>
        <w:t>’“</w:t>
      </w:r>
      <w:r w:rsidR="00AA5429" w:rsidRPr="00AF11E2">
        <w:rPr>
          <w:lang w:val="fr-FR"/>
        </w:rPr>
        <w:t>u</w:t>
      </w:r>
      <w:r w:rsidR="00AF11E2" w:rsidRPr="00AF11E2">
        <w:rPr>
          <w:lang w:val="fr-FR"/>
        </w:rPr>
        <w:t>tilisatio</w:t>
      </w:r>
      <w:r w:rsidR="00AA5429" w:rsidRPr="00AF11E2">
        <w:rPr>
          <w:lang w:val="fr-FR"/>
        </w:rPr>
        <w:t>n</w:t>
      </w:r>
      <w:r w:rsidR="00AA5429">
        <w:rPr>
          <w:lang w:val="fr-FR"/>
        </w:rPr>
        <w:t>”</w:t>
      </w:r>
      <w:r w:rsidR="00AF11E2" w:rsidRPr="00AF11E2">
        <w:rPr>
          <w:lang w:val="fr-FR"/>
        </w:rPr>
        <w:t xml:space="preserve"> </w:t>
      </w:r>
      <w:r w:rsidR="00AF11E2">
        <w:rPr>
          <w:lang w:val="fr-FR"/>
        </w:rPr>
        <w:t xml:space="preserve">une combinaison de la formulation </w:t>
      </w:r>
      <w:r w:rsidR="00AF11E2" w:rsidRPr="00AF11E2">
        <w:rPr>
          <w:lang w:val="fr-FR"/>
        </w:rPr>
        <w:t xml:space="preserve">dans laquelle il est fait référence à une </w:t>
      </w:r>
      <w:r w:rsidR="00AA5429">
        <w:rPr>
          <w:lang w:val="fr-FR"/>
        </w:rPr>
        <w:t>“</w:t>
      </w:r>
      <w:r w:rsidR="00AA5429" w:rsidRPr="00AF11E2">
        <w:rPr>
          <w:lang w:val="fr-FR"/>
        </w:rPr>
        <w:t>a</w:t>
      </w:r>
      <w:r w:rsidR="00AF11E2" w:rsidRPr="00AF11E2">
        <w:rPr>
          <w:lang w:val="fr-FR"/>
        </w:rPr>
        <w:t>daptation ou traductio</w:t>
      </w:r>
      <w:r w:rsidR="00AA5429" w:rsidRPr="00AF11E2">
        <w:rPr>
          <w:lang w:val="fr-FR"/>
        </w:rPr>
        <w:t>n</w:t>
      </w:r>
      <w:r w:rsidR="00AA5429">
        <w:rPr>
          <w:lang w:val="fr-FR"/>
        </w:rPr>
        <w:t>”</w:t>
      </w:r>
      <w:r w:rsidR="00AF11E2">
        <w:rPr>
          <w:lang w:val="fr-FR"/>
        </w:rPr>
        <w:t xml:space="preserve"> </w:t>
      </w:r>
      <w:r w:rsidR="00AF11E2" w:rsidRPr="00AF11E2">
        <w:rPr>
          <w:i/>
          <w:lang w:val="fr-FR"/>
        </w:rPr>
        <w:t>et</w:t>
      </w:r>
      <w:r w:rsidR="00AF11E2">
        <w:rPr>
          <w:lang w:val="fr-FR"/>
        </w:rPr>
        <w:t xml:space="preserve"> de la formulation dans laquelle l</w:t>
      </w:r>
      <w:r w:rsidR="00AA5429">
        <w:rPr>
          <w:lang w:val="fr-FR"/>
        </w:rPr>
        <w:t>’“œ</w:t>
      </w:r>
      <w:r w:rsidR="00AF11E2">
        <w:rPr>
          <w:lang w:val="fr-FR"/>
        </w:rPr>
        <w:t>uvre d</w:t>
      </w:r>
      <w:r w:rsidR="00AA5429">
        <w:rPr>
          <w:lang w:val="fr-FR"/>
        </w:rPr>
        <w:t>’</w:t>
      </w:r>
      <w:r w:rsidR="00AF11E2">
        <w:rPr>
          <w:lang w:val="fr-FR"/>
        </w:rPr>
        <w:t>origin</w:t>
      </w:r>
      <w:r w:rsidR="00AA5429">
        <w:rPr>
          <w:lang w:val="fr-FR"/>
        </w:rPr>
        <w:t>e”</w:t>
      </w:r>
      <w:r w:rsidR="00AF11E2" w:rsidRPr="00821360">
        <w:rPr>
          <w:lang w:val="fr-FR"/>
        </w:rPr>
        <w:t xml:space="preserve"> </w:t>
      </w:r>
      <w:r w:rsidR="00AF11E2">
        <w:rPr>
          <w:lang w:val="fr-FR"/>
        </w:rPr>
        <w:t>est mentionnée</w:t>
      </w:r>
      <w:r w:rsidR="00CC634E" w:rsidRPr="00821360">
        <w:rPr>
          <w:lang w:val="fr-FR"/>
        </w:rPr>
        <w:t>.</w:t>
      </w:r>
    </w:p>
    <w:p w14:paraId="348175FE" w14:textId="02611043" w:rsidR="00AA5429" w:rsidRDefault="00AF11E2" w:rsidP="00D52B7A">
      <w:pPr>
        <w:rPr>
          <w:lang w:val="fr-FR"/>
        </w:rPr>
      </w:pPr>
      <w:r>
        <w:rPr>
          <w:lang w:val="fr-FR"/>
        </w:rPr>
        <w:t>C</w:t>
      </w:r>
      <w:r w:rsidR="00AA5429">
        <w:rPr>
          <w:lang w:val="fr-FR"/>
        </w:rPr>
        <w:t>’</w:t>
      </w:r>
      <w:r>
        <w:rPr>
          <w:lang w:val="fr-FR"/>
        </w:rPr>
        <w:t>est pourquoi il est nécessaire d</w:t>
      </w:r>
      <w:r w:rsidR="00AA5429">
        <w:rPr>
          <w:lang w:val="fr-FR"/>
        </w:rPr>
        <w:t>’</w:t>
      </w:r>
      <w:r>
        <w:rPr>
          <w:lang w:val="fr-FR"/>
        </w:rPr>
        <w:t xml:space="preserve">examiner </w:t>
      </w:r>
      <w:r w:rsidR="00123DAA">
        <w:rPr>
          <w:lang w:val="fr-FR"/>
        </w:rPr>
        <w:t xml:space="preserve">minutieusement la </w:t>
      </w:r>
      <w:r w:rsidR="00123DAA" w:rsidRPr="00123DAA">
        <w:rPr>
          <w:lang w:val="fr-FR"/>
        </w:rPr>
        <w:t>formulation faisant référence à l</w:t>
      </w:r>
      <w:r w:rsidR="00AA5429">
        <w:rPr>
          <w:lang w:val="fr-FR"/>
        </w:rPr>
        <w:t>’“</w:t>
      </w:r>
      <w:r w:rsidR="00AA5429" w:rsidRPr="00123DAA">
        <w:rPr>
          <w:lang w:val="fr-FR"/>
        </w:rPr>
        <w:t>u</w:t>
      </w:r>
      <w:r w:rsidR="00123DAA" w:rsidRPr="00123DAA">
        <w:rPr>
          <w:lang w:val="fr-FR"/>
        </w:rPr>
        <w:t>tilisatio</w:t>
      </w:r>
      <w:r w:rsidR="00AA5429" w:rsidRPr="00123DAA">
        <w:rPr>
          <w:lang w:val="fr-FR"/>
        </w:rPr>
        <w:t>n</w:t>
      </w:r>
      <w:r w:rsidR="00AA5429">
        <w:rPr>
          <w:lang w:val="fr-FR"/>
        </w:rPr>
        <w:t>”</w:t>
      </w:r>
      <w:r w:rsidR="00080B8B" w:rsidRPr="00821360">
        <w:rPr>
          <w:lang w:val="fr-FR"/>
        </w:rPr>
        <w:t xml:space="preserve">. </w:t>
      </w:r>
      <w:r w:rsidR="00123DAA">
        <w:rPr>
          <w:lang w:val="fr-FR"/>
        </w:rPr>
        <w:t xml:space="preserve"> Comme indiqué dans le tableau </w:t>
      </w:r>
      <w:r w:rsidR="009A5A08">
        <w:rPr>
          <w:lang w:val="fr-FR"/>
        </w:rPr>
        <w:t>1</w:t>
      </w:r>
      <w:bookmarkStart w:id="0" w:name="_GoBack"/>
      <w:bookmarkEnd w:id="0"/>
      <w:r w:rsidR="008642B2" w:rsidRPr="00821360">
        <w:rPr>
          <w:lang w:val="fr-FR"/>
        </w:rPr>
        <w:t xml:space="preserve">, </w:t>
      </w:r>
      <w:r w:rsidR="00123DAA">
        <w:rPr>
          <w:lang w:val="fr-FR"/>
        </w:rPr>
        <w:t>le recours à cette formulation dans les dispositions prédomine, eu égard en particulier aux reproductions à des fins de recherche ou d</w:t>
      </w:r>
      <w:r w:rsidR="00AA5429">
        <w:rPr>
          <w:lang w:val="fr-FR"/>
        </w:rPr>
        <w:t>’</w:t>
      </w:r>
      <w:r w:rsidR="00123DAA">
        <w:rPr>
          <w:lang w:val="fr-FR"/>
        </w:rPr>
        <w:t>enseignement (</w:t>
      </w:r>
      <w:r w:rsidR="00740155" w:rsidRPr="00821360">
        <w:rPr>
          <w:lang w:val="fr-FR"/>
        </w:rPr>
        <w:t>69</w:t>
      </w:r>
      <w:r w:rsidR="00346553" w:rsidRPr="00821360">
        <w:rPr>
          <w:lang w:val="fr-FR"/>
        </w:rPr>
        <w:t xml:space="preserve"> </w:t>
      </w:r>
      <w:r w:rsidR="00123DAA">
        <w:rPr>
          <w:lang w:val="fr-FR"/>
        </w:rPr>
        <w:t xml:space="preserve">dispositions, </w:t>
      </w:r>
      <w:r w:rsidR="00B812C2">
        <w:rPr>
          <w:lang w:val="fr-FR"/>
        </w:rPr>
        <w:t>59 États membres)</w:t>
      </w:r>
      <w:r w:rsidR="00346553" w:rsidRPr="00821360">
        <w:rPr>
          <w:lang w:val="fr-FR"/>
        </w:rPr>
        <w:t xml:space="preserve"> </w:t>
      </w:r>
      <w:r w:rsidR="00B812C2">
        <w:rPr>
          <w:lang w:val="fr-FR"/>
        </w:rPr>
        <w:t xml:space="preserve">et aux </w:t>
      </w:r>
      <w:r w:rsidR="00B812C2" w:rsidRPr="00B812C2">
        <w:rPr>
          <w:lang w:val="fr-FR"/>
        </w:rPr>
        <w:t>émissions radiodiffusées</w:t>
      </w:r>
      <w:r w:rsidR="00B812C2">
        <w:rPr>
          <w:lang w:val="fr-FR"/>
        </w:rPr>
        <w:t xml:space="preserve"> et </w:t>
      </w:r>
      <w:r w:rsidR="00B812C2" w:rsidRPr="00B812C2">
        <w:rPr>
          <w:lang w:val="fr-FR"/>
        </w:rPr>
        <w:t xml:space="preserve">communications à titre pédagogique </w:t>
      </w:r>
      <w:r w:rsidR="00346553" w:rsidRPr="00821360">
        <w:rPr>
          <w:lang w:val="fr-FR"/>
        </w:rPr>
        <w:t>(7</w:t>
      </w:r>
      <w:r w:rsidR="00740155" w:rsidRPr="00821360">
        <w:rPr>
          <w:lang w:val="fr-FR"/>
        </w:rPr>
        <w:t>7</w:t>
      </w:r>
      <w:r w:rsidR="00346553" w:rsidRPr="00821360">
        <w:rPr>
          <w:lang w:val="fr-FR"/>
        </w:rPr>
        <w:t xml:space="preserve"> </w:t>
      </w:r>
      <w:r w:rsidR="00B812C2">
        <w:rPr>
          <w:lang w:val="fr-FR"/>
        </w:rPr>
        <w:t>dispositions</w:t>
      </w:r>
      <w:r w:rsidR="00346553" w:rsidRPr="00821360">
        <w:rPr>
          <w:lang w:val="fr-FR"/>
        </w:rPr>
        <w:t>, 6</w:t>
      </w:r>
      <w:r w:rsidR="00740155" w:rsidRPr="00821360">
        <w:rPr>
          <w:lang w:val="fr-FR"/>
        </w:rPr>
        <w:t>2</w:t>
      </w:r>
      <w:r w:rsidR="00B812C2">
        <w:rPr>
          <w:lang w:val="fr-FR"/>
        </w:rPr>
        <w:t> États membr</w:t>
      </w:r>
      <w:r w:rsidR="00D07A5F">
        <w:rPr>
          <w:lang w:val="fr-FR"/>
        </w:rPr>
        <w:t>es</w:t>
      </w:r>
      <w:r w:rsidR="00D07A5F" w:rsidRPr="00821360">
        <w:rPr>
          <w:lang w:val="fr-FR"/>
        </w:rPr>
        <w:t>)</w:t>
      </w:r>
      <w:r w:rsidR="00D07A5F">
        <w:rPr>
          <w:lang w:val="fr-FR"/>
        </w:rPr>
        <w:t>.  Ce</w:t>
      </w:r>
      <w:r w:rsidR="00B812C2">
        <w:rPr>
          <w:lang w:val="fr-FR"/>
        </w:rPr>
        <w:t xml:space="preserve">la ne surprend guère, cette formulation étant directement </w:t>
      </w:r>
      <w:r w:rsidR="000E310E">
        <w:rPr>
          <w:lang w:val="fr-FR"/>
        </w:rPr>
        <w:t>inspirée du libellé de l</w:t>
      </w:r>
      <w:r w:rsidR="00AA5429">
        <w:rPr>
          <w:lang w:val="fr-FR"/>
        </w:rPr>
        <w:t>’</w:t>
      </w:r>
      <w:r w:rsidR="000E310E">
        <w:rPr>
          <w:lang w:val="fr-FR"/>
        </w:rPr>
        <w:t>article</w:t>
      </w:r>
      <w:r w:rsidR="001D1AD8">
        <w:rPr>
          <w:lang w:val="fr-FR"/>
        </w:rPr>
        <w:t> </w:t>
      </w:r>
      <w:r w:rsidR="005336AC" w:rsidRPr="00821360">
        <w:rPr>
          <w:lang w:val="fr-FR"/>
        </w:rPr>
        <w:t>10</w:t>
      </w:r>
      <w:r w:rsidR="001D1AD8">
        <w:rPr>
          <w:lang w:val="fr-FR"/>
        </w:rPr>
        <w:t>.</w:t>
      </w:r>
      <w:r w:rsidR="005336AC" w:rsidRPr="00821360">
        <w:rPr>
          <w:lang w:val="fr-FR"/>
        </w:rPr>
        <w:t>2).</w:t>
      </w:r>
      <w:r w:rsidR="001D1AD8">
        <w:rPr>
          <w:lang w:val="fr-FR"/>
        </w:rPr>
        <w:t xml:space="preserve"> </w:t>
      </w:r>
      <w:r w:rsidR="005336AC" w:rsidRPr="00821360">
        <w:rPr>
          <w:lang w:val="fr-FR"/>
        </w:rPr>
        <w:t xml:space="preserve"> </w:t>
      </w:r>
      <w:r w:rsidR="001D1AD8">
        <w:rPr>
          <w:lang w:val="fr-FR"/>
        </w:rPr>
        <w:t>Un grand nombre d</w:t>
      </w:r>
      <w:r w:rsidR="00AA5429">
        <w:rPr>
          <w:lang w:val="fr-FR"/>
        </w:rPr>
        <w:t>’</w:t>
      </w:r>
      <w:r w:rsidR="001D1AD8">
        <w:rPr>
          <w:lang w:val="fr-FR"/>
        </w:rPr>
        <w:t>États membres suivent de près cette formulation dans leur législati</w:t>
      </w:r>
      <w:r w:rsidR="00D07A5F">
        <w:rPr>
          <w:lang w:val="fr-FR"/>
        </w:rPr>
        <w:t>on.  D’a</w:t>
      </w:r>
      <w:r w:rsidR="00647D28">
        <w:rPr>
          <w:lang w:val="fr-FR"/>
        </w:rPr>
        <w:t>utres</w:t>
      </w:r>
      <w:r w:rsidR="001D1AD8">
        <w:rPr>
          <w:lang w:val="fr-FR"/>
        </w:rPr>
        <w:t xml:space="preserve"> adaptent</w:t>
      </w:r>
      <w:r w:rsidR="001C2715">
        <w:rPr>
          <w:lang w:val="fr-FR"/>
        </w:rPr>
        <w:t xml:space="preserve"> dans leurs dispositions</w:t>
      </w:r>
      <w:r w:rsidR="001D1AD8">
        <w:rPr>
          <w:lang w:val="fr-FR"/>
        </w:rPr>
        <w:t xml:space="preserve"> la formulation faisant référence à l</w:t>
      </w:r>
      <w:r w:rsidR="00AA5429">
        <w:rPr>
          <w:lang w:val="fr-FR"/>
        </w:rPr>
        <w:t>’</w:t>
      </w:r>
      <w:r w:rsidR="001D1AD8">
        <w:rPr>
          <w:lang w:val="fr-FR"/>
        </w:rPr>
        <w:t xml:space="preserve">“utilisation” </w:t>
      </w:r>
      <w:r w:rsidR="005473DD">
        <w:rPr>
          <w:lang w:val="fr-FR"/>
        </w:rPr>
        <w:t xml:space="preserve">figurant </w:t>
      </w:r>
      <w:r w:rsidR="001D1AD8">
        <w:rPr>
          <w:lang w:val="fr-FR"/>
        </w:rPr>
        <w:t>à l</w:t>
      </w:r>
      <w:r w:rsidR="00AA5429">
        <w:rPr>
          <w:lang w:val="fr-FR"/>
        </w:rPr>
        <w:t>’</w:t>
      </w:r>
      <w:r w:rsidR="001D1AD8">
        <w:rPr>
          <w:lang w:val="fr-FR"/>
        </w:rPr>
        <w:t>article </w:t>
      </w:r>
      <w:r w:rsidR="00EF3C70" w:rsidRPr="00821360">
        <w:rPr>
          <w:lang w:val="fr-FR"/>
        </w:rPr>
        <w:t>10</w:t>
      </w:r>
      <w:r w:rsidR="001D1AD8">
        <w:rPr>
          <w:lang w:val="fr-FR"/>
        </w:rPr>
        <w:t>.</w:t>
      </w:r>
      <w:r w:rsidR="00EF3C70" w:rsidRPr="00821360">
        <w:rPr>
          <w:lang w:val="fr-FR"/>
        </w:rPr>
        <w:t>2)</w:t>
      </w:r>
      <w:r w:rsidR="005473DD">
        <w:rPr>
          <w:lang w:val="fr-FR"/>
        </w:rPr>
        <w:t>.</w:t>
      </w:r>
    </w:p>
    <w:p w14:paraId="4CC1FA10" w14:textId="4A736ABC" w:rsidR="00AA5429" w:rsidRDefault="005473DD" w:rsidP="00D52B7A">
      <w:pPr>
        <w:rPr>
          <w:lang w:val="fr-FR"/>
        </w:rPr>
      </w:pPr>
      <w:r>
        <w:rPr>
          <w:lang w:val="fr-FR"/>
        </w:rPr>
        <w:t xml:space="preserve">Certains États membres </w:t>
      </w:r>
      <w:r w:rsidR="00606345">
        <w:rPr>
          <w:lang w:val="fr-FR"/>
        </w:rPr>
        <w:t xml:space="preserve">sont allés encore plus loin en combinant la formulation </w:t>
      </w:r>
      <w:r w:rsidR="00606345" w:rsidRPr="00606345">
        <w:rPr>
          <w:lang w:val="fr-FR"/>
        </w:rPr>
        <w:t xml:space="preserve">faisant référence à une </w:t>
      </w:r>
      <w:r w:rsidR="00AA5429">
        <w:rPr>
          <w:lang w:val="fr-FR"/>
        </w:rPr>
        <w:t>“</w:t>
      </w:r>
      <w:r w:rsidR="00AA5429" w:rsidRPr="00606345">
        <w:rPr>
          <w:lang w:val="fr-FR"/>
        </w:rPr>
        <w:t>a</w:t>
      </w:r>
      <w:r w:rsidR="00606345" w:rsidRPr="00606345">
        <w:rPr>
          <w:lang w:val="fr-FR"/>
        </w:rPr>
        <w:t>daptation ou traductio</w:t>
      </w:r>
      <w:r w:rsidR="00AA5429" w:rsidRPr="00606345">
        <w:rPr>
          <w:lang w:val="fr-FR"/>
        </w:rPr>
        <w:t>n</w:t>
      </w:r>
      <w:r w:rsidR="00AA5429">
        <w:rPr>
          <w:lang w:val="fr-FR"/>
        </w:rPr>
        <w:t>”</w:t>
      </w:r>
      <w:r w:rsidR="00606345">
        <w:rPr>
          <w:lang w:val="fr-FR"/>
        </w:rPr>
        <w:t xml:space="preserve"> avec la formulation </w:t>
      </w:r>
      <w:r w:rsidR="00606345" w:rsidRPr="00606345">
        <w:rPr>
          <w:lang w:val="fr-FR"/>
        </w:rPr>
        <w:t>faisant référence à l</w:t>
      </w:r>
      <w:r w:rsidR="00AA5429">
        <w:rPr>
          <w:lang w:val="fr-FR"/>
        </w:rPr>
        <w:t>’“</w:t>
      </w:r>
      <w:r w:rsidR="00AA5429" w:rsidRPr="00606345">
        <w:rPr>
          <w:lang w:val="fr-FR"/>
        </w:rPr>
        <w:t>u</w:t>
      </w:r>
      <w:r w:rsidR="00606345" w:rsidRPr="00606345">
        <w:rPr>
          <w:lang w:val="fr-FR"/>
        </w:rPr>
        <w:t>tilisatio</w:t>
      </w:r>
      <w:r w:rsidR="00AA5429" w:rsidRPr="00606345">
        <w:rPr>
          <w:lang w:val="fr-FR"/>
        </w:rPr>
        <w:t>n</w:t>
      </w:r>
      <w:r w:rsidR="00AA5429">
        <w:rPr>
          <w:lang w:val="fr-FR"/>
        </w:rPr>
        <w:t>”</w:t>
      </w:r>
      <w:r w:rsidR="00562A79" w:rsidRPr="00821360">
        <w:rPr>
          <w:lang w:val="fr-FR"/>
        </w:rPr>
        <w:t>, o</w:t>
      </w:r>
      <w:r w:rsidR="00606345">
        <w:rPr>
          <w:lang w:val="fr-FR"/>
        </w:rPr>
        <w:t xml:space="preserve">u la formulation </w:t>
      </w:r>
      <w:r w:rsidR="00606345" w:rsidRPr="00606345">
        <w:rPr>
          <w:lang w:val="fr-FR"/>
        </w:rPr>
        <w:lastRenderedPageBreak/>
        <w:t>dans laquelle l</w:t>
      </w:r>
      <w:r w:rsidR="00AA5429">
        <w:rPr>
          <w:lang w:val="fr-FR"/>
        </w:rPr>
        <w:t>’“</w:t>
      </w:r>
      <w:r w:rsidR="00AA5429" w:rsidRPr="00606345">
        <w:rPr>
          <w:lang w:val="fr-FR"/>
        </w:rPr>
        <w:t>œ</w:t>
      </w:r>
      <w:r w:rsidR="00606345" w:rsidRPr="00606345">
        <w:rPr>
          <w:lang w:val="fr-FR"/>
        </w:rPr>
        <w:t>uvre d</w:t>
      </w:r>
      <w:r w:rsidR="00AA5429">
        <w:rPr>
          <w:lang w:val="fr-FR"/>
        </w:rPr>
        <w:t>’</w:t>
      </w:r>
      <w:r w:rsidR="00606345" w:rsidRPr="00606345">
        <w:rPr>
          <w:lang w:val="fr-FR"/>
        </w:rPr>
        <w:t>origin</w:t>
      </w:r>
      <w:r w:rsidR="00AA5429" w:rsidRPr="00606345">
        <w:rPr>
          <w:lang w:val="fr-FR"/>
        </w:rPr>
        <w:t>e</w:t>
      </w:r>
      <w:r w:rsidR="00AA5429">
        <w:rPr>
          <w:lang w:val="fr-FR"/>
        </w:rPr>
        <w:t>”</w:t>
      </w:r>
      <w:r w:rsidR="00606345" w:rsidRPr="00606345">
        <w:rPr>
          <w:lang w:val="fr-FR"/>
        </w:rPr>
        <w:t xml:space="preserve"> est mentionnée </w:t>
      </w:r>
      <w:r w:rsidR="00606345">
        <w:rPr>
          <w:lang w:val="fr-FR"/>
        </w:rPr>
        <w:t xml:space="preserve">avec la formulation </w:t>
      </w:r>
      <w:r w:rsidR="00606345" w:rsidRPr="00606345">
        <w:rPr>
          <w:lang w:val="fr-FR"/>
        </w:rPr>
        <w:t>faisant référence à l</w:t>
      </w:r>
      <w:r w:rsidR="00AA5429">
        <w:rPr>
          <w:lang w:val="fr-FR"/>
        </w:rPr>
        <w:t>’“</w:t>
      </w:r>
      <w:r w:rsidR="00AA5429" w:rsidRPr="00606345">
        <w:rPr>
          <w:lang w:val="fr-FR"/>
        </w:rPr>
        <w:t>u</w:t>
      </w:r>
      <w:r w:rsidR="00606345" w:rsidRPr="00606345">
        <w:rPr>
          <w:lang w:val="fr-FR"/>
        </w:rPr>
        <w:t>tilisatio</w:t>
      </w:r>
      <w:r w:rsidR="00AA5429" w:rsidRPr="00606345">
        <w:rPr>
          <w:lang w:val="fr-FR"/>
        </w:rPr>
        <w:t>n</w:t>
      </w:r>
      <w:r w:rsidR="00AA5429">
        <w:rPr>
          <w:lang w:val="fr-FR"/>
        </w:rPr>
        <w:t>”</w:t>
      </w:r>
      <w:r w:rsidR="00606345" w:rsidRPr="00606345">
        <w:rPr>
          <w:lang w:val="fr-FR"/>
        </w:rPr>
        <w:t xml:space="preserve"> </w:t>
      </w:r>
      <w:r w:rsidR="00D52B7A">
        <w:rPr>
          <w:lang w:val="fr-FR"/>
        </w:rPr>
        <w:t>(24 </w:t>
      </w:r>
      <w:r w:rsidR="00606345">
        <w:rPr>
          <w:lang w:val="fr-FR"/>
        </w:rPr>
        <w:t>dispositions</w:t>
      </w:r>
      <w:r w:rsidR="00424BD5" w:rsidRPr="00821360">
        <w:rPr>
          <w:lang w:val="fr-FR"/>
        </w:rPr>
        <w:t>, 10</w:t>
      </w:r>
      <w:r w:rsidR="00563294">
        <w:rPr>
          <w:lang w:val="fr-FR"/>
        </w:rPr>
        <w:t> É</w:t>
      </w:r>
      <w:r w:rsidR="00606345">
        <w:rPr>
          <w:lang w:val="fr-FR"/>
        </w:rPr>
        <w:t xml:space="preserve">tats </w:t>
      </w:r>
      <w:r w:rsidR="00424BD5" w:rsidRPr="00821360">
        <w:rPr>
          <w:lang w:val="fr-FR"/>
        </w:rPr>
        <w:t>membres).</w:t>
      </w:r>
    </w:p>
    <w:p w14:paraId="1EF0FBA5" w14:textId="57227036" w:rsidR="00AA5429" w:rsidRDefault="00606345" w:rsidP="00D52B7A">
      <w:pPr>
        <w:rPr>
          <w:lang w:val="fr-FR"/>
        </w:rPr>
      </w:pPr>
      <w:r>
        <w:rPr>
          <w:lang w:val="fr-FR"/>
        </w:rPr>
        <w:t xml:space="preserve">Ainsi, la formulation </w:t>
      </w:r>
      <w:r w:rsidRPr="00606345">
        <w:rPr>
          <w:lang w:val="fr-FR"/>
        </w:rPr>
        <w:t>faisant référence à l</w:t>
      </w:r>
      <w:r w:rsidR="00AA5429">
        <w:rPr>
          <w:lang w:val="fr-FR"/>
        </w:rPr>
        <w:t>’“</w:t>
      </w:r>
      <w:r w:rsidR="00AA5429" w:rsidRPr="00606345">
        <w:rPr>
          <w:lang w:val="fr-FR"/>
        </w:rPr>
        <w:t>u</w:t>
      </w:r>
      <w:r w:rsidRPr="00606345">
        <w:rPr>
          <w:lang w:val="fr-FR"/>
        </w:rPr>
        <w:t>tilisatio</w:t>
      </w:r>
      <w:r w:rsidR="00AA5429" w:rsidRPr="00606345">
        <w:rPr>
          <w:lang w:val="fr-FR"/>
        </w:rPr>
        <w:t>n</w:t>
      </w:r>
      <w:r w:rsidR="00AA5429">
        <w:rPr>
          <w:lang w:val="fr-FR"/>
        </w:rPr>
        <w:t>”</w:t>
      </w:r>
      <w:r w:rsidRPr="00606345">
        <w:rPr>
          <w:lang w:val="fr-FR"/>
        </w:rPr>
        <w:t xml:space="preserve"> </w:t>
      </w:r>
      <w:r>
        <w:rPr>
          <w:lang w:val="fr-FR"/>
        </w:rPr>
        <w:t xml:space="preserve">a été appliquée aux dispositions </w:t>
      </w:r>
      <w:r w:rsidR="00DF0173">
        <w:rPr>
          <w:lang w:val="fr-FR"/>
        </w:rPr>
        <w:t>relatives à l</w:t>
      </w:r>
      <w:r w:rsidR="00AA5429">
        <w:rPr>
          <w:lang w:val="fr-FR"/>
        </w:rPr>
        <w:t>’</w:t>
      </w:r>
      <w:r w:rsidR="00DF0173">
        <w:rPr>
          <w:lang w:val="fr-FR"/>
        </w:rPr>
        <w:t>u</w:t>
      </w:r>
      <w:r w:rsidR="00242E3E">
        <w:rPr>
          <w:lang w:val="fr-FR"/>
        </w:rPr>
        <w:t xml:space="preserve">tilisation à des fins </w:t>
      </w:r>
      <w:r w:rsidR="00DF0173">
        <w:rPr>
          <w:lang w:val="fr-FR"/>
        </w:rPr>
        <w:t>privé</w:t>
      </w:r>
      <w:r w:rsidR="00242E3E">
        <w:rPr>
          <w:lang w:val="fr-FR"/>
        </w:rPr>
        <w:t>es ou personnelles</w:t>
      </w:r>
      <w:r w:rsidR="00DF0173">
        <w:rPr>
          <w:lang w:val="fr-FR"/>
        </w:rPr>
        <w:t xml:space="preserve"> </w:t>
      </w:r>
      <w:r w:rsidR="00787836" w:rsidRPr="00821360">
        <w:rPr>
          <w:lang w:val="fr-FR"/>
        </w:rPr>
        <w:t xml:space="preserve">(44 </w:t>
      </w:r>
      <w:r w:rsidR="00DF0173">
        <w:rPr>
          <w:lang w:val="fr-FR"/>
        </w:rPr>
        <w:t>dispositions, 42 États membres</w:t>
      </w:r>
      <w:r w:rsidR="00787836" w:rsidRPr="00821360">
        <w:rPr>
          <w:lang w:val="fr-FR"/>
        </w:rPr>
        <w:t>)</w:t>
      </w:r>
      <w:r w:rsidR="00E05560" w:rsidRPr="00821360">
        <w:rPr>
          <w:lang w:val="fr-FR"/>
        </w:rPr>
        <w:t xml:space="preserve">, </w:t>
      </w:r>
      <w:r w:rsidR="00DF0173">
        <w:rPr>
          <w:lang w:val="fr-FR"/>
        </w:rPr>
        <w:t>aux dispositions relatives à la reproduction à des fins d</w:t>
      </w:r>
      <w:r w:rsidR="00AA5429">
        <w:rPr>
          <w:lang w:val="fr-FR"/>
        </w:rPr>
        <w:t>’</w:t>
      </w:r>
      <w:r w:rsidR="00DF0173">
        <w:rPr>
          <w:lang w:val="fr-FR"/>
        </w:rPr>
        <w:t>enseignement</w:t>
      </w:r>
      <w:r w:rsidR="00E05560" w:rsidRPr="00821360">
        <w:rPr>
          <w:lang w:val="fr-FR"/>
        </w:rPr>
        <w:t xml:space="preserve"> (6</w:t>
      </w:r>
      <w:r w:rsidR="00276663" w:rsidRPr="00821360">
        <w:rPr>
          <w:lang w:val="fr-FR"/>
        </w:rPr>
        <w:t>9</w:t>
      </w:r>
      <w:r w:rsidR="00E05560" w:rsidRPr="00821360">
        <w:rPr>
          <w:lang w:val="fr-FR"/>
        </w:rPr>
        <w:t xml:space="preserve"> </w:t>
      </w:r>
      <w:r w:rsidR="00DF0173">
        <w:rPr>
          <w:lang w:val="fr-FR"/>
        </w:rPr>
        <w:t>dispositions</w:t>
      </w:r>
      <w:r w:rsidR="00E05560" w:rsidRPr="00821360">
        <w:rPr>
          <w:lang w:val="fr-FR"/>
        </w:rPr>
        <w:t>, 5</w:t>
      </w:r>
      <w:r w:rsidR="00276663" w:rsidRPr="00821360">
        <w:rPr>
          <w:lang w:val="fr-FR"/>
        </w:rPr>
        <w:t>9</w:t>
      </w:r>
      <w:r w:rsidR="00563294">
        <w:rPr>
          <w:lang w:val="fr-FR"/>
        </w:rPr>
        <w:t> É</w:t>
      </w:r>
      <w:r w:rsidR="00DF0173">
        <w:rPr>
          <w:lang w:val="fr-FR"/>
        </w:rPr>
        <w:t xml:space="preserve">tats membres) et aux dispositions relatives aux </w:t>
      </w:r>
      <w:r w:rsidR="00DF0173" w:rsidRPr="00DF0173">
        <w:rPr>
          <w:lang w:val="fr-FR"/>
        </w:rPr>
        <w:t xml:space="preserve">émissions radiodiffusées, </w:t>
      </w:r>
      <w:r w:rsidR="00DF0173">
        <w:rPr>
          <w:lang w:val="fr-FR"/>
        </w:rPr>
        <w:t>aux communications et aux</w:t>
      </w:r>
      <w:r w:rsidR="00DF0173" w:rsidRPr="00DF0173">
        <w:rPr>
          <w:lang w:val="fr-FR"/>
        </w:rPr>
        <w:t xml:space="preserve"> enre</w:t>
      </w:r>
      <w:r w:rsidR="00DF0173">
        <w:rPr>
          <w:lang w:val="fr-FR"/>
        </w:rPr>
        <w:t>gistrements à titre pédagogique</w:t>
      </w:r>
      <w:r w:rsidR="00DF0173" w:rsidRPr="00DF0173">
        <w:rPr>
          <w:lang w:val="fr-FR"/>
        </w:rPr>
        <w:t xml:space="preserve"> </w:t>
      </w:r>
      <w:r w:rsidR="00E05560" w:rsidRPr="00821360">
        <w:rPr>
          <w:lang w:val="fr-FR"/>
        </w:rPr>
        <w:t>(7</w:t>
      </w:r>
      <w:r w:rsidR="00276663" w:rsidRPr="00821360">
        <w:rPr>
          <w:lang w:val="fr-FR"/>
        </w:rPr>
        <w:t>7</w:t>
      </w:r>
      <w:r w:rsidR="00E05560" w:rsidRPr="00821360">
        <w:rPr>
          <w:lang w:val="fr-FR"/>
        </w:rPr>
        <w:t xml:space="preserve"> </w:t>
      </w:r>
      <w:r w:rsidR="00DF0173">
        <w:rPr>
          <w:lang w:val="fr-FR"/>
        </w:rPr>
        <w:t>dispositions</w:t>
      </w:r>
      <w:r w:rsidR="00E05560" w:rsidRPr="00821360">
        <w:rPr>
          <w:lang w:val="fr-FR"/>
        </w:rPr>
        <w:t>, 6</w:t>
      </w:r>
      <w:r w:rsidR="00276663" w:rsidRPr="00821360">
        <w:rPr>
          <w:lang w:val="fr-FR"/>
        </w:rPr>
        <w:t>2</w:t>
      </w:r>
      <w:r w:rsidR="00563294">
        <w:rPr>
          <w:lang w:val="fr-FR"/>
        </w:rPr>
        <w:t> É</w:t>
      </w:r>
      <w:r w:rsidR="00DF0173">
        <w:rPr>
          <w:lang w:val="fr-FR"/>
        </w:rPr>
        <w:t>tats membres)</w:t>
      </w:r>
      <w:r w:rsidR="00746E45" w:rsidRPr="00821360">
        <w:rPr>
          <w:lang w:val="fr-FR"/>
        </w:rPr>
        <w:t>.</w:t>
      </w:r>
    </w:p>
    <w:p w14:paraId="7C6C7D42" w14:textId="20E65A86" w:rsidR="00746E45" w:rsidRPr="00821360" w:rsidRDefault="00DF0173" w:rsidP="00D52B7A">
      <w:pPr>
        <w:rPr>
          <w:lang w:val="fr-FR"/>
        </w:rPr>
      </w:pPr>
      <w:r>
        <w:rPr>
          <w:lang w:val="fr-FR"/>
        </w:rPr>
        <w:t>En résumé, les États membres de l</w:t>
      </w:r>
      <w:r w:rsidR="00AA5429">
        <w:rPr>
          <w:lang w:val="fr-FR"/>
        </w:rPr>
        <w:t>’</w:t>
      </w:r>
      <w:r>
        <w:rPr>
          <w:lang w:val="fr-FR"/>
        </w:rPr>
        <w:t xml:space="preserve">OMPI ont largement mis en œuvre </w:t>
      </w:r>
      <w:r w:rsidR="00497DA4">
        <w:rPr>
          <w:lang w:val="fr-FR"/>
        </w:rPr>
        <w:t xml:space="preserve">des </w:t>
      </w:r>
      <w:r w:rsidR="002F78A8">
        <w:rPr>
          <w:lang w:val="fr-FR"/>
        </w:rPr>
        <w:t>dispositions</w:t>
      </w:r>
      <w:r w:rsidR="00497DA4">
        <w:rPr>
          <w:lang w:val="fr-FR"/>
        </w:rPr>
        <w:t xml:space="preserve"> en vue de permettre la réalisation d</w:t>
      </w:r>
      <w:r w:rsidR="00AA5429">
        <w:rPr>
          <w:lang w:val="fr-FR"/>
        </w:rPr>
        <w:t>’</w:t>
      </w:r>
      <w:r w:rsidR="00497DA4">
        <w:rPr>
          <w:lang w:val="fr-FR"/>
        </w:rPr>
        <w:t>adaptations ou de traductions des œuvres, ainsi que leur utilisation lorsque les œuvres en question sont elles</w:t>
      </w:r>
      <w:r w:rsidR="00D52B7A">
        <w:rPr>
          <w:lang w:val="fr-FR"/>
        </w:rPr>
        <w:noBreakHyphen/>
      </w:r>
      <w:r w:rsidR="00497DA4">
        <w:rPr>
          <w:lang w:val="fr-FR"/>
        </w:rPr>
        <w:t>mêmes des adaptations ou des traductions</w:t>
      </w:r>
      <w:r w:rsidR="00A454E4" w:rsidRPr="00821360">
        <w:rPr>
          <w:lang w:val="fr-FR"/>
        </w:rPr>
        <w:t xml:space="preserve">, </w:t>
      </w:r>
      <w:r w:rsidR="00497DA4">
        <w:rPr>
          <w:lang w:val="fr-FR"/>
        </w:rPr>
        <w:t>dans une perspective pédagogique</w:t>
      </w:r>
      <w:r w:rsidR="00746E45" w:rsidRPr="00821360">
        <w:rPr>
          <w:lang w:val="fr-FR"/>
        </w:rPr>
        <w:t>.</w:t>
      </w:r>
    </w:p>
    <w:p w14:paraId="34C646E0" w14:textId="2255FED8" w:rsidR="00AA5429" w:rsidRDefault="00746E45" w:rsidP="00D52B7A">
      <w:pPr>
        <w:pStyle w:val="Heading2"/>
        <w:spacing w:after="160"/>
        <w:ind w:left="1418" w:hanging="698"/>
        <w:rPr>
          <w:lang w:val="fr-FR"/>
        </w:rPr>
      </w:pPr>
      <w:r w:rsidRPr="00821360">
        <w:rPr>
          <w:lang w:val="fr-FR"/>
        </w:rPr>
        <w:t>Limit</w:t>
      </w:r>
      <w:r w:rsidR="00BE7D1A">
        <w:rPr>
          <w:lang w:val="fr-FR"/>
        </w:rPr>
        <w:t>ation de la responsabilité au titre du droit d</w:t>
      </w:r>
      <w:r w:rsidR="00AA5429">
        <w:rPr>
          <w:lang w:val="fr-FR"/>
        </w:rPr>
        <w:t>’</w:t>
      </w:r>
      <w:r w:rsidR="00BE7D1A">
        <w:rPr>
          <w:lang w:val="fr-FR"/>
        </w:rPr>
        <w:t>auteur des établissements d</w:t>
      </w:r>
      <w:r w:rsidR="00AA5429">
        <w:rPr>
          <w:lang w:val="fr-FR"/>
        </w:rPr>
        <w:t>’</w:t>
      </w:r>
      <w:r w:rsidR="00BE7D1A">
        <w:rPr>
          <w:lang w:val="fr-FR"/>
        </w:rPr>
        <w:t>enseignement</w:t>
      </w:r>
    </w:p>
    <w:p w14:paraId="69B909F4" w14:textId="4D72F92B" w:rsidR="00AA5429" w:rsidRDefault="00BE7D1A" w:rsidP="00D52B7A">
      <w:pPr>
        <w:rPr>
          <w:lang w:val="fr-FR"/>
        </w:rPr>
      </w:pPr>
      <w:r>
        <w:rPr>
          <w:lang w:val="fr-FR"/>
        </w:rPr>
        <w:t xml:space="preserve">La question sur laquelle il convient de se pencher </w:t>
      </w:r>
      <w:r w:rsidR="00084035">
        <w:rPr>
          <w:lang w:val="fr-FR"/>
        </w:rPr>
        <w:t>ici concerne les dispositions visant à limiter la responsabilité au titre du droit d</w:t>
      </w:r>
      <w:r w:rsidR="00AA5429">
        <w:rPr>
          <w:lang w:val="fr-FR"/>
        </w:rPr>
        <w:t>’</w:t>
      </w:r>
      <w:r w:rsidR="00084035">
        <w:rPr>
          <w:lang w:val="fr-FR"/>
        </w:rPr>
        <w:t>auteur des établissements d</w:t>
      </w:r>
      <w:r w:rsidR="00AA5429">
        <w:rPr>
          <w:lang w:val="fr-FR"/>
        </w:rPr>
        <w:t>’</w:t>
      </w:r>
      <w:r w:rsidR="00084035">
        <w:rPr>
          <w:lang w:val="fr-FR"/>
        </w:rPr>
        <w:t>enseigneme</w:t>
      </w:r>
      <w:r w:rsidR="00D07A5F">
        <w:rPr>
          <w:lang w:val="fr-FR"/>
        </w:rPr>
        <w:t>nt.  Da</w:t>
      </w:r>
      <w:r w:rsidR="00084035">
        <w:rPr>
          <w:lang w:val="fr-FR"/>
        </w:rPr>
        <w:t>ns un sens, le système de limitations et d</w:t>
      </w:r>
      <w:r w:rsidR="00AA5429">
        <w:rPr>
          <w:lang w:val="fr-FR"/>
        </w:rPr>
        <w:t>’</w:t>
      </w:r>
      <w:r w:rsidR="00084035">
        <w:rPr>
          <w:lang w:val="fr-FR"/>
        </w:rPr>
        <w:t xml:space="preserve">exceptions pour des activités </w:t>
      </w:r>
      <w:r w:rsidR="00084035" w:rsidRPr="00084035">
        <w:rPr>
          <w:i/>
          <w:lang w:val="fr-FR"/>
        </w:rPr>
        <w:t>particulières</w:t>
      </w:r>
      <w:r w:rsidR="00084035">
        <w:rPr>
          <w:lang w:val="fr-FR"/>
        </w:rPr>
        <w:t xml:space="preserve"> qui a été examiné dans la précédente étude est déjà applicable aux fins de la limitation de la responsabilité des établissements d</w:t>
      </w:r>
      <w:r w:rsidR="00AA5429">
        <w:rPr>
          <w:lang w:val="fr-FR"/>
        </w:rPr>
        <w:t>’</w:t>
      </w:r>
      <w:r w:rsidR="00084035">
        <w:rPr>
          <w:lang w:val="fr-FR"/>
        </w:rPr>
        <w:t xml:space="preserve">enseignement, en </w:t>
      </w:r>
      <w:r w:rsidR="00E6057D">
        <w:rPr>
          <w:lang w:val="fr-FR"/>
        </w:rPr>
        <w:t>autorisant les activités pédagogiques</w:t>
      </w:r>
      <w:r w:rsidR="00746E45" w:rsidRPr="00821360">
        <w:rPr>
          <w:lang w:val="fr-FR"/>
        </w:rPr>
        <w:t xml:space="preserve"> </w:t>
      </w:r>
      <w:r w:rsidR="00E6057D">
        <w:rPr>
          <w:lang w:val="fr-FR"/>
        </w:rPr>
        <w:t>qui, autrement, auraient requis l</w:t>
      </w:r>
      <w:r w:rsidR="00AA5429">
        <w:rPr>
          <w:lang w:val="fr-FR"/>
        </w:rPr>
        <w:t>’</w:t>
      </w:r>
      <w:r w:rsidR="00E6057D">
        <w:rPr>
          <w:lang w:val="fr-FR"/>
        </w:rPr>
        <w:t>autorisation du titulaire du droit d</w:t>
      </w:r>
      <w:r w:rsidR="00AA5429">
        <w:rPr>
          <w:lang w:val="fr-FR"/>
        </w:rPr>
        <w:t>’</w:t>
      </w:r>
      <w:r w:rsidR="00E6057D">
        <w:rPr>
          <w:lang w:val="fr-FR"/>
        </w:rPr>
        <w:t>aute</w:t>
      </w:r>
      <w:r w:rsidR="00D07A5F">
        <w:rPr>
          <w:lang w:val="fr-FR"/>
        </w:rPr>
        <w:t>ur.  L’é</w:t>
      </w:r>
      <w:r w:rsidR="00E6057D">
        <w:rPr>
          <w:lang w:val="fr-FR"/>
        </w:rPr>
        <w:t>tude actualisée a pour objectif d</w:t>
      </w:r>
      <w:r w:rsidR="00AA5429">
        <w:rPr>
          <w:lang w:val="fr-FR"/>
        </w:rPr>
        <w:t>’</w:t>
      </w:r>
      <w:r w:rsidR="00E6057D">
        <w:rPr>
          <w:lang w:val="fr-FR"/>
        </w:rPr>
        <w:t>examiner et d</w:t>
      </w:r>
      <w:r w:rsidR="00AA5429">
        <w:rPr>
          <w:lang w:val="fr-FR"/>
        </w:rPr>
        <w:t>’</w:t>
      </w:r>
      <w:r w:rsidR="00E6057D">
        <w:rPr>
          <w:lang w:val="fr-FR"/>
        </w:rPr>
        <w:t xml:space="preserve">analyser les dispositions </w:t>
      </w:r>
      <w:r w:rsidR="008F7ED5">
        <w:rPr>
          <w:lang w:val="fr-FR"/>
        </w:rPr>
        <w:t xml:space="preserve">limitant </w:t>
      </w:r>
      <w:r w:rsidR="008F7ED5" w:rsidRPr="008F7ED5">
        <w:rPr>
          <w:i/>
          <w:lang w:val="fr-FR"/>
        </w:rPr>
        <w:t>généralement</w:t>
      </w:r>
      <w:r w:rsidR="008F7ED5">
        <w:rPr>
          <w:lang w:val="fr-FR"/>
        </w:rPr>
        <w:t xml:space="preserve"> la responsabilité des établissements d</w:t>
      </w:r>
      <w:r w:rsidR="00AA5429">
        <w:rPr>
          <w:lang w:val="fr-FR"/>
        </w:rPr>
        <w:t>’</w:t>
      </w:r>
      <w:r w:rsidR="008F7ED5">
        <w:rPr>
          <w:lang w:val="fr-FR"/>
        </w:rPr>
        <w:t>enseignement</w:t>
      </w:r>
      <w:r w:rsidR="00746E45" w:rsidRPr="00821360">
        <w:rPr>
          <w:rStyle w:val="FootnoteReference"/>
          <w:lang w:val="fr-FR"/>
        </w:rPr>
        <w:footnoteReference w:id="6"/>
      </w:r>
      <w:r w:rsidR="008F7ED5">
        <w:rPr>
          <w:lang w:val="fr-FR"/>
        </w:rPr>
        <w:t>.</w:t>
      </w:r>
      <w:r w:rsidR="00746E45" w:rsidRPr="00821360">
        <w:rPr>
          <w:lang w:val="fr-FR"/>
        </w:rPr>
        <w:t xml:space="preserve"> </w:t>
      </w:r>
      <w:r w:rsidR="00632339">
        <w:rPr>
          <w:lang w:val="fr-FR"/>
        </w:rPr>
        <w:t xml:space="preserve"> Compte tenu de l</w:t>
      </w:r>
      <w:r w:rsidR="00AA5429">
        <w:rPr>
          <w:lang w:val="fr-FR"/>
        </w:rPr>
        <w:t>’</w:t>
      </w:r>
      <w:r w:rsidR="00632339">
        <w:rPr>
          <w:lang w:val="fr-FR"/>
        </w:rPr>
        <w:t>éventail de limitations et d</w:t>
      </w:r>
      <w:r w:rsidR="00AA5429">
        <w:rPr>
          <w:lang w:val="fr-FR"/>
        </w:rPr>
        <w:t>’</w:t>
      </w:r>
      <w:r w:rsidR="00632339">
        <w:rPr>
          <w:lang w:val="fr-FR"/>
        </w:rPr>
        <w:t>exceptions au titre du droit d</w:t>
      </w:r>
      <w:r w:rsidR="00AA5429">
        <w:rPr>
          <w:lang w:val="fr-FR"/>
        </w:rPr>
        <w:t>’</w:t>
      </w:r>
      <w:r w:rsidR="00632339">
        <w:rPr>
          <w:lang w:val="fr-FR"/>
        </w:rPr>
        <w:t>auteur, il n</w:t>
      </w:r>
      <w:r w:rsidR="00AA5429">
        <w:rPr>
          <w:lang w:val="fr-FR"/>
        </w:rPr>
        <w:t>’</w:t>
      </w:r>
      <w:r w:rsidR="00632339">
        <w:rPr>
          <w:lang w:val="fr-FR"/>
        </w:rPr>
        <w:t>est pas surprenant que la présente analyse n</w:t>
      </w:r>
      <w:r w:rsidR="00AA5429">
        <w:rPr>
          <w:lang w:val="fr-FR"/>
        </w:rPr>
        <w:t>’</w:t>
      </w:r>
      <w:r w:rsidR="00632339">
        <w:rPr>
          <w:lang w:val="fr-FR"/>
        </w:rPr>
        <w:t xml:space="preserve">ait permis de trouver que 8 dispositions générales de ce type dans la législation en matière de </w:t>
      </w:r>
      <w:r w:rsidR="002606D3">
        <w:rPr>
          <w:lang w:val="fr-FR"/>
        </w:rPr>
        <w:t>droit d</w:t>
      </w:r>
      <w:r w:rsidR="00AA5429">
        <w:rPr>
          <w:lang w:val="fr-FR"/>
        </w:rPr>
        <w:t>’</w:t>
      </w:r>
      <w:r w:rsidR="002606D3">
        <w:rPr>
          <w:lang w:val="fr-FR"/>
        </w:rPr>
        <w:t>auteur des États membres de l</w:t>
      </w:r>
      <w:r w:rsidR="00AA5429">
        <w:rPr>
          <w:lang w:val="fr-FR"/>
        </w:rPr>
        <w:t>’</w:t>
      </w:r>
      <w:r w:rsidR="002606D3">
        <w:rPr>
          <w:lang w:val="fr-FR"/>
        </w:rPr>
        <w:t>OMPI.</w:t>
      </w:r>
    </w:p>
    <w:p w14:paraId="42AC7E2D" w14:textId="5FE5D799" w:rsidR="00746E45" w:rsidRPr="00821360" w:rsidRDefault="00824C29" w:rsidP="00D52B7A">
      <w:pPr>
        <w:rPr>
          <w:lang w:val="fr-FR"/>
        </w:rPr>
      </w:pPr>
      <w:r>
        <w:rPr>
          <w:lang w:val="fr-FR"/>
        </w:rPr>
        <w:t xml:space="preserve">Ces </w:t>
      </w:r>
      <w:r w:rsidR="00746E45" w:rsidRPr="00821360">
        <w:rPr>
          <w:lang w:val="fr-FR"/>
        </w:rPr>
        <w:t>8</w:t>
      </w:r>
      <w:r>
        <w:rPr>
          <w:lang w:val="fr-FR"/>
        </w:rPr>
        <w:t xml:space="preserve"> dispositions peuvent être </w:t>
      </w:r>
      <w:r w:rsidR="00AA356B">
        <w:rPr>
          <w:lang w:val="fr-FR"/>
        </w:rPr>
        <w:t>ainsi classées</w:t>
      </w:r>
      <w:r w:rsidR="00AA5429">
        <w:rPr>
          <w:lang w:val="fr-FR"/>
        </w:rPr>
        <w:t> :</w:t>
      </w:r>
      <w:r>
        <w:rPr>
          <w:lang w:val="fr-FR"/>
        </w:rPr>
        <w:t xml:space="preserve"> </w:t>
      </w:r>
      <w:r w:rsidR="00746E45" w:rsidRPr="00821360">
        <w:rPr>
          <w:lang w:val="fr-FR"/>
        </w:rPr>
        <w:t>2</w:t>
      </w:r>
      <w:r>
        <w:rPr>
          <w:lang w:val="fr-FR"/>
        </w:rPr>
        <w:t> dispositions exonèrent les établissements d</w:t>
      </w:r>
      <w:r w:rsidR="00AA5429">
        <w:rPr>
          <w:lang w:val="fr-FR"/>
        </w:rPr>
        <w:t>’</w:t>
      </w:r>
      <w:r>
        <w:rPr>
          <w:lang w:val="fr-FR"/>
        </w:rPr>
        <w:t>enseignement de toute responsabilité pour les atteintes découlant du stockage automatique ou transitoire</w:t>
      </w:r>
      <w:r w:rsidR="00746E45" w:rsidRPr="00821360">
        <w:rPr>
          <w:lang w:val="fr-FR"/>
        </w:rPr>
        <w:t xml:space="preserve"> </w:t>
      </w:r>
      <w:r w:rsidR="00860D87">
        <w:rPr>
          <w:lang w:val="fr-FR"/>
        </w:rPr>
        <w:t>sur des réseaux de matériel protégé au titre du droit d</w:t>
      </w:r>
      <w:r w:rsidR="00AA5429">
        <w:rPr>
          <w:lang w:val="fr-FR"/>
        </w:rPr>
        <w:t>’</w:t>
      </w:r>
      <w:r w:rsidR="00860D87">
        <w:rPr>
          <w:lang w:val="fr-FR"/>
        </w:rPr>
        <w:t>auteur à des fins d</w:t>
      </w:r>
      <w:r w:rsidR="00AA5429">
        <w:rPr>
          <w:lang w:val="fr-FR"/>
        </w:rPr>
        <w:t>’</w:t>
      </w:r>
      <w:r w:rsidR="00860D87">
        <w:rPr>
          <w:lang w:val="fr-FR"/>
        </w:rPr>
        <w:t xml:space="preserve">enseignement;  </w:t>
      </w:r>
      <w:r w:rsidR="00746E45" w:rsidRPr="00821360">
        <w:rPr>
          <w:lang w:val="fr-FR"/>
        </w:rPr>
        <w:t>1</w:t>
      </w:r>
      <w:r w:rsidR="008215CC">
        <w:rPr>
          <w:lang w:val="fr-FR"/>
        </w:rPr>
        <w:t> disposition permet de ne pas qualifier d</w:t>
      </w:r>
      <w:r w:rsidR="00AA5429">
        <w:rPr>
          <w:lang w:val="fr-FR"/>
        </w:rPr>
        <w:t>’</w:t>
      </w:r>
      <w:r w:rsidR="008215CC">
        <w:rPr>
          <w:lang w:val="fr-FR"/>
        </w:rPr>
        <w:t>infraction pénale toute atteinte au droit d</w:t>
      </w:r>
      <w:r w:rsidR="00AA5429">
        <w:rPr>
          <w:lang w:val="fr-FR"/>
        </w:rPr>
        <w:t>’</w:t>
      </w:r>
      <w:r w:rsidR="008215CC">
        <w:rPr>
          <w:lang w:val="fr-FR"/>
        </w:rPr>
        <w:t>auteur commise à une échelle commerciale par les établissements d</w:t>
      </w:r>
      <w:r w:rsidR="00AA5429">
        <w:rPr>
          <w:lang w:val="fr-FR"/>
        </w:rPr>
        <w:t>’</w:t>
      </w:r>
      <w:r w:rsidR="008215CC">
        <w:rPr>
          <w:lang w:val="fr-FR"/>
        </w:rPr>
        <w:t xml:space="preserve">enseignement; </w:t>
      </w:r>
      <w:r w:rsidR="00746E45" w:rsidRPr="00821360">
        <w:rPr>
          <w:lang w:val="fr-FR"/>
        </w:rPr>
        <w:t xml:space="preserve"> 1</w:t>
      </w:r>
      <w:r w:rsidR="008215CC">
        <w:rPr>
          <w:lang w:val="fr-FR"/>
        </w:rPr>
        <w:t> disposition</w:t>
      </w:r>
      <w:r w:rsidR="00746E45" w:rsidRPr="00821360">
        <w:rPr>
          <w:lang w:val="fr-FR"/>
        </w:rPr>
        <w:t xml:space="preserve"> </w:t>
      </w:r>
      <w:r w:rsidR="00FB6695">
        <w:rPr>
          <w:lang w:val="fr-FR"/>
        </w:rPr>
        <w:t>dégage les établissements d</w:t>
      </w:r>
      <w:r w:rsidR="00AA5429">
        <w:rPr>
          <w:lang w:val="fr-FR"/>
        </w:rPr>
        <w:t>’</w:t>
      </w:r>
      <w:r w:rsidR="00FB6695">
        <w:rPr>
          <w:lang w:val="fr-FR"/>
        </w:rPr>
        <w:t xml:space="preserve">enseignement de toute responsabilité </w:t>
      </w:r>
      <w:r w:rsidR="00AA5429">
        <w:rPr>
          <w:lang w:val="fr-FR"/>
        </w:rPr>
        <w:t>à l’égard</w:t>
      </w:r>
      <w:r w:rsidR="00AA356B">
        <w:rPr>
          <w:lang w:val="fr-FR"/>
        </w:rPr>
        <w:t xml:space="preserve"> des</w:t>
      </w:r>
      <w:r w:rsidR="00FB6695">
        <w:rPr>
          <w:lang w:val="fr-FR"/>
        </w:rPr>
        <w:t xml:space="preserve"> </w:t>
      </w:r>
      <w:r w:rsidR="00AA356B">
        <w:rPr>
          <w:lang w:val="fr-FR"/>
        </w:rPr>
        <w:t>activités illicites qui ont pu être commises par les membres du corps professoral ou les étudiants des cycles supérieurs ou dont ils ont pu avoir connaissance;</w:t>
      </w:r>
      <w:r w:rsidR="00746E45" w:rsidRPr="00821360">
        <w:rPr>
          <w:lang w:val="fr-FR"/>
        </w:rPr>
        <w:t xml:space="preserve"> </w:t>
      </w:r>
      <w:r w:rsidR="00AA356B">
        <w:rPr>
          <w:lang w:val="fr-FR"/>
        </w:rPr>
        <w:t xml:space="preserve"> et </w:t>
      </w:r>
      <w:r w:rsidR="00746E45" w:rsidRPr="00821360">
        <w:rPr>
          <w:lang w:val="fr-FR"/>
        </w:rPr>
        <w:t>4</w:t>
      </w:r>
      <w:r w:rsidR="00AA356B">
        <w:rPr>
          <w:lang w:val="fr-FR"/>
        </w:rPr>
        <w:t> dispositions limitent les dommages</w:t>
      </w:r>
      <w:r w:rsidR="00D52B7A">
        <w:rPr>
          <w:lang w:val="fr-FR"/>
        </w:rPr>
        <w:noBreakHyphen/>
      </w:r>
      <w:r w:rsidR="00AA356B">
        <w:rPr>
          <w:lang w:val="fr-FR"/>
        </w:rPr>
        <w:t xml:space="preserve">intérêts </w:t>
      </w:r>
      <w:r w:rsidR="00D96DD1">
        <w:rPr>
          <w:lang w:val="fr-FR"/>
        </w:rPr>
        <w:t>que les établissements d</w:t>
      </w:r>
      <w:r w:rsidR="00AA5429">
        <w:rPr>
          <w:lang w:val="fr-FR"/>
        </w:rPr>
        <w:t>’</w:t>
      </w:r>
      <w:r w:rsidR="00D96DD1">
        <w:rPr>
          <w:lang w:val="fr-FR"/>
        </w:rPr>
        <w:t>enseignement pourraient être tenus de verser pour des actes en rapport avec leurs activités d</w:t>
      </w:r>
      <w:r w:rsidR="00AA5429">
        <w:rPr>
          <w:lang w:val="fr-FR"/>
        </w:rPr>
        <w:t>’</w:t>
      </w:r>
      <w:r w:rsidR="00D96DD1">
        <w:rPr>
          <w:lang w:val="fr-FR"/>
        </w:rPr>
        <w:t>enseignement</w:t>
      </w:r>
      <w:r w:rsidR="00746E45" w:rsidRPr="00821360">
        <w:rPr>
          <w:lang w:val="fr-FR"/>
        </w:rPr>
        <w:t>.</w:t>
      </w:r>
    </w:p>
    <w:p w14:paraId="62AE6434" w14:textId="7FD6A8FF" w:rsidR="00746E45" w:rsidRPr="00821360" w:rsidRDefault="00746E45" w:rsidP="00D52B7A">
      <w:pPr>
        <w:pStyle w:val="Heading2"/>
        <w:spacing w:after="160"/>
        <w:rPr>
          <w:lang w:val="fr-FR"/>
        </w:rPr>
      </w:pPr>
      <w:r w:rsidRPr="00821360">
        <w:rPr>
          <w:lang w:val="fr-FR"/>
        </w:rPr>
        <w:t xml:space="preserve">Licences </w:t>
      </w:r>
      <w:r w:rsidR="00D96DD1" w:rsidRPr="00D96DD1">
        <w:rPr>
          <w:lang w:val="fr-FR"/>
        </w:rPr>
        <w:t>visant à contourner les limitations et exceptions relatives au droit d</w:t>
      </w:r>
      <w:r w:rsidR="00AA5429">
        <w:rPr>
          <w:lang w:val="fr-FR"/>
        </w:rPr>
        <w:t>’</w:t>
      </w:r>
      <w:r w:rsidR="00D96DD1" w:rsidRPr="00D96DD1">
        <w:rPr>
          <w:lang w:val="fr-FR"/>
        </w:rPr>
        <w:t>auteur</w:t>
      </w:r>
    </w:p>
    <w:p w14:paraId="5746FFD9" w14:textId="34C72B26" w:rsidR="00746E45" w:rsidRPr="00821360" w:rsidRDefault="00B16130" w:rsidP="00D52B7A">
      <w:pPr>
        <w:rPr>
          <w:lang w:val="fr-FR"/>
        </w:rPr>
      </w:pPr>
      <w:r>
        <w:rPr>
          <w:lang w:val="fr-FR"/>
        </w:rPr>
        <w:t>La question soulevée ici concerne le traitement des contrats de licence de droit d</w:t>
      </w:r>
      <w:r w:rsidR="00AA5429">
        <w:rPr>
          <w:lang w:val="fr-FR"/>
        </w:rPr>
        <w:t>’</w:t>
      </w:r>
      <w:r>
        <w:rPr>
          <w:lang w:val="fr-FR"/>
        </w:rPr>
        <w:t>auteur visant à limiter, voire à contourner</w:t>
      </w:r>
      <w:r w:rsidR="00963E5B">
        <w:rPr>
          <w:lang w:val="fr-FR"/>
        </w:rPr>
        <w:t>,</w:t>
      </w:r>
      <w:r>
        <w:rPr>
          <w:lang w:val="fr-FR"/>
        </w:rPr>
        <w:t xml:space="preserve"> la mise en œuvre des limitations et exceptions au </w:t>
      </w:r>
      <w:r w:rsidR="0067123E">
        <w:rPr>
          <w:lang w:val="fr-FR"/>
        </w:rPr>
        <w:t xml:space="preserve">titre du </w:t>
      </w:r>
      <w:r>
        <w:rPr>
          <w:lang w:val="fr-FR"/>
        </w:rPr>
        <w:t>droit d</w:t>
      </w:r>
      <w:r w:rsidR="00AA5429">
        <w:rPr>
          <w:lang w:val="fr-FR"/>
        </w:rPr>
        <w:t>’</w:t>
      </w:r>
      <w:r>
        <w:rPr>
          <w:lang w:val="fr-FR"/>
        </w:rPr>
        <w:t>auteur applicables aux activités d</w:t>
      </w:r>
      <w:r w:rsidR="00AA5429">
        <w:rPr>
          <w:lang w:val="fr-FR"/>
        </w:rPr>
        <w:t>’</w:t>
      </w:r>
      <w:r>
        <w:rPr>
          <w:lang w:val="fr-FR"/>
        </w:rPr>
        <w:t>enseigneme</w:t>
      </w:r>
      <w:r w:rsidR="00D07A5F">
        <w:rPr>
          <w:lang w:val="fr-FR"/>
        </w:rPr>
        <w:t>nt.  Da</w:t>
      </w:r>
      <w:r>
        <w:rPr>
          <w:lang w:val="fr-FR"/>
        </w:rPr>
        <w:t xml:space="preserve">ns un grand nombre </w:t>
      </w:r>
      <w:r w:rsidR="009D23D5">
        <w:rPr>
          <w:lang w:val="fr-FR"/>
        </w:rPr>
        <w:t>de pays, des dispositions générales permettant de considérer des dispositions contractuelles comme illicites, déraisonnables ou contraires à l</w:t>
      </w:r>
      <w:r w:rsidR="00AA5429">
        <w:rPr>
          <w:lang w:val="fr-FR"/>
        </w:rPr>
        <w:t>’</w:t>
      </w:r>
      <w:r w:rsidR="009D23D5">
        <w:rPr>
          <w:lang w:val="fr-FR"/>
        </w:rPr>
        <w:t>ordre public et</w:t>
      </w:r>
      <w:r w:rsidR="00A361CA" w:rsidRPr="00821360">
        <w:rPr>
          <w:lang w:val="fr-FR"/>
        </w:rPr>
        <w:t>,</w:t>
      </w:r>
      <w:r w:rsidR="00746E45" w:rsidRPr="00821360">
        <w:rPr>
          <w:lang w:val="fr-FR"/>
        </w:rPr>
        <w:t xml:space="preserve"> </w:t>
      </w:r>
      <w:r w:rsidR="009D23D5">
        <w:rPr>
          <w:lang w:val="fr-FR"/>
        </w:rPr>
        <w:t>dès lors, inapplicables</w:t>
      </w:r>
      <w:r w:rsidR="00963E5B">
        <w:rPr>
          <w:lang w:val="fr-FR"/>
        </w:rPr>
        <w:t>,</w:t>
      </w:r>
      <w:r w:rsidR="009D23D5">
        <w:rPr>
          <w:lang w:val="fr-FR"/>
        </w:rPr>
        <w:t xml:space="preserve"> ont été élaborées et peuvent être appliquées à ces dispositions contractuelles ou </w:t>
      </w:r>
      <w:r w:rsidR="00DB0B3A">
        <w:rPr>
          <w:lang w:val="fr-FR"/>
        </w:rPr>
        <w:t>contrats de licence</w:t>
      </w:r>
      <w:r w:rsidR="00055D91" w:rsidRPr="00821360">
        <w:rPr>
          <w:lang w:val="fr-FR"/>
        </w:rPr>
        <w:t>.</w:t>
      </w:r>
    </w:p>
    <w:p w14:paraId="28FD995D" w14:textId="0F0CDC0A" w:rsidR="00AA5429" w:rsidRDefault="00DB0B3A" w:rsidP="00D52B7A">
      <w:pPr>
        <w:rPr>
          <w:lang w:val="fr-FR"/>
        </w:rPr>
      </w:pPr>
      <w:r>
        <w:rPr>
          <w:lang w:val="fr-FR"/>
        </w:rPr>
        <w:lastRenderedPageBreak/>
        <w:t>Toutefois, en l</w:t>
      </w:r>
      <w:r w:rsidR="00AA5429">
        <w:rPr>
          <w:lang w:val="fr-FR"/>
        </w:rPr>
        <w:t>’</w:t>
      </w:r>
      <w:r>
        <w:rPr>
          <w:lang w:val="fr-FR"/>
        </w:rPr>
        <w:t>absence d</w:t>
      </w:r>
      <w:r w:rsidR="00AA5429">
        <w:rPr>
          <w:lang w:val="fr-FR"/>
        </w:rPr>
        <w:t>’</w:t>
      </w:r>
      <w:r>
        <w:rPr>
          <w:lang w:val="fr-FR"/>
        </w:rPr>
        <w:t>une intervention judiciaire, les fournisseurs de contenus pourraient utiliser le mécanisme de licence de droit d</w:t>
      </w:r>
      <w:r w:rsidR="00AA5429">
        <w:rPr>
          <w:lang w:val="fr-FR"/>
        </w:rPr>
        <w:t>’</w:t>
      </w:r>
      <w:r>
        <w:rPr>
          <w:lang w:val="fr-FR"/>
        </w:rPr>
        <w:t xml:space="preserve">auteur </w:t>
      </w:r>
      <w:r w:rsidR="0067123E">
        <w:rPr>
          <w:lang w:val="fr-FR"/>
        </w:rPr>
        <w:t>en vue de</w:t>
      </w:r>
      <w:r>
        <w:rPr>
          <w:lang w:val="fr-FR"/>
        </w:rPr>
        <w:t xml:space="preserve"> limiter les diverses limitations et exceptions </w:t>
      </w:r>
      <w:r w:rsidR="0067123E">
        <w:rPr>
          <w:lang w:val="fr-FR"/>
        </w:rPr>
        <w:t>au titre du droit d</w:t>
      </w:r>
      <w:r w:rsidR="00AA5429">
        <w:rPr>
          <w:lang w:val="fr-FR"/>
        </w:rPr>
        <w:t>’</w:t>
      </w:r>
      <w:r w:rsidR="0067123E">
        <w:rPr>
          <w:lang w:val="fr-FR"/>
        </w:rPr>
        <w:t>aute</w:t>
      </w:r>
      <w:r w:rsidR="00D07A5F">
        <w:rPr>
          <w:lang w:val="fr-FR"/>
        </w:rPr>
        <w:t>ur.  C’e</w:t>
      </w:r>
      <w:r w:rsidR="0067123E">
        <w:rPr>
          <w:lang w:val="fr-FR"/>
        </w:rPr>
        <w:t>st pourquoi certains États membres ont adopté des dispositions prévoyant expressément que les contrats de licence visant à limiter ou à contourner les limitations et exceptions au titre du droit d</w:t>
      </w:r>
      <w:r w:rsidR="00AA5429">
        <w:rPr>
          <w:lang w:val="fr-FR"/>
        </w:rPr>
        <w:t>’</w:t>
      </w:r>
      <w:r w:rsidR="0067123E">
        <w:rPr>
          <w:lang w:val="fr-FR"/>
        </w:rPr>
        <w:t>auteur sont inapplicabl</w:t>
      </w:r>
      <w:r w:rsidR="00D07A5F">
        <w:rPr>
          <w:lang w:val="fr-FR"/>
        </w:rPr>
        <w:t>es.  Da</w:t>
      </w:r>
      <w:r w:rsidR="0067123E">
        <w:rPr>
          <w:lang w:val="fr-FR"/>
        </w:rPr>
        <w:t xml:space="preserve">ns le cadre de la présente étude, </w:t>
      </w:r>
      <w:r w:rsidR="00875030" w:rsidRPr="00821360">
        <w:rPr>
          <w:lang w:val="fr-FR"/>
        </w:rPr>
        <w:t>14</w:t>
      </w:r>
      <w:r w:rsidR="0067123E">
        <w:rPr>
          <w:lang w:val="fr-FR"/>
        </w:rPr>
        <w:t> dispositions de ce type ont été recensées dans la législation en matière de droit d</w:t>
      </w:r>
      <w:r w:rsidR="00AA5429">
        <w:rPr>
          <w:lang w:val="fr-FR"/>
        </w:rPr>
        <w:t>’</w:t>
      </w:r>
      <w:r w:rsidR="0067123E">
        <w:rPr>
          <w:lang w:val="fr-FR"/>
        </w:rPr>
        <w:t>auteur de 8 États membr</w:t>
      </w:r>
      <w:r w:rsidR="00D07A5F">
        <w:rPr>
          <w:lang w:val="fr-FR"/>
        </w:rPr>
        <w:t>es.  Ce</w:t>
      </w:r>
      <w:r w:rsidR="0067123E">
        <w:rPr>
          <w:lang w:val="fr-FR"/>
        </w:rPr>
        <w:t xml:space="preserve">s dispositions prévoient que les contrats de licence </w:t>
      </w:r>
      <w:r w:rsidR="00DE1E1F">
        <w:rPr>
          <w:lang w:val="fr-FR"/>
        </w:rPr>
        <w:t xml:space="preserve">visant à </w:t>
      </w:r>
      <w:r w:rsidR="007A04C5">
        <w:rPr>
          <w:lang w:val="fr-FR"/>
        </w:rPr>
        <w:t>autoris</w:t>
      </w:r>
      <w:r w:rsidR="00DE1E1F">
        <w:rPr>
          <w:lang w:val="fr-FR"/>
        </w:rPr>
        <w:t>er</w:t>
      </w:r>
      <w:r w:rsidR="007A04C5">
        <w:rPr>
          <w:lang w:val="fr-FR"/>
        </w:rPr>
        <w:t xml:space="preserve"> </w:t>
      </w:r>
      <w:r w:rsidR="00DE1E1F">
        <w:rPr>
          <w:lang w:val="fr-FR"/>
        </w:rPr>
        <w:t>l</w:t>
      </w:r>
      <w:r w:rsidR="00BA79EF">
        <w:rPr>
          <w:lang w:val="fr-FR"/>
        </w:rPr>
        <w:t>es</w:t>
      </w:r>
      <w:r w:rsidR="007A04C5">
        <w:rPr>
          <w:lang w:val="fr-FR"/>
        </w:rPr>
        <w:t xml:space="preserve"> activités </w:t>
      </w:r>
      <w:r w:rsidR="00BA79EF" w:rsidRPr="003319CB">
        <w:rPr>
          <w:lang w:val="fr-FR"/>
        </w:rPr>
        <w:t>ne faisant pas l</w:t>
      </w:r>
      <w:r w:rsidR="00AA5429">
        <w:rPr>
          <w:lang w:val="fr-FR"/>
        </w:rPr>
        <w:t>’</w:t>
      </w:r>
      <w:r w:rsidR="00BA79EF" w:rsidRPr="003319CB">
        <w:rPr>
          <w:lang w:val="fr-FR"/>
        </w:rPr>
        <w:t>objet de limitations ou d</w:t>
      </w:r>
      <w:r w:rsidR="00AA5429">
        <w:rPr>
          <w:lang w:val="fr-FR"/>
        </w:rPr>
        <w:t>’</w:t>
      </w:r>
      <w:r w:rsidR="00BA79EF" w:rsidRPr="003319CB">
        <w:rPr>
          <w:lang w:val="fr-FR"/>
        </w:rPr>
        <w:t>exceptions</w:t>
      </w:r>
      <w:r w:rsidR="0033748A">
        <w:rPr>
          <w:lang w:val="fr-FR"/>
        </w:rPr>
        <w:t xml:space="preserve"> </w:t>
      </w:r>
      <w:r w:rsidR="003319CB">
        <w:rPr>
          <w:lang w:val="fr-FR"/>
        </w:rPr>
        <w:t>ne doivent pas avoir une portée moindre ou plus restrictive que celle des limitations et exceptions</w:t>
      </w:r>
      <w:r w:rsidR="00875030" w:rsidRPr="00821360">
        <w:rPr>
          <w:lang w:val="fr-FR"/>
        </w:rPr>
        <w:t xml:space="preserve"> </w:t>
      </w:r>
      <w:r w:rsidR="003319CB">
        <w:rPr>
          <w:lang w:val="fr-FR"/>
        </w:rPr>
        <w:t>prévues par la loi</w:t>
      </w:r>
      <w:r w:rsidR="00746E45" w:rsidRPr="00821360">
        <w:rPr>
          <w:lang w:val="fr-FR"/>
        </w:rPr>
        <w:t>.</w:t>
      </w:r>
    </w:p>
    <w:p w14:paraId="630D73C1" w14:textId="2BDF8F03" w:rsidR="002A7A36" w:rsidRPr="00821360" w:rsidRDefault="003319CB" w:rsidP="00D52B7A">
      <w:pPr>
        <w:rPr>
          <w:lang w:val="fr-FR"/>
        </w:rPr>
      </w:pPr>
      <w:r>
        <w:rPr>
          <w:lang w:val="fr-FR"/>
        </w:rPr>
        <w:t>Selon le même principe, un autre type de dispositions dans la législation en matière de droit d</w:t>
      </w:r>
      <w:r w:rsidR="00AA5429">
        <w:rPr>
          <w:lang w:val="fr-FR"/>
        </w:rPr>
        <w:t>’</w:t>
      </w:r>
      <w:r>
        <w:rPr>
          <w:lang w:val="fr-FR"/>
        </w:rPr>
        <w:t>auteur prévoit que les dispositions contractuelles qui sont en contradiction avec les limitations et exceptions sont nulles et non avenues et sans effet juridiq</w:t>
      </w:r>
      <w:r w:rsidR="00D07A5F">
        <w:rPr>
          <w:lang w:val="fr-FR"/>
        </w:rPr>
        <w:t>ue.  Ce</w:t>
      </w:r>
      <w:r>
        <w:rPr>
          <w:lang w:val="fr-FR"/>
        </w:rPr>
        <w:t>s dispositions sont différentes des précédentes dans la mesure où elles ne s</w:t>
      </w:r>
      <w:r w:rsidR="00AA5429">
        <w:rPr>
          <w:lang w:val="fr-FR"/>
        </w:rPr>
        <w:t>’</w:t>
      </w:r>
      <w:r>
        <w:rPr>
          <w:lang w:val="fr-FR"/>
        </w:rPr>
        <w:t xml:space="preserve">appliquent pas particulièrement à telle ou telle limitation ou exception, mais </w:t>
      </w:r>
      <w:r w:rsidR="009D795E">
        <w:rPr>
          <w:lang w:val="fr-FR"/>
        </w:rPr>
        <w:t>ont une portée généra</w:t>
      </w:r>
      <w:r w:rsidR="00D07A5F">
        <w:rPr>
          <w:lang w:val="fr-FR"/>
        </w:rPr>
        <w:t>le.  El</w:t>
      </w:r>
      <w:r w:rsidR="009D795E">
        <w:rPr>
          <w:lang w:val="fr-FR"/>
        </w:rPr>
        <w:t>les ont peut</w:t>
      </w:r>
      <w:r w:rsidR="00D52B7A">
        <w:rPr>
          <w:lang w:val="fr-FR"/>
        </w:rPr>
        <w:noBreakHyphen/>
      </w:r>
      <w:r w:rsidR="009D795E">
        <w:rPr>
          <w:lang w:val="fr-FR"/>
        </w:rPr>
        <w:t>être été inspirées par les dispositions analogues contenues dans la directive</w:t>
      </w:r>
      <w:r w:rsidR="00746E45" w:rsidRPr="00821360">
        <w:rPr>
          <w:lang w:val="fr-FR"/>
        </w:rPr>
        <w:t xml:space="preserve"> </w:t>
      </w:r>
      <w:r w:rsidR="009D795E">
        <w:rPr>
          <w:lang w:val="fr-FR"/>
        </w:rPr>
        <w:t>de l</w:t>
      </w:r>
      <w:r w:rsidR="00AA5429">
        <w:rPr>
          <w:lang w:val="fr-FR"/>
        </w:rPr>
        <w:t>’</w:t>
      </w:r>
      <w:r w:rsidR="009D795E">
        <w:rPr>
          <w:lang w:val="fr-FR"/>
        </w:rPr>
        <w:t>Union européenne concernant la protection juridique des bases de données</w:t>
      </w:r>
      <w:r w:rsidR="00746E45" w:rsidRPr="00821360">
        <w:rPr>
          <w:rStyle w:val="FootnoteReference"/>
          <w:lang w:val="fr-FR"/>
        </w:rPr>
        <w:footnoteReference w:id="7"/>
      </w:r>
      <w:r w:rsidR="00746E45" w:rsidRPr="00821360">
        <w:rPr>
          <w:lang w:val="fr-FR"/>
        </w:rPr>
        <w:t xml:space="preserve"> </w:t>
      </w:r>
      <w:r w:rsidR="009D795E">
        <w:rPr>
          <w:lang w:val="fr-FR"/>
        </w:rPr>
        <w:t>et la directive de l</w:t>
      </w:r>
      <w:r w:rsidR="00AA5429">
        <w:rPr>
          <w:lang w:val="fr-FR"/>
        </w:rPr>
        <w:t>’</w:t>
      </w:r>
      <w:r w:rsidR="009D795E">
        <w:rPr>
          <w:lang w:val="fr-FR"/>
        </w:rPr>
        <w:t>Union européenne concernant la protection juridique des programmes d</w:t>
      </w:r>
      <w:r w:rsidR="00AA5429">
        <w:rPr>
          <w:lang w:val="fr-FR"/>
        </w:rPr>
        <w:t>’</w:t>
      </w:r>
      <w:r w:rsidR="009D795E">
        <w:rPr>
          <w:lang w:val="fr-FR"/>
        </w:rPr>
        <w:t>ordinateur</w:t>
      </w:r>
      <w:r w:rsidR="00746E45" w:rsidRPr="00821360">
        <w:rPr>
          <w:rStyle w:val="FootnoteReference"/>
          <w:lang w:val="fr-FR"/>
        </w:rPr>
        <w:footnoteReference w:id="8"/>
      </w:r>
      <w:r w:rsidR="009D795E">
        <w:rPr>
          <w:lang w:val="fr-FR"/>
        </w:rPr>
        <w:t xml:space="preserve">. </w:t>
      </w:r>
      <w:r w:rsidR="00746E45" w:rsidRPr="00821360">
        <w:rPr>
          <w:lang w:val="fr-FR"/>
        </w:rPr>
        <w:t xml:space="preserve"> </w:t>
      </w:r>
      <w:r w:rsidR="009D795E" w:rsidRPr="009D795E">
        <w:rPr>
          <w:lang w:val="fr-FR"/>
        </w:rPr>
        <w:t xml:space="preserve">Dans le cadre de la présente étude, </w:t>
      </w:r>
      <w:r w:rsidR="009D795E">
        <w:rPr>
          <w:lang w:val="fr-FR"/>
        </w:rPr>
        <w:t>8</w:t>
      </w:r>
      <w:r w:rsidR="009D795E" w:rsidRPr="009D795E">
        <w:rPr>
          <w:lang w:val="fr-FR"/>
        </w:rPr>
        <w:t> dispositions de ce type ont été recensées dans la législation en matière de droit d</w:t>
      </w:r>
      <w:r w:rsidR="00AA5429">
        <w:rPr>
          <w:lang w:val="fr-FR"/>
        </w:rPr>
        <w:t>’</w:t>
      </w:r>
      <w:r w:rsidR="009D795E" w:rsidRPr="009D795E">
        <w:rPr>
          <w:lang w:val="fr-FR"/>
        </w:rPr>
        <w:t xml:space="preserve">auteur </w:t>
      </w:r>
      <w:r w:rsidR="009D795E">
        <w:rPr>
          <w:lang w:val="fr-FR"/>
        </w:rPr>
        <w:t xml:space="preserve">des </w:t>
      </w:r>
      <w:r w:rsidR="009D795E" w:rsidRPr="009D795E">
        <w:rPr>
          <w:lang w:val="fr-FR"/>
        </w:rPr>
        <w:t>États membres</w:t>
      </w:r>
      <w:r w:rsidR="008D392F" w:rsidRPr="00821360">
        <w:rPr>
          <w:lang w:val="fr-FR"/>
        </w:rPr>
        <w:t>.</w:t>
      </w:r>
    </w:p>
    <w:p w14:paraId="250654BE" w14:textId="1757CA0D" w:rsidR="00746E45" w:rsidRPr="00821360" w:rsidRDefault="00F87363" w:rsidP="00D52B7A">
      <w:pPr>
        <w:pStyle w:val="Heading2"/>
        <w:spacing w:after="160"/>
        <w:ind w:left="1418" w:hanging="698"/>
        <w:rPr>
          <w:lang w:val="fr-FR"/>
        </w:rPr>
      </w:pPr>
      <w:r>
        <w:rPr>
          <w:lang w:val="fr-FR"/>
        </w:rPr>
        <w:t>C</w:t>
      </w:r>
      <w:r w:rsidRPr="00F87363">
        <w:rPr>
          <w:lang w:val="fr-FR"/>
        </w:rPr>
        <w:t>opie numérique et diffusion numérique au regard des dispositions de l</w:t>
      </w:r>
      <w:r w:rsidR="00AA5429">
        <w:rPr>
          <w:lang w:val="fr-FR"/>
        </w:rPr>
        <w:t>’</w:t>
      </w:r>
      <w:r w:rsidRPr="00F87363">
        <w:rPr>
          <w:lang w:val="fr-FR"/>
        </w:rPr>
        <w:t>annexe de la Convention de Berne</w:t>
      </w:r>
    </w:p>
    <w:p w14:paraId="7A5299A0" w14:textId="4A1923FB" w:rsidR="00AA5429" w:rsidRDefault="00D26060" w:rsidP="00D52B7A">
      <w:pPr>
        <w:rPr>
          <w:lang w:val="fr-FR"/>
        </w:rPr>
      </w:pPr>
      <w:r>
        <w:rPr>
          <w:lang w:val="fr-FR"/>
        </w:rPr>
        <w:t>Il convient de rappeler que l</w:t>
      </w:r>
      <w:r w:rsidR="00AA5429">
        <w:rPr>
          <w:lang w:val="fr-FR"/>
        </w:rPr>
        <w:t>’</w:t>
      </w:r>
      <w:r>
        <w:rPr>
          <w:lang w:val="fr-FR"/>
        </w:rPr>
        <w:t>étude précédente se penchait sur les différentes dispositions dans la législation en matière de droit d</w:t>
      </w:r>
      <w:r w:rsidR="00AA5429">
        <w:rPr>
          <w:lang w:val="fr-FR"/>
        </w:rPr>
        <w:t>’</w:t>
      </w:r>
      <w:r>
        <w:rPr>
          <w:lang w:val="fr-FR"/>
        </w:rPr>
        <w:t>auteur des divers pays qui prévoient des licences obligatoires aux fins de la traduction ou de la reproduction à des fins d</w:t>
      </w:r>
      <w:r w:rsidR="00AA5429">
        <w:rPr>
          <w:lang w:val="fr-FR"/>
        </w:rPr>
        <w:t>’</w:t>
      </w:r>
      <w:r>
        <w:rPr>
          <w:lang w:val="fr-FR"/>
        </w:rPr>
        <w:t>enseignement, sur la base des articles III et II de l</w:t>
      </w:r>
      <w:r w:rsidR="00AA5429">
        <w:rPr>
          <w:lang w:val="fr-FR"/>
        </w:rPr>
        <w:t>’</w:t>
      </w:r>
      <w:r>
        <w:rPr>
          <w:lang w:val="fr-FR"/>
        </w:rPr>
        <w:t>annexe de l</w:t>
      </w:r>
      <w:r w:rsidR="00AA5429">
        <w:rPr>
          <w:lang w:val="fr-FR"/>
        </w:rPr>
        <w:t>’</w:t>
      </w:r>
      <w:r>
        <w:rPr>
          <w:lang w:val="fr-FR"/>
        </w:rPr>
        <w:t>Acte de Paris de la Convention de Berne, respectiveme</w:t>
      </w:r>
      <w:r w:rsidR="00D07A5F">
        <w:rPr>
          <w:lang w:val="fr-FR"/>
        </w:rPr>
        <w:t>nt.  Pl</w:t>
      </w:r>
      <w:r>
        <w:rPr>
          <w:lang w:val="fr-FR"/>
        </w:rPr>
        <w:t xml:space="preserve">us précisément, les parties pertinentes des </w:t>
      </w:r>
      <w:r w:rsidR="00AA5429">
        <w:rPr>
          <w:lang w:val="fr-FR"/>
        </w:rPr>
        <w:t>articles I</w:t>
      </w:r>
      <w:r w:rsidR="00054EE7">
        <w:rPr>
          <w:lang w:val="fr-FR"/>
        </w:rPr>
        <w:t>II et II disposent ce qui suit</w:t>
      </w:r>
      <w:r w:rsidR="00AA5429">
        <w:rPr>
          <w:lang w:val="fr-FR"/>
        </w:rPr>
        <w:t> :</w:t>
      </w:r>
    </w:p>
    <w:p w14:paraId="1F0DF940" w14:textId="11B72E3F" w:rsidR="008D5223" w:rsidRPr="00821360" w:rsidRDefault="00AA5429" w:rsidP="00D52B7A">
      <w:pPr>
        <w:pStyle w:val="Provision"/>
        <w:spacing w:after="160" w:line="259" w:lineRule="auto"/>
        <w:rPr>
          <w:lang w:val="fr-FR"/>
        </w:rPr>
      </w:pPr>
      <w:r w:rsidRPr="00821360">
        <w:rPr>
          <w:lang w:val="fr-FR"/>
        </w:rPr>
        <w:t>Article</w:t>
      </w:r>
      <w:r>
        <w:rPr>
          <w:lang w:val="fr-FR"/>
        </w:rPr>
        <w:t> </w:t>
      </w:r>
      <w:r w:rsidRPr="00821360">
        <w:rPr>
          <w:lang w:val="fr-FR"/>
        </w:rPr>
        <w:t>I</w:t>
      </w:r>
      <w:r w:rsidR="008D5223" w:rsidRPr="00821360">
        <w:rPr>
          <w:lang w:val="fr-FR"/>
        </w:rPr>
        <w:t>I</w:t>
      </w:r>
    </w:p>
    <w:p w14:paraId="761FD05B" w14:textId="2B8B3AC2" w:rsidR="008D5223" w:rsidRPr="00821360" w:rsidRDefault="00054EE7" w:rsidP="00D52B7A">
      <w:pPr>
        <w:pStyle w:val="Provision"/>
        <w:spacing w:after="160" w:line="259" w:lineRule="auto"/>
        <w:rPr>
          <w:lang w:val="fr-FR"/>
        </w:rPr>
      </w:pPr>
      <w:r w:rsidRPr="00054EE7">
        <w:rPr>
          <w:lang w:val="fr-FR"/>
        </w:rPr>
        <w:t>Limitations du droit de traduction</w:t>
      </w:r>
      <w:r w:rsidR="00AA5429">
        <w:rPr>
          <w:lang w:val="fr-FR"/>
        </w:rPr>
        <w:t> :</w:t>
      </w:r>
    </w:p>
    <w:p w14:paraId="408EB40A" w14:textId="4A8139C5" w:rsidR="008D5223" w:rsidRPr="00821360" w:rsidRDefault="008D5223" w:rsidP="00D52B7A">
      <w:pPr>
        <w:pStyle w:val="Provision"/>
        <w:spacing w:after="160" w:line="259" w:lineRule="auto"/>
        <w:rPr>
          <w:lang w:val="fr-FR"/>
        </w:rPr>
      </w:pPr>
      <w:r w:rsidRPr="00821360">
        <w:rPr>
          <w:lang w:val="fr-FR"/>
        </w:rPr>
        <w:t xml:space="preserve">2) a) </w:t>
      </w:r>
      <w:r w:rsidR="00054EE7" w:rsidRPr="00054EE7">
        <w:rPr>
          <w:lang w:val="fr-FR"/>
        </w:rPr>
        <w:t>Sous réserve de l</w:t>
      </w:r>
      <w:r w:rsidR="00AA5429">
        <w:rPr>
          <w:lang w:val="fr-FR"/>
        </w:rPr>
        <w:t>’</w:t>
      </w:r>
      <w:r w:rsidR="00054EE7" w:rsidRPr="00054EE7">
        <w:rPr>
          <w:lang w:val="fr-FR"/>
        </w:rPr>
        <w:t>alinéa</w:t>
      </w:r>
      <w:r w:rsidR="00054EE7">
        <w:rPr>
          <w:lang w:val="fr-FR"/>
        </w:rPr>
        <w:t> </w:t>
      </w:r>
      <w:r w:rsidR="00054EE7" w:rsidRPr="00054EE7">
        <w:rPr>
          <w:lang w:val="fr-FR"/>
        </w:rPr>
        <w:t>3), lorsque, à l</w:t>
      </w:r>
      <w:r w:rsidR="00AA5429">
        <w:rPr>
          <w:lang w:val="fr-FR"/>
        </w:rPr>
        <w:t>’</w:t>
      </w:r>
      <w:r w:rsidR="00054EE7" w:rsidRPr="00054EE7">
        <w:rPr>
          <w:lang w:val="fr-FR"/>
        </w:rPr>
        <w:t>expiration d</w:t>
      </w:r>
      <w:r w:rsidR="00AA5429">
        <w:rPr>
          <w:lang w:val="fr-FR"/>
        </w:rPr>
        <w:t>’</w:t>
      </w:r>
      <w:r w:rsidR="00054EE7" w:rsidRPr="00054EE7">
        <w:rPr>
          <w:lang w:val="fr-FR"/>
        </w:rPr>
        <w:t>une période de trois</w:t>
      </w:r>
      <w:r w:rsidR="0031003D" w:rsidRPr="0031003D">
        <w:rPr>
          <w:lang w:val="fr-FR"/>
        </w:rPr>
        <w:t> </w:t>
      </w:r>
      <w:r w:rsidR="00054EE7" w:rsidRPr="00054EE7">
        <w:rPr>
          <w:lang w:val="fr-FR"/>
        </w:rPr>
        <w:t>années ou d</w:t>
      </w:r>
      <w:r w:rsidR="00AA5429">
        <w:rPr>
          <w:lang w:val="fr-FR"/>
        </w:rPr>
        <w:t>’</w:t>
      </w:r>
      <w:r w:rsidR="00054EE7" w:rsidRPr="00054EE7">
        <w:rPr>
          <w:lang w:val="fr-FR"/>
        </w:rPr>
        <w:t>une période plus longue déterminée par la législation nationale dudit pays, à compter de la première publication d</w:t>
      </w:r>
      <w:r w:rsidR="00AA5429">
        <w:rPr>
          <w:lang w:val="fr-FR"/>
        </w:rPr>
        <w:t>’</w:t>
      </w:r>
      <w:r w:rsidR="00054EE7" w:rsidRPr="00054EE7">
        <w:rPr>
          <w:lang w:val="fr-FR"/>
        </w:rPr>
        <w:t>une œuvre, la traduction n</w:t>
      </w:r>
      <w:r w:rsidR="00AA5429">
        <w:rPr>
          <w:lang w:val="fr-FR"/>
        </w:rPr>
        <w:t>’</w:t>
      </w:r>
      <w:r w:rsidR="00054EE7" w:rsidRPr="00054EE7">
        <w:rPr>
          <w:lang w:val="fr-FR"/>
        </w:rPr>
        <w:t>en a pas été publiée dans une langue d</w:t>
      </w:r>
      <w:r w:rsidR="00AA5429">
        <w:rPr>
          <w:lang w:val="fr-FR"/>
        </w:rPr>
        <w:t>’</w:t>
      </w:r>
      <w:r w:rsidR="00054EE7" w:rsidRPr="00054EE7">
        <w:rPr>
          <w:lang w:val="fr-FR"/>
        </w:rPr>
        <w:t xml:space="preserve">usage général dans ce pays, par le titulaire du droit de traduction ou avec son autorisation, tout ressortissant dudit pays pourra obtenir une licence pour </w:t>
      </w:r>
      <w:r w:rsidR="00054EE7" w:rsidRPr="00054EE7">
        <w:rPr>
          <w:i/>
          <w:lang w:val="fr-FR"/>
        </w:rPr>
        <w:t>faire une traduction de l</w:t>
      </w:r>
      <w:r w:rsidR="00AA5429">
        <w:rPr>
          <w:i/>
          <w:lang w:val="fr-FR"/>
        </w:rPr>
        <w:t>’</w:t>
      </w:r>
      <w:r w:rsidR="00054EE7" w:rsidRPr="00054EE7">
        <w:rPr>
          <w:i/>
          <w:lang w:val="fr-FR"/>
        </w:rPr>
        <w:t>œuvre dans ladite langue et publier cette traduction sous forme imprimée ou sous toute autre forme analogue de reproduction</w:t>
      </w:r>
      <w:r w:rsidRPr="00821360">
        <w:rPr>
          <w:lang w:val="fr-FR"/>
        </w:rPr>
        <w:t>.</w:t>
      </w:r>
    </w:p>
    <w:p w14:paraId="6FADFC39" w14:textId="77777777" w:rsidR="008D5223" w:rsidRPr="00821360" w:rsidRDefault="008D5223" w:rsidP="00D52B7A">
      <w:pPr>
        <w:pStyle w:val="Provision"/>
        <w:spacing w:after="160" w:line="259" w:lineRule="auto"/>
        <w:rPr>
          <w:lang w:val="fr-FR"/>
        </w:rPr>
      </w:pPr>
    </w:p>
    <w:p w14:paraId="3D7E1F13" w14:textId="0C75E939" w:rsidR="008D5223" w:rsidRPr="00821360" w:rsidRDefault="00AA5429" w:rsidP="00D52B7A">
      <w:pPr>
        <w:pStyle w:val="Provision"/>
        <w:spacing w:after="160" w:line="259" w:lineRule="auto"/>
        <w:rPr>
          <w:lang w:val="fr-FR"/>
        </w:rPr>
      </w:pPr>
      <w:r w:rsidRPr="00821360">
        <w:rPr>
          <w:lang w:val="fr-FR"/>
        </w:rPr>
        <w:t>Article</w:t>
      </w:r>
      <w:r>
        <w:rPr>
          <w:lang w:val="fr-FR"/>
        </w:rPr>
        <w:t> </w:t>
      </w:r>
      <w:r w:rsidRPr="00821360">
        <w:rPr>
          <w:lang w:val="fr-FR"/>
        </w:rPr>
        <w:t>I</w:t>
      </w:r>
      <w:r w:rsidR="008D5223" w:rsidRPr="00821360">
        <w:rPr>
          <w:lang w:val="fr-FR"/>
        </w:rPr>
        <w:t>II</w:t>
      </w:r>
    </w:p>
    <w:p w14:paraId="4849A1AE" w14:textId="72E2D692" w:rsidR="008D5223" w:rsidRPr="00821360" w:rsidRDefault="00054EE7" w:rsidP="00D52B7A">
      <w:pPr>
        <w:pStyle w:val="Provision"/>
        <w:spacing w:after="160" w:line="259" w:lineRule="auto"/>
        <w:rPr>
          <w:lang w:val="fr-FR"/>
        </w:rPr>
      </w:pPr>
      <w:r w:rsidRPr="00054EE7">
        <w:rPr>
          <w:lang w:val="fr-FR"/>
        </w:rPr>
        <w:t>Limitations du droit de reproduction</w:t>
      </w:r>
      <w:r w:rsidR="00AA5429">
        <w:rPr>
          <w:lang w:val="fr-FR"/>
        </w:rPr>
        <w:t> :</w:t>
      </w:r>
    </w:p>
    <w:p w14:paraId="0A7FBC61" w14:textId="0633E295" w:rsidR="008D5223" w:rsidRPr="00821360" w:rsidRDefault="008D5223" w:rsidP="00D52B7A">
      <w:pPr>
        <w:pStyle w:val="Provision"/>
        <w:spacing w:after="160" w:line="259" w:lineRule="auto"/>
        <w:rPr>
          <w:lang w:val="fr-FR"/>
        </w:rPr>
      </w:pPr>
      <w:r w:rsidRPr="00821360">
        <w:rPr>
          <w:lang w:val="fr-FR"/>
        </w:rPr>
        <w:t xml:space="preserve">2) a) </w:t>
      </w:r>
      <w:r w:rsidR="00AA5429">
        <w:rPr>
          <w:lang w:val="fr-FR"/>
        </w:rPr>
        <w:t>À l’égard</w:t>
      </w:r>
      <w:r w:rsidR="00054EE7" w:rsidRPr="00054EE7">
        <w:rPr>
          <w:lang w:val="fr-FR"/>
        </w:rPr>
        <w:t xml:space="preserve"> d</w:t>
      </w:r>
      <w:r w:rsidR="00AA5429">
        <w:rPr>
          <w:lang w:val="fr-FR"/>
        </w:rPr>
        <w:t>’</w:t>
      </w:r>
      <w:r w:rsidR="00054EE7" w:rsidRPr="00054EE7">
        <w:rPr>
          <w:lang w:val="fr-FR"/>
        </w:rPr>
        <w:t>une œuvre à laquelle le présent article est applicable en vertu de l</w:t>
      </w:r>
      <w:r w:rsidR="00AA5429">
        <w:rPr>
          <w:lang w:val="fr-FR"/>
        </w:rPr>
        <w:t>’</w:t>
      </w:r>
      <w:r w:rsidR="00054EE7" w:rsidRPr="00054EE7">
        <w:rPr>
          <w:lang w:val="fr-FR"/>
        </w:rPr>
        <w:t>alinéa</w:t>
      </w:r>
      <w:r w:rsidR="00054EE7">
        <w:rPr>
          <w:lang w:val="fr-FR"/>
        </w:rPr>
        <w:t> </w:t>
      </w:r>
      <w:r w:rsidR="00054EE7" w:rsidRPr="00054EE7">
        <w:rPr>
          <w:lang w:val="fr-FR"/>
        </w:rPr>
        <w:t>7) et lorsque, à l</w:t>
      </w:r>
      <w:r w:rsidR="00AA5429">
        <w:rPr>
          <w:lang w:val="fr-FR"/>
        </w:rPr>
        <w:t>’</w:t>
      </w:r>
      <w:r w:rsidR="00054EE7" w:rsidRPr="00054EE7">
        <w:rPr>
          <w:lang w:val="fr-FR"/>
        </w:rPr>
        <w:t>expiration</w:t>
      </w:r>
    </w:p>
    <w:p w14:paraId="57371771" w14:textId="1F8CDD6D" w:rsidR="008D5223" w:rsidRPr="00821360" w:rsidRDefault="008D5223" w:rsidP="00D52B7A">
      <w:pPr>
        <w:pStyle w:val="Provision"/>
        <w:spacing w:after="160" w:line="259" w:lineRule="auto"/>
        <w:ind w:left="1440"/>
        <w:rPr>
          <w:lang w:val="fr-FR"/>
        </w:rPr>
      </w:pPr>
      <w:r w:rsidRPr="00821360">
        <w:rPr>
          <w:lang w:val="fr-FR"/>
        </w:rPr>
        <w:t xml:space="preserve">i) </w:t>
      </w:r>
      <w:r w:rsidR="00054EE7" w:rsidRPr="00054EE7">
        <w:rPr>
          <w:lang w:val="fr-FR"/>
        </w:rPr>
        <w:t>de la période fixée à l</w:t>
      </w:r>
      <w:r w:rsidR="00AA5429">
        <w:rPr>
          <w:lang w:val="fr-FR"/>
        </w:rPr>
        <w:t>’</w:t>
      </w:r>
      <w:r w:rsidR="00054EE7" w:rsidRPr="00054EE7">
        <w:rPr>
          <w:lang w:val="fr-FR"/>
        </w:rPr>
        <w:t>alinéa</w:t>
      </w:r>
      <w:r w:rsidR="00054EE7">
        <w:rPr>
          <w:lang w:val="fr-FR"/>
        </w:rPr>
        <w:t> </w:t>
      </w:r>
      <w:r w:rsidR="00054EE7" w:rsidRPr="00054EE7">
        <w:rPr>
          <w:lang w:val="fr-FR"/>
        </w:rPr>
        <w:t>3) et calculée à partir de la première publication d</w:t>
      </w:r>
      <w:r w:rsidR="00AA5429">
        <w:rPr>
          <w:lang w:val="fr-FR"/>
        </w:rPr>
        <w:t>’</w:t>
      </w:r>
      <w:r w:rsidR="00054EE7" w:rsidRPr="00054EE7">
        <w:rPr>
          <w:lang w:val="fr-FR"/>
        </w:rPr>
        <w:t>une édition déterminée d</w:t>
      </w:r>
      <w:r w:rsidR="00AA5429">
        <w:rPr>
          <w:lang w:val="fr-FR"/>
        </w:rPr>
        <w:t>’</w:t>
      </w:r>
      <w:r w:rsidR="00054EE7" w:rsidRPr="00054EE7">
        <w:rPr>
          <w:lang w:val="fr-FR"/>
        </w:rPr>
        <w:t>une telle œuvre, ou</w:t>
      </w:r>
    </w:p>
    <w:p w14:paraId="3A9B785B" w14:textId="6F1BF4D4" w:rsidR="008D5223" w:rsidRPr="00821360" w:rsidRDefault="008D5223" w:rsidP="00D52B7A">
      <w:pPr>
        <w:pStyle w:val="Provision"/>
        <w:spacing w:after="160" w:line="259" w:lineRule="auto"/>
        <w:ind w:left="1440"/>
        <w:rPr>
          <w:lang w:val="fr-FR"/>
        </w:rPr>
      </w:pPr>
      <w:r w:rsidRPr="00821360">
        <w:rPr>
          <w:lang w:val="fr-FR"/>
        </w:rPr>
        <w:lastRenderedPageBreak/>
        <w:t xml:space="preserve">ii) </w:t>
      </w:r>
      <w:r w:rsidR="00054EE7" w:rsidRPr="00054EE7">
        <w:rPr>
          <w:lang w:val="fr-FR"/>
        </w:rPr>
        <w:t>d</w:t>
      </w:r>
      <w:r w:rsidR="00AA5429">
        <w:rPr>
          <w:lang w:val="fr-FR"/>
        </w:rPr>
        <w:t>’</w:t>
      </w:r>
      <w:r w:rsidR="00054EE7" w:rsidRPr="00054EE7">
        <w:rPr>
          <w:lang w:val="fr-FR"/>
        </w:rPr>
        <w:t>une période plus longue fixée par la législation nationale du pays visé à l</w:t>
      </w:r>
      <w:r w:rsidR="00AA5429">
        <w:rPr>
          <w:lang w:val="fr-FR"/>
        </w:rPr>
        <w:t>’</w:t>
      </w:r>
      <w:r w:rsidR="00054EE7" w:rsidRPr="00054EE7">
        <w:rPr>
          <w:lang w:val="fr-FR"/>
        </w:rPr>
        <w:t>alinéa</w:t>
      </w:r>
      <w:r w:rsidR="00054EE7">
        <w:rPr>
          <w:lang w:val="fr-FR"/>
        </w:rPr>
        <w:t> </w:t>
      </w:r>
      <w:r w:rsidR="00054EE7" w:rsidRPr="00054EE7">
        <w:rPr>
          <w:lang w:val="fr-FR"/>
        </w:rPr>
        <w:t>1) et calculée à partir de la même date,</w:t>
      </w:r>
    </w:p>
    <w:p w14:paraId="21306A30" w14:textId="0E775EC1" w:rsidR="008D5223" w:rsidRPr="00821360" w:rsidRDefault="00054EE7" w:rsidP="00D52B7A">
      <w:pPr>
        <w:pStyle w:val="Provision"/>
        <w:spacing w:after="160" w:line="259" w:lineRule="auto"/>
        <w:rPr>
          <w:lang w:val="fr-FR"/>
        </w:rPr>
      </w:pPr>
      <w:r w:rsidRPr="00054EE7">
        <w:rPr>
          <w:lang w:val="fr-FR"/>
        </w:rPr>
        <w:t>des exemplaires de cette édition n</w:t>
      </w:r>
      <w:r w:rsidR="00AA5429">
        <w:rPr>
          <w:lang w:val="fr-FR"/>
        </w:rPr>
        <w:t>’</w:t>
      </w:r>
      <w:r w:rsidRPr="00054EE7">
        <w:rPr>
          <w:lang w:val="fr-FR"/>
        </w:rPr>
        <w:t>ont pas été mis en vente, dans ce pays, pour répondre aux besoins, soit du grand public, soit de l</w:t>
      </w:r>
      <w:r w:rsidR="00AA5429">
        <w:rPr>
          <w:lang w:val="fr-FR"/>
        </w:rPr>
        <w:t>’</w:t>
      </w:r>
      <w:r w:rsidRPr="00054EE7">
        <w:rPr>
          <w:lang w:val="fr-FR"/>
        </w:rPr>
        <w:t>enseignement scolaire et universitaire, par le titulaire du droit de reproduction ou avec son autorisation, à un prix comparable à celui qui est en usage dans ledit pays pour des œuvres analogues, tout ressortissant dudit pays pourra obtenir une licence pour reproduire et publier cette édition, à ce prix ou à un prix inférieur, en vue de répondre aux besoins de l</w:t>
      </w:r>
      <w:r w:rsidR="00AA5429">
        <w:rPr>
          <w:lang w:val="fr-FR"/>
        </w:rPr>
        <w:t>’</w:t>
      </w:r>
      <w:r w:rsidRPr="00054EE7">
        <w:rPr>
          <w:lang w:val="fr-FR"/>
        </w:rPr>
        <w:t>enseignement scolaire et universitaire</w:t>
      </w:r>
      <w:r w:rsidR="008D5223" w:rsidRPr="00821360">
        <w:rPr>
          <w:lang w:val="fr-FR"/>
        </w:rPr>
        <w:t>.</w:t>
      </w:r>
    </w:p>
    <w:p w14:paraId="677E2AF0" w14:textId="54CF1F41" w:rsidR="00830A07" w:rsidRPr="00821360" w:rsidRDefault="00054EE7" w:rsidP="00D52B7A">
      <w:pPr>
        <w:rPr>
          <w:lang w:val="fr-FR"/>
        </w:rPr>
      </w:pPr>
      <w:r>
        <w:rPr>
          <w:lang w:val="fr-FR"/>
        </w:rPr>
        <w:t>La présente version actualisée de l</w:t>
      </w:r>
      <w:r w:rsidR="00AA5429">
        <w:rPr>
          <w:lang w:val="fr-FR"/>
        </w:rPr>
        <w:t>’</w:t>
      </w:r>
      <w:r>
        <w:rPr>
          <w:lang w:val="fr-FR"/>
        </w:rPr>
        <w:t>étude examine cette question sous l</w:t>
      </w:r>
      <w:r w:rsidR="00AA5429">
        <w:rPr>
          <w:lang w:val="fr-FR"/>
        </w:rPr>
        <w:t>’</w:t>
      </w:r>
      <w:r>
        <w:rPr>
          <w:lang w:val="fr-FR"/>
        </w:rPr>
        <w:t xml:space="preserve">angle de la portée de la copie numérique et de la diffusion numérique des œuvres </w:t>
      </w:r>
      <w:r w:rsidR="006B38BC">
        <w:rPr>
          <w:lang w:val="fr-FR"/>
        </w:rPr>
        <w:t>dans le cadre des dispositions relatives aux licences obligatoires figurant dans la législation nationale donnant effet aux articles II et III de l</w:t>
      </w:r>
      <w:r w:rsidR="00AA5429">
        <w:rPr>
          <w:lang w:val="fr-FR"/>
        </w:rPr>
        <w:t>’</w:t>
      </w:r>
      <w:r w:rsidR="006B38BC">
        <w:rPr>
          <w:lang w:val="fr-FR"/>
        </w:rPr>
        <w:t>annexe de la Convention de Berne</w:t>
      </w:r>
      <w:r w:rsidR="00E16683" w:rsidRPr="00821360">
        <w:rPr>
          <w:lang w:val="fr-FR"/>
        </w:rPr>
        <w:t>.</w:t>
      </w:r>
    </w:p>
    <w:p w14:paraId="7EEDBA76" w14:textId="28C720E7" w:rsidR="00647D7C" w:rsidRPr="00821360" w:rsidRDefault="006B38BC" w:rsidP="00D52B7A">
      <w:pPr>
        <w:rPr>
          <w:lang w:val="fr-FR"/>
        </w:rPr>
      </w:pPr>
      <w:r>
        <w:rPr>
          <w:lang w:val="fr-FR"/>
        </w:rPr>
        <w:t>Aux fins de l</w:t>
      </w:r>
      <w:r w:rsidR="00AA5429">
        <w:rPr>
          <w:lang w:val="fr-FR"/>
        </w:rPr>
        <w:t>’</w:t>
      </w:r>
      <w:r>
        <w:rPr>
          <w:lang w:val="fr-FR"/>
        </w:rPr>
        <w:t xml:space="preserve">examen de cette </w:t>
      </w:r>
      <w:r w:rsidR="00746E45" w:rsidRPr="00821360">
        <w:rPr>
          <w:lang w:val="fr-FR"/>
        </w:rPr>
        <w:t xml:space="preserve">question, </w:t>
      </w:r>
      <w:r>
        <w:rPr>
          <w:lang w:val="fr-FR"/>
        </w:rPr>
        <w:t xml:space="preserve">qui exige une analyse </w:t>
      </w:r>
      <w:r w:rsidR="00647D28">
        <w:rPr>
          <w:lang w:val="fr-FR"/>
        </w:rPr>
        <w:t>approfondie de la législation nationale des États membres, il est fait exclusivement référence aux dispositions relatives aux définition</w:t>
      </w:r>
      <w:r w:rsidR="00282994">
        <w:rPr>
          <w:lang w:val="fr-FR"/>
        </w:rPr>
        <w:t>s dans la législation des États membres en matière de droit d</w:t>
      </w:r>
      <w:r w:rsidR="00AA5429">
        <w:rPr>
          <w:lang w:val="fr-FR"/>
        </w:rPr>
        <w:t>’</w:t>
      </w:r>
      <w:r w:rsidR="00282994">
        <w:rPr>
          <w:lang w:val="fr-FR"/>
        </w:rPr>
        <w:t>auteur</w:t>
      </w:r>
      <w:r w:rsidR="00746E45" w:rsidRPr="00821360">
        <w:rPr>
          <w:lang w:val="fr-FR"/>
        </w:rPr>
        <w:t xml:space="preserve">, </w:t>
      </w:r>
      <w:r w:rsidR="00282994">
        <w:rPr>
          <w:lang w:val="fr-FR"/>
        </w:rPr>
        <w:t xml:space="preserve">afin de définir la portée du droit de reproduction, du droit de </w:t>
      </w:r>
      <w:r w:rsidR="00C63081" w:rsidRPr="00821360">
        <w:rPr>
          <w:lang w:val="fr-FR"/>
        </w:rPr>
        <w:t xml:space="preserve">publication </w:t>
      </w:r>
      <w:r w:rsidR="00282994">
        <w:rPr>
          <w:lang w:val="fr-FR"/>
        </w:rPr>
        <w:t xml:space="preserve">et du droit de </w:t>
      </w:r>
      <w:r w:rsidR="00746E45" w:rsidRPr="00821360">
        <w:rPr>
          <w:lang w:val="fr-FR"/>
        </w:rPr>
        <w:t xml:space="preserve">communication </w:t>
      </w:r>
      <w:r w:rsidR="00282994">
        <w:rPr>
          <w:lang w:val="fr-FR"/>
        </w:rPr>
        <w:t xml:space="preserve">au </w:t>
      </w:r>
      <w:r w:rsidR="00746E45" w:rsidRPr="00821360">
        <w:rPr>
          <w:lang w:val="fr-FR"/>
        </w:rPr>
        <w:t>public (</w:t>
      </w:r>
      <w:r w:rsidR="002C7D9F" w:rsidRPr="00821360">
        <w:rPr>
          <w:lang w:val="fr-FR"/>
        </w:rPr>
        <w:t>a</w:t>
      </w:r>
      <w:r w:rsidR="00282994">
        <w:rPr>
          <w:lang w:val="fr-FR"/>
        </w:rPr>
        <w:t>insi que du droit de mise à disposition d</w:t>
      </w:r>
      <w:r w:rsidR="00AA5429">
        <w:rPr>
          <w:lang w:val="fr-FR"/>
        </w:rPr>
        <w:t>’</w:t>
      </w:r>
      <w:r w:rsidR="00282994">
        <w:rPr>
          <w:lang w:val="fr-FR"/>
        </w:rPr>
        <w:t>une œuvre</w:t>
      </w:r>
      <w:r w:rsidR="00746E45" w:rsidRPr="00821360">
        <w:rPr>
          <w:rStyle w:val="FootnoteReference"/>
          <w:lang w:val="fr-FR"/>
        </w:rPr>
        <w:footnoteReference w:id="9"/>
      </w:r>
      <w:r w:rsidR="00282994">
        <w:rPr>
          <w:lang w:val="fr-FR"/>
        </w:rPr>
        <w:t xml:space="preserve">) </w:t>
      </w:r>
      <w:r w:rsidR="005A7EEC">
        <w:rPr>
          <w:lang w:val="fr-FR"/>
        </w:rPr>
        <w:t>au regard d</w:t>
      </w:r>
      <w:r w:rsidR="00282994">
        <w:rPr>
          <w:lang w:val="fr-FR"/>
        </w:rPr>
        <w:t>e la diffusion numériq</w:t>
      </w:r>
      <w:r w:rsidR="00D07A5F">
        <w:rPr>
          <w:lang w:val="fr-FR"/>
        </w:rPr>
        <w:t>ue.  Da</w:t>
      </w:r>
      <w:r w:rsidR="005A7EEC">
        <w:rPr>
          <w:lang w:val="fr-FR"/>
        </w:rPr>
        <w:t>ns le cadre de cet examen, les définitions sont examinées eu égard à la possibilité que les droits définis dans la législation nationale englobent les reproductions numériques, les publications numériques et la diffusion numérique</w:t>
      </w:r>
      <w:r w:rsidR="00830A07" w:rsidRPr="00821360">
        <w:rPr>
          <w:lang w:val="fr-FR"/>
        </w:rPr>
        <w:t>.</w:t>
      </w:r>
    </w:p>
    <w:p w14:paraId="01173EFA" w14:textId="26ABEEC8" w:rsidR="00746E45" w:rsidRPr="00821360" w:rsidRDefault="001D1220" w:rsidP="00D52B7A">
      <w:pPr>
        <w:rPr>
          <w:lang w:val="fr-FR"/>
        </w:rPr>
      </w:pPr>
      <w:r>
        <w:rPr>
          <w:lang w:val="fr-FR"/>
        </w:rPr>
        <w:t>Cet exercice a été réalisé avec une bonne dose d</w:t>
      </w:r>
      <w:r w:rsidR="00AA5429">
        <w:rPr>
          <w:lang w:val="fr-FR"/>
        </w:rPr>
        <w:t>’</w:t>
      </w:r>
      <w:r>
        <w:rPr>
          <w:lang w:val="fr-FR"/>
        </w:rPr>
        <w:t>appréhension dans la mesure où il n</w:t>
      </w:r>
      <w:r w:rsidR="00AA5429">
        <w:rPr>
          <w:lang w:val="fr-FR"/>
        </w:rPr>
        <w:t>’</w:t>
      </w:r>
      <w:r>
        <w:rPr>
          <w:lang w:val="fr-FR"/>
        </w:rPr>
        <w:t>a pas été possible, dans les circonstances dans lesquelles la présente version actualisée de l</w:t>
      </w:r>
      <w:r w:rsidR="00AA5429">
        <w:rPr>
          <w:lang w:val="fr-FR"/>
        </w:rPr>
        <w:t>’</w:t>
      </w:r>
      <w:r>
        <w:rPr>
          <w:lang w:val="fr-FR"/>
        </w:rPr>
        <w:t>étude a été établie, de consulter les experts juridiques des États membr</w:t>
      </w:r>
      <w:r w:rsidR="00D07A5F">
        <w:rPr>
          <w:lang w:val="fr-FR"/>
        </w:rPr>
        <w:t xml:space="preserve">es.  </w:t>
      </w:r>
      <w:r w:rsidR="00D07A5F" w:rsidRPr="00821360">
        <w:rPr>
          <w:lang w:val="fr-FR"/>
        </w:rPr>
        <w:t>I</w:t>
      </w:r>
      <w:r w:rsidR="00D07A5F">
        <w:rPr>
          <w:lang w:val="fr-FR"/>
        </w:rPr>
        <w:t>l</w:t>
      </w:r>
      <w:r>
        <w:rPr>
          <w:lang w:val="fr-FR"/>
        </w:rPr>
        <w:t xml:space="preserve"> a également été rendu difficile par </w:t>
      </w:r>
      <w:r w:rsidR="002604AE">
        <w:rPr>
          <w:lang w:val="fr-FR"/>
        </w:rPr>
        <w:t xml:space="preserve">le traitement non homogène de la copie numérique et de la diffusion numérique </w:t>
      </w:r>
      <w:r>
        <w:rPr>
          <w:lang w:val="fr-FR"/>
        </w:rPr>
        <w:t>dans la législation des différents pa</w:t>
      </w:r>
      <w:r w:rsidR="00D07A5F">
        <w:rPr>
          <w:lang w:val="fr-FR"/>
        </w:rPr>
        <w:t>ys.  Pa</w:t>
      </w:r>
      <w:r>
        <w:rPr>
          <w:lang w:val="fr-FR"/>
        </w:rPr>
        <w:t xml:space="preserve">r exemple, dans certains États membres, le droit de distribution </w:t>
      </w:r>
      <w:r w:rsidR="002604AE">
        <w:rPr>
          <w:lang w:val="fr-FR"/>
        </w:rPr>
        <w:t>s</w:t>
      </w:r>
      <w:r w:rsidR="00AA5429">
        <w:rPr>
          <w:lang w:val="fr-FR"/>
        </w:rPr>
        <w:t>’</w:t>
      </w:r>
      <w:r w:rsidR="002604AE">
        <w:rPr>
          <w:lang w:val="fr-FR"/>
        </w:rPr>
        <w:t xml:space="preserve">entend de la circulation </w:t>
      </w:r>
      <w:r w:rsidR="00D930F9">
        <w:rPr>
          <w:lang w:val="fr-FR"/>
        </w:rPr>
        <w:t>de copies matérielles</w:t>
      </w:r>
      <w:r w:rsidR="002604AE">
        <w:rPr>
          <w:lang w:val="fr-FR"/>
        </w:rPr>
        <w:t xml:space="preserve"> des œuvres, alors que dans d</w:t>
      </w:r>
      <w:r w:rsidR="00AA5429">
        <w:rPr>
          <w:lang w:val="fr-FR"/>
        </w:rPr>
        <w:t>’</w:t>
      </w:r>
      <w:r w:rsidR="002604AE">
        <w:rPr>
          <w:lang w:val="fr-FR"/>
        </w:rPr>
        <w:t xml:space="preserve">autres États membres, le droit de distribution inclut le droit de diffusion et, dès lors, la </w:t>
      </w:r>
      <w:r w:rsidR="00746E45" w:rsidRPr="00821360">
        <w:rPr>
          <w:lang w:val="fr-FR"/>
        </w:rPr>
        <w:t xml:space="preserve">circulation </w:t>
      </w:r>
      <w:r w:rsidR="002604AE">
        <w:rPr>
          <w:lang w:val="fr-FR"/>
        </w:rPr>
        <w:t xml:space="preserve">et la </w:t>
      </w:r>
      <w:r w:rsidR="00746E45" w:rsidRPr="00821360">
        <w:rPr>
          <w:lang w:val="fr-FR"/>
        </w:rPr>
        <w:t xml:space="preserve">communication </w:t>
      </w:r>
      <w:r w:rsidR="002604AE">
        <w:rPr>
          <w:lang w:val="fr-FR"/>
        </w:rPr>
        <w:t>des œuvres</w:t>
      </w:r>
      <w:r w:rsidR="00746E45" w:rsidRPr="00821360">
        <w:rPr>
          <w:lang w:val="fr-FR"/>
        </w:rPr>
        <w:t xml:space="preserve">, </w:t>
      </w:r>
      <w:r w:rsidR="002604AE">
        <w:rPr>
          <w:lang w:val="fr-FR"/>
        </w:rPr>
        <w:t>sans qu</w:t>
      </w:r>
      <w:r w:rsidR="00AA5429">
        <w:rPr>
          <w:lang w:val="fr-FR"/>
        </w:rPr>
        <w:t>’</w:t>
      </w:r>
      <w:r w:rsidR="002604AE">
        <w:rPr>
          <w:lang w:val="fr-FR"/>
        </w:rPr>
        <w:t xml:space="preserve">il soit nécessaire de faire circuler des </w:t>
      </w:r>
      <w:r w:rsidR="00D930F9">
        <w:rPr>
          <w:lang w:val="fr-FR"/>
        </w:rPr>
        <w:t>copies matériell</w:t>
      </w:r>
      <w:r w:rsidR="00D07A5F">
        <w:rPr>
          <w:lang w:val="fr-FR"/>
        </w:rPr>
        <w:t>es.  La</w:t>
      </w:r>
      <w:r w:rsidR="00D930F9">
        <w:rPr>
          <w:lang w:val="fr-FR"/>
        </w:rPr>
        <w:t xml:space="preserve"> difficulté de l</w:t>
      </w:r>
      <w:r w:rsidR="00AA5429">
        <w:rPr>
          <w:lang w:val="fr-FR"/>
        </w:rPr>
        <w:t>’</w:t>
      </w:r>
      <w:r w:rsidR="00D930F9">
        <w:rPr>
          <w:lang w:val="fr-FR"/>
        </w:rPr>
        <w:t xml:space="preserve">analyse est encore </w:t>
      </w:r>
      <w:proofErr w:type="gramStart"/>
      <w:r w:rsidR="00667230">
        <w:rPr>
          <w:lang w:val="fr-FR"/>
        </w:rPr>
        <w:t>renforcée</w:t>
      </w:r>
      <w:proofErr w:type="gramEnd"/>
      <w:r w:rsidR="00D930F9">
        <w:rPr>
          <w:lang w:val="fr-FR"/>
        </w:rPr>
        <w:t xml:space="preserve"> par le fait que dans un grand nombre d</w:t>
      </w:r>
      <w:r w:rsidR="00AA5429">
        <w:rPr>
          <w:lang w:val="fr-FR"/>
        </w:rPr>
        <w:t>’</w:t>
      </w:r>
      <w:r w:rsidR="00D930F9">
        <w:rPr>
          <w:lang w:val="fr-FR"/>
        </w:rPr>
        <w:t xml:space="preserve">États membres, les dispositions relatives aux définitions sont succinctes ou ne font aucune référence </w:t>
      </w:r>
      <w:r w:rsidR="00F54D7B">
        <w:rPr>
          <w:lang w:val="fr-FR"/>
        </w:rPr>
        <w:t>aux</w:t>
      </w:r>
      <w:r w:rsidR="00F54D7B" w:rsidRPr="00F54D7B">
        <w:rPr>
          <w:lang w:val="fr-FR"/>
        </w:rPr>
        <w:t xml:space="preserve"> moyens numériques </w:t>
      </w:r>
      <w:r w:rsidR="00D930F9">
        <w:rPr>
          <w:lang w:val="fr-FR"/>
        </w:rPr>
        <w:t>ou à la transmission numérique</w:t>
      </w:r>
      <w:r w:rsidR="00746E45" w:rsidRPr="00821360">
        <w:rPr>
          <w:lang w:val="fr-FR"/>
        </w:rPr>
        <w:t>.</w:t>
      </w:r>
    </w:p>
    <w:p w14:paraId="21E0965A" w14:textId="080E9BC4" w:rsidR="00AA5429" w:rsidRDefault="00D930F9" w:rsidP="00D52B7A">
      <w:pPr>
        <w:rPr>
          <w:lang w:val="fr-FR"/>
        </w:rPr>
      </w:pPr>
      <w:r>
        <w:rPr>
          <w:lang w:val="fr-FR"/>
        </w:rPr>
        <w:t xml:space="preserve">Ainsi, dans les limites de la présente étude plutôt modeste et superficielle, et </w:t>
      </w:r>
      <w:r w:rsidR="00587242">
        <w:rPr>
          <w:lang w:val="fr-FR"/>
        </w:rPr>
        <w:t>ne pouvant s</w:t>
      </w:r>
      <w:r w:rsidR="00AA5429">
        <w:rPr>
          <w:lang w:val="fr-FR"/>
        </w:rPr>
        <w:t>’</w:t>
      </w:r>
      <w:r w:rsidR="00587242">
        <w:rPr>
          <w:lang w:val="fr-FR"/>
        </w:rPr>
        <w:t>appuyer sur l</w:t>
      </w:r>
      <w:r w:rsidR="00AA5429">
        <w:rPr>
          <w:lang w:val="fr-FR"/>
        </w:rPr>
        <w:t>’</w:t>
      </w:r>
      <w:r w:rsidR="00587242">
        <w:rPr>
          <w:lang w:val="fr-FR"/>
        </w:rPr>
        <w:t>opinion mûrement réfléchie des e</w:t>
      </w:r>
      <w:r w:rsidR="00746E45" w:rsidRPr="00821360">
        <w:rPr>
          <w:lang w:val="fr-FR"/>
        </w:rPr>
        <w:t xml:space="preserve">xperts, </w:t>
      </w:r>
      <w:r w:rsidR="00587242">
        <w:rPr>
          <w:lang w:val="fr-FR"/>
        </w:rPr>
        <w:t>il a été tenté de répondre à ces questions, ainsi résumées</w:t>
      </w:r>
      <w:r w:rsidR="00AA5429">
        <w:rPr>
          <w:lang w:val="fr-FR"/>
        </w:rPr>
        <w:t> :</w:t>
      </w:r>
    </w:p>
    <w:p w14:paraId="047ACC17" w14:textId="4DDC922D" w:rsidR="00AA5429" w:rsidRDefault="00587242" w:rsidP="00D52B7A">
      <w:pPr>
        <w:pStyle w:val="ListParagraph"/>
        <w:numPr>
          <w:ilvl w:val="0"/>
          <w:numId w:val="3"/>
        </w:numPr>
        <w:rPr>
          <w:lang w:val="fr-FR"/>
        </w:rPr>
      </w:pPr>
      <w:r w:rsidRPr="00587242">
        <w:rPr>
          <w:lang w:val="fr-FR"/>
        </w:rPr>
        <w:t xml:space="preserve">la </w:t>
      </w:r>
      <w:r w:rsidR="00746E45" w:rsidRPr="00587242">
        <w:rPr>
          <w:lang w:val="fr-FR"/>
        </w:rPr>
        <w:t xml:space="preserve">reproduction, </w:t>
      </w:r>
      <w:r w:rsidRPr="00587242">
        <w:rPr>
          <w:lang w:val="fr-FR"/>
        </w:rPr>
        <w:t xml:space="preserve">la </w:t>
      </w:r>
      <w:r w:rsidR="00746E45" w:rsidRPr="00587242">
        <w:rPr>
          <w:lang w:val="fr-FR"/>
        </w:rPr>
        <w:t>publication o</w:t>
      </w:r>
      <w:r w:rsidRPr="00587242">
        <w:rPr>
          <w:lang w:val="fr-FR"/>
        </w:rPr>
        <w:t xml:space="preserve">u la diffusion </w:t>
      </w:r>
      <w:r w:rsidR="00F54D7B">
        <w:rPr>
          <w:lang w:val="fr-FR"/>
        </w:rPr>
        <w:t>par des moyens</w:t>
      </w:r>
      <w:r w:rsidRPr="00587242">
        <w:rPr>
          <w:lang w:val="fr-FR"/>
        </w:rPr>
        <w:t xml:space="preserve"> numérique</w:t>
      </w:r>
      <w:r w:rsidR="00F54D7B">
        <w:rPr>
          <w:lang w:val="fr-FR"/>
        </w:rPr>
        <w:t>s</w:t>
      </w:r>
      <w:r w:rsidRPr="00587242">
        <w:rPr>
          <w:lang w:val="fr-FR"/>
        </w:rPr>
        <w:t xml:space="preserve"> s</w:t>
      </w:r>
      <w:r w:rsidR="0031337C">
        <w:rPr>
          <w:lang w:val="fr-FR"/>
        </w:rPr>
        <w:t>on</w:t>
      </w:r>
      <w:r w:rsidRPr="00587242">
        <w:rPr>
          <w:lang w:val="fr-FR"/>
        </w:rPr>
        <w:t>t autorisée</w:t>
      </w:r>
      <w:r w:rsidR="0031337C">
        <w:rPr>
          <w:lang w:val="fr-FR"/>
        </w:rPr>
        <w:t>s</w:t>
      </w:r>
      <w:r w:rsidRPr="00587242">
        <w:rPr>
          <w:lang w:val="fr-FR"/>
        </w:rPr>
        <w:t>;</w:t>
      </w:r>
    </w:p>
    <w:p w14:paraId="390C7D57" w14:textId="770838A4" w:rsidR="00AA5429" w:rsidRDefault="00587242" w:rsidP="00D52B7A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aucune </w:t>
      </w:r>
      <w:r w:rsidR="00746E45" w:rsidRPr="00587242">
        <w:rPr>
          <w:lang w:val="fr-FR"/>
        </w:rPr>
        <w:t>reproduction, publication o</w:t>
      </w:r>
      <w:r>
        <w:rPr>
          <w:lang w:val="fr-FR"/>
        </w:rPr>
        <w:t xml:space="preserve">u diffusion </w:t>
      </w:r>
      <w:r w:rsidR="00F54D7B" w:rsidRPr="00F54D7B">
        <w:rPr>
          <w:lang w:val="fr-FR"/>
        </w:rPr>
        <w:t xml:space="preserve">par des moyens numériques </w:t>
      </w:r>
      <w:r>
        <w:rPr>
          <w:lang w:val="fr-FR"/>
        </w:rPr>
        <w:t>n</w:t>
      </w:r>
      <w:r w:rsidR="00AA5429">
        <w:rPr>
          <w:lang w:val="fr-FR"/>
        </w:rPr>
        <w:t>’</w:t>
      </w:r>
      <w:r>
        <w:rPr>
          <w:lang w:val="fr-FR"/>
        </w:rPr>
        <w:t>est autorisée;</w:t>
      </w:r>
    </w:p>
    <w:p w14:paraId="72A9744A" w14:textId="2D45262A" w:rsidR="00746E45" w:rsidRPr="00821360" w:rsidRDefault="00F954C3" w:rsidP="00D52B7A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avec une certaine réticence, la </w:t>
      </w:r>
      <w:r w:rsidR="00746E45" w:rsidRPr="00821360">
        <w:rPr>
          <w:lang w:val="fr-FR"/>
        </w:rPr>
        <w:t xml:space="preserve">reproduction, </w:t>
      </w:r>
      <w:r>
        <w:rPr>
          <w:lang w:val="fr-FR"/>
        </w:rPr>
        <w:t xml:space="preserve">la </w:t>
      </w:r>
      <w:r w:rsidR="00746E45" w:rsidRPr="00821360">
        <w:rPr>
          <w:lang w:val="fr-FR"/>
        </w:rPr>
        <w:t>publication o</w:t>
      </w:r>
      <w:r>
        <w:rPr>
          <w:lang w:val="fr-FR"/>
        </w:rPr>
        <w:t xml:space="preserve">u la diffusion </w:t>
      </w:r>
      <w:r w:rsidR="00F54D7B" w:rsidRPr="00F54D7B">
        <w:rPr>
          <w:lang w:val="fr-FR"/>
        </w:rPr>
        <w:t>par des moyens numériques</w:t>
      </w:r>
      <w:r>
        <w:rPr>
          <w:lang w:val="fr-FR"/>
        </w:rPr>
        <w:t xml:space="preserve"> </w:t>
      </w:r>
      <w:r w:rsidR="0031337C">
        <w:rPr>
          <w:lang w:val="fr-FR"/>
        </w:rPr>
        <w:t>sont</w:t>
      </w:r>
      <w:r>
        <w:rPr>
          <w:lang w:val="fr-FR"/>
        </w:rPr>
        <w:t xml:space="preserve"> probablement </w:t>
      </w:r>
      <w:r w:rsidR="00746E45" w:rsidRPr="00821360">
        <w:rPr>
          <w:lang w:val="fr-FR"/>
        </w:rPr>
        <w:t>possible</w:t>
      </w:r>
      <w:r w:rsidR="0031337C">
        <w:rPr>
          <w:lang w:val="fr-FR"/>
        </w:rPr>
        <w:t>s</w:t>
      </w:r>
      <w:r w:rsidR="004A290E">
        <w:rPr>
          <w:lang w:val="fr-FR"/>
        </w:rPr>
        <w:t>.</w:t>
      </w:r>
    </w:p>
    <w:p w14:paraId="342EB247" w14:textId="46D2FA96" w:rsidR="00CE7F60" w:rsidRPr="00821360" w:rsidRDefault="00F954C3" w:rsidP="00D52B7A">
      <w:pPr>
        <w:rPr>
          <w:lang w:val="fr-FR"/>
        </w:rPr>
      </w:pPr>
      <w:r>
        <w:rPr>
          <w:lang w:val="fr-FR"/>
        </w:rPr>
        <w:t>L</w:t>
      </w:r>
      <w:r w:rsidR="00AA5429">
        <w:rPr>
          <w:lang w:val="fr-FR"/>
        </w:rPr>
        <w:t>’</w:t>
      </w:r>
      <w:r>
        <w:rPr>
          <w:lang w:val="fr-FR"/>
        </w:rPr>
        <w:t>étude a établi que, globalement, les dispositions relatives à la concession de licences sur la base de l</w:t>
      </w:r>
      <w:r w:rsidR="00AA5429">
        <w:rPr>
          <w:lang w:val="fr-FR"/>
        </w:rPr>
        <w:t>’</w:t>
      </w:r>
      <w:r>
        <w:rPr>
          <w:lang w:val="fr-FR"/>
        </w:rPr>
        <w:t xml:space="preserve">annexe de la Convention de Berne semblent </w:t>
      </w:r>
      <w:r w:rsidR="005D1A63">
        <w:rPr>
          <w:lang w:val="fr-FR"/>
        </w:rPr>
        <w:t xml:space="preserve">déjà </w:t>
      </w:r>
      <w:r>
        <w:rPr>
          <w:lang w:val="fr-FR"/>
        </w:rPr>
        <w:t xml:space="preserve">prévoir la reproduction numérique et la </w:t>
      </w:r>
      <w:r>
        <w:rPr>
          <w:lang w:val="fr-FR"/>
        </w:rPr>
        <w:lastRenderedPageBreak/>
        <w:t>publication numériq</w:t>
      </w:r>
      <w:r w:rsidR="00D07A5F">
        <w:rPr>
          <w:lang w:val="fr-FR"/>
        </w:rPr>
        <w:t>ue.  Pa</w:t>
      </w:r>
      <w:r>
        <w:rPr>
          <w:lang w:val="fr-FR"/>
        </w:rPr>
        <w:t xml:space="preserve">r exemple, </w:t>
      </w:r>
      <w:r w:rsidR="00CE7F60" w:rsidRPr="00821360">
        <w:rPr>
          <w:lang w:val="fr-FR"/>
        </w:rPr>
        <w:t>31</w:t>
      </w:r>
      <w:r w:rsidR="005D1A63">
        <w:rPr>
          <w:lang w:val="fr-FR"/>
        </w:rPr>
        <w:t> dispositions</w:t>
      </w:r>
      <w:r w:rsidR="004A290E">
        <w:rPr>
          <w:lang w:val="fr-FR"/>
        </w:rPr>
        <w:t xml:space="preserve"> (29 </w:t>
      </w:r>
      <w:r w:rsidR="005D1A63">
        <w:rPr>
          <w:lang w:val="fr-FR"/>
        </w:rPr>
        <w:t>États membres</w:t>
      </w:r>
      <w:r w:rsidR="00CE7F60" w:rsidRPr="00821360">
        <w:rPr>
          <w:lang w:val="fr-FR"/>
        </w:rPr>
        <w:t xml:space="preserve">) </w:t>
      </w:r>
      <w:r w:rsidR="005D1A63">
        <w:rPr>
          <w:lang w:val="fr-FR"/>
        </w:rPr>
        <w:t xml:space="preserve">et </w:t>
      </w:r>
      <w:r w:rsidR="00CE7F60" w:rsidRPr="00821360">
        <w:rPr>
          <w:lang w:val="fr-FR"/>
        </w:rPr>
        <w:t>26</w:t>
      </w:r>
      <w:r w:rsidR="005D1A63">
        <w:rPr>
          <w:lang w:val="fr-FR"/>
        </w:rPr>
        <w:t xml:space="preserve"> dispositions </w:t>
      </w:r>
      <w:r w:rsidR="00CE7F60" w:rsidRPr="00821360">
        <w:rPr>
          <w:lang w:val="fr-FR"/>
        </w:rPr>
        <w:t>(24</w:t>
      </w:r>
      <w:r w:rsidR="005D1A63">
        <w:rPr>
          <w:lang w:val="fr-FR"/>
        </w:rPr>
        <w:t> États membres</w:t>
      </w:r>
      <w:r w:rsidR="00CE7F60" w:rsidRPr="00821360">
        <w:rPr>
          <w:lang w:val="fr-FR"/>
        </w:rPr>
        <w:t xml:space="preserve">) </w:t>
      </w:r>
      <w:r w:rsidR="00746E45" w:rsidRPr="00821360">
        <w:rPr>
          <w:lang w:val="fr-FR"/>
        </w:rPr>
        <w:t>p</w:t>
      </w:r>
      <w:r w:rsidR="005D1A63">
        <w:rPr>
          <w:lang w:val="fr-FR"/>
        </w:rPr>
        <w:t xml:space="preserve">ortant sur les </w:t>
      </w:r>
      <w:r w:rsidR="00746E45" w:rsidRPr="00821360">
        <w:rPr>
          <w:lang w:val="fr-FR"/>
        </w:rPr>
        <w:t xml:space="preserve">licences </w:t>
      </w:r>
      <w:r w:rsidR="005D1A63">
        <w:rPr>
          <w:lang w:val="fr-FR"/>
        </w:rPr>
        <w:t xml:space="preserve">aux fins de la </w:t>
      </w:r>
      <w:r w:rsidR="00CE7F60" w:rsidRPr="00821360">
        <w:rPr>
          <w:lang w:val="fr-FR"/>
        </w:rPr>
        <w:t xml:space="preserve">reproduction </w:t>
      </w:r>
      <w:r w:rsidR="005D1A63">
        <w:rPr>
          <w:lang w:val="fr-FR"/>
        </w:rPr>
        <w:t>autorisent clairement la reproduction numérique et la publication numérique, respectiveme</w:t>
      </w:r>
      <w:r w:rsidR="00D07A5F">
        <w:rPr>
          <w:lang w:val="fr-FR"/>
        </w:rPr>
        <w:t>nt.  De</w:t>
      </w:r>
      <w:r w:rsidR="005D1A63">
        <w:rPr>
          <w:lang w:val="fr-FR"/>
        </w:rPr>
        <w:t xml:space="preserve"> même, </w:t>
      </w:r>
      <w:r w:rsidR="00CE7F60" w:rsidRPr="00821360">
        <w:rPr>
          <w:lang w:val="fr-FR"/>
        </w:rPr>
        <w:t>35</w:t>
      </w:r>
      <w:r w:rsidR="005D1A63">
        <w:rPr>
          <w:lang w:val="fr-FR"/>
        </w:rPr>
        <w:t> dispositions</w:t>
      </w:r>
      <w:r w:rsidR="00CE7F60" w:rsidRPr="00821360">
        <w:rPr>
          <w:lang w:val="fr-FR"/>
        </w:rPr>
        <w:t xml:space="preserve"> (31</w:t>
      </w:r>
      <w:r w:rsidR="005D1A63">
        <w:rPr>
          <w:lang w:val="fr-FR"/>
        </w:rPr>
        <w:t> États membres</w:t>
      </w:r>
      <w:r w:rsidR="00CE7F60" w:rsidRPr="00821360">
        <w:rPr>
          <w:lang w:val="fr-FR"/>
        </w:rPr>
        <w:t xml:space="preserve">) </w:t>
      </w:r>
      <w:r w:rsidR="005D1A63">
        <w:rPr>
          <w:lang w:val="fr-FR"/>
        </w:rPr>
        <w:t xml:space="preserve">et </w:t>
      </w:r>
      <w:r w:rsidR="00CE7F60" w:rsidRPr="00821360">
        <w:rPr>
          <w:lang w:val="fr-FR"/>
        </w:rPr>
        <w:t>32</w:t>
      </w:r>
      <w:r w:rsidR="005D1A63">
        <w:rPr>
          <w:lang w:val="fr-FR"/>
        </w:rPr>
        <w:t xml:space="preserve"> dispositions </w:t>
      </w:r>
      <w:r w:rsidR="00CE7F60" w:rsidRPr="00821360">
        <w:rPr>
          <w:lang w:val="fr-FR"/>
        </w:rPr>
        <w:t>(28</w:t>
      </w:r>
      <w:r w:rsidR="005D1A63">
        <w:rPr>
          <w:lang w:val="fr-FR"/>
        </w:rPr>
        <w:t xml:space="preserve"> États membres) </w:t>
      </w:r>
      <w:r w:rsidR="005D1A63" w:rsidRPr="005D1A63">
        <w:rPr>
          <w:lang w:val="fr-FR"/>
        </w:rPr>
        <w:t xml:space="preserve">portant sur les licences aux fins de la </w:t>
      </w:r>
      <w:r w:rsidR="005D1A63">
        <w:rPr>
          <w:lang w:val="fr-FR"/>
        </w:rPr>
        <w:t>traduction</w:t>
      </w:r>
      <w:r w:rsidR="005D1A63" w:rsidRPr="005D1A63">
        <w:rPr>
          <w:lang w:val="fr-FR"/>
        </w:rPr>
        <w:t xml:space="preserve"> autorisent clairement la reproduction numérique et la publication numérique, respectiveme</w:t>
      </w:r>
      <w:r w:rsidR="00D07A5F" w:rsidRPr="005D1A63">
        <w:rPr>
          <w:lang w:val="fr-FR"/>
        </w:rPr>
        <w:t>nt</w:t>
      </w:r>
      <w:r w:rsidR="00D07A5F">
        <w:rPr>
          <w:lang w:val="fr-FR"/>
        </w:rPr>
        <w:t>.  Le</w:t>
      </w:r>
      <w:r w:rsidR="005D1A63">
        <w:rPr>
          <w:lang w:val="fr-FR"/>
        </w:rPr>
        <w:t xml:space="preserve">s dispositions autorisant probablement la reproduction numérique ou la publication numérique </w:t>
      </w:r>
      <w:r w:rsidR="007E6B2D" w:rsidRPr="00821360">
        <w:rPr>
          <w:lang w:val="fr-FR"/>
        </w:rPr>
        <w:t>(16</w:t>
      </w:r>
      <w:r w:rsidR="005D1A63">
        <w:rPr>
          <w:lang w:val="fr-FR"/>
        </w:rPr>
        <w:t> dispositions dans la législation de</w:t>
      </w:r>
      <w:r w:rsidR="007E6B2D" w:rsidRPr="00821360">
        <w:rPr>
          <w:lang w:val="fr-FR"/>
        </w:rPr>
        <w:t xml:space="preserve"> 11</w:t>
      </w:r>
      <w:r w:rsidR="005D1A63">
        <w:rPr>
          <w:lang w:val="fr-FR"/>
        </w:rPr>
        <w:t xml:space="preserve"> États membres, et </w:t>
      </w:r>
      <w:r w:rsidR="007E6B2D" w:rsidRPr="00821360">
        <w:rPr>
          <w:lang w:val="fr-FR"/>
        </w:rPr>
        <w:t>23</w:t>
      </w:r>
      <w:r w:rsidR="005D1A63">
        <w:rPr>
          <w:lang w:val="fr-FR"/>
        </w:rPr>
        <w:t xml:space="preserve"> dispositions dans la législation de </w:t>
      </w:r>
      <w:r w:rsidR="007E6B2D" w:rsidRPr="00821360">
        <w:rPr>
          <w:lang w:val="fr-FR"/>
        </w:rPr>
        <w:t>14</w:t>
      </w:r>
      <w:r w:rsidR="005D1A63">
        <w:rPr>
          <w:lang w:val="fr-FR"/>
        </w:rPr>
        <w:t> États membres, respectivement</w:t>
      </w:r>
      <w:r w:rsidR="007E6B2D" w:rsidRPr="00821360">
        <w:rPr>
          <w:lang w:val="fr-FR"/>
        </w:rPr>
        <w:t xml:space="preserve">) </w:t>
      </w:r>
      <w:r w:rsidR="00DA2B08">
        <w:rPr>
          <w:lang w:val="fr-FR"/>
        </w:rPr>
        <w:t>sont minoritaires, et il existe encore moins de dispositions qui n</w:t>
      </w:r>
      <w:r w:rsidR="00AA5429">
        <w:rPr>
          <w:lang w:val="fr-FR"/>
        </w:rPr>
        <w:t>’</w:t>
      </w:r>
      <w:r w:rsidR="00DA2B08">
        <w:rPr>
          <w:lang w:val="fr-FR"/>
        </w:rPr>
        <w:t>autorisent ni la reproduction numérique ni la publication numérique (8 dispositions dans la législation de 7 États membres et 9 dispositions dans la législation de 8 États membres, respectivement</w:t>
      </w:r>
      <w:r w:rsidR="007E6B2D" w:rsidRPr="00821360">
        <w:rPr>
          <w:lang w:val="fr-FR"/>
        </w:rPr>
        <w:t>)</w:t>
      </w:r>
      <w:r w:rsidR="004A0861" w:rsidRPr="00821360">
        <w:rPr>
          <w:lang w:val="fr-FR"/>
        </w:rPr>
        <w:t>.</w:t>
      </w:r>
    </w:p>
    <w:p w14:paraId="01FFEC8B" w14:textId="4F441BB7" w:rsidR="00746E45" w:rsidRPr="00821360" w:rsidRDefault="00F54D7B" w:rsidP="00D52B7A">
      <w:pPr>
        <w:rPr>
          <w:lang w:val="fr-FR"/>
        </w:rPr>
      </w:pPr>
      <w:r>
        <w:rPr>
          <w:lang w:val="fr-FR"/>
        </w:rPr>
        <w:t>Toutefois, ce scénario change en ce qui concerne la diffusion numérique, les dispositions des États membres relatives à la concession de licences semblant ne pas avoir pleinement intégré les</w:t>
      </w:r>
      <w:r w:rsidRPr="00F54D7B">
        <w:rPr>
          <w:lang w:val="fr-FR"/>
        </w:rPr>
        <w:t xml:space="preserve"> moyens numériqu</w:t>
      </w:r>
      <w:r w:rsidR="00D07A5F" w:rsidRPr="00F54D7B">
        <w:rPr>
          <w:lang w:val="fr-FR"/>
        </w:rPr>
        <w:t>es</w:t>
      </w:r>
      <w:r w:rsidR="00D07A5F">
        <w:rPr>
          <w:lang w:val="fr-FR"/>
        </w:rPr>
        <w:t>.  Se</w:t>
      </w:r>
      <w:r>
        <w:rPr>
          <w:lang w:val="fr-FR"/>
        </w:rPr>
        <w:t xml:space="preserve">ules </w:t>
      </w:r>
      <w:r w:rsidR="007E6B2D" w:rsidRPr="00821360">
        <w:rPr>
          <w:lang w:val="fr-FR"/>
        </w:rPr>
        <w:t>6</w:t>
      </w:r>
      <w:r>
        <w:rPr>
          <w:lang w:val="fr-FR"/>
        </w:rPr>
        <w:t xml:space="preserve"> dispositions </w:t>
      </w:r>
      <w:r w:rsidR="007E6B2D" w:rsidRPr="00821360">
        <w:rPr>
          <w:lang w:val="fr-FR"/>
        </w:rPr>
        <w:t>(6</w:t>
      </w:r>
      <w:r>
        <w:rPr>
          <w:lang w:val="fr-FR"/>
        </w:rPr>
        <w:t> États memb</w:t>
      </w:r>
      <w:r w:rsidR="007E6B2D" w:rsidRPr="00821360">
        <w:rPr>
          <w:lang w:val="fr-FR"/>
        </w:rPr>
        <w:t>r</w:t>
      </w:r>
      <w:r>
        <w:rPr>
          <w:lang w:val="fr-FR"/>
        </w:rPr>
        <w:t>es</w:t>
      </w:r>
      <w:r w:rsidR="007E6B2D" w:rsidRPr="00821360">
        <w:rPr>
          <w:lang w:val="fr-FR"/>
        </w:rPr>
        <w:t xml:space="preserve">) </w:t>
      </w:r>
      <w:r>
        <w:rPr>
          <w:lang w:val="fr-FR"/>
        </w:rPr>
        <w:t xml:space="preserve">et </w:t>
      </w:r>
      <w:r w:rsidR="007E6B2D" w:rsidRPr="00821360">
        <w:rPr>
          <w:lang w:val="fr-FR"/>
        </w:rPr>
        <w:t>5</w:t>
      </w:r>
      <w:r>
        <w:rPr>
          <w:lang w:val="fr-FR"/>
        </w:rPr>
        <w:t> dispositions</w:t>
      </w:r>
      <w:r w:rsidR="007E6B2D" w:rsidRPr="00821360">
        <w:rPr>
          <w:lang w:val="fr-FR"/>
        </w:rPr>
        <w:t xml:space="preserve"> (4</w:t>
      </w:r>
      <w:r>
        <w:rPr>
          <w:lang w:val="fr-FR"/>
        </w:rPr>
        <w:t xml:space="preserve"> États </w:t>
      </w:r>
      <w:r w:rsidR="007E6B2D" w:rsidRPr="00821360">
        <w:rPr>
          <w:lang w:val="fr-FR"/>
        </w:rPr>
        <w:t>membr</w:t>
      </w:r>
      <w:r>
        <w:rPr>
          <w:lang w:val="fr-FR"/>
        </w:rPr>
        <w:t>es</w:t>
      </w:r>
      <w:r w:rsidR="007E6B2D" w:rsidRPr="00821360">
        <w:rPr>
          <w:lang w:val="fr-FR"/>
        </w:rPr>
        <w:t xml:space="preserve">) </w:t>
      </w:r>
      <w:r>
        <w:rPr>
          <w:lang w:val="fr-FR"/>
        </w:rPr>
        <w:t>autorisent la diffusion numérique dans les licences aux fins de la reproduction ou de la traduction, respectiveme</w:t>
      </w:r>
      <w:r w:rsidR="00D07A5F">
        <w:rPr>
          <w:lang w:val="fr-FR"/>
        </w:rPr>
        <w:t>nt.  La</w:t>
      </w:r>
      <w:r>
        <w:rPr>
          <w:lang w:val="fr-FR"/>
        </w:rPr>
        <w:t xml:space="preserve"> plupart des dispositions</w:t>
      </w:r>
      <w:r w:rsidR="00746E45" w:rsidRPr="00821360">
        <w:rPr>
          <w:lang w:val="fr-FR"/>
        </w:rPr>
        <w:t xml:space="preserve"> (2</w:t>
      </w:r>
      <w:r w:rsidR="007E6B2D" w:rsidRPr="00821360">
        <w:rPr>
          <w:lang w:val="fr-FR"/>
        </w:rPr>
        <w:t>8</w:t>
      </w:r>
      <w:r>
        <w:rPr>
          <w:lang w:val="fr-FR"/>
        </w:rPr>
        <w:t xml:space="preserve"> dispositions dans la législation de </w:t>
      </w:r>
      <w:r w:rsidR="007E6B2D" w:rsidRPr="00821360">
        <w:rPr>
          <w:lang w:val="fr-FR"/>
        </w:rPr>
        <w:t>26</w:t>
      </w:r>
      <w:r>
        <w:rPr>
          <w:lang w:val="fr-FR"/>
        </w:rPr>
        <w:t xml:space="preserve"> États </w:t>
      </w:r>
      <w:r w:rsidR="0031337C">
        <w:rPr>
          <w:lang w:val="fr-FR"/>
        </w:rPr>
        <w:t xml:space="preserve">membres et </w:t>
      </w:r>
      <w:r w:rsidR="00746E45" w:rsidRPr="00821360">
        <w:rPr>
          <w:lang w:val="fr-FR"/>
        </w:rPr>
        <w:t>38</w:t>
      </w:r>
      <w:r w:rsidR="0031337C">
        <w:rPr>
          <w:lang w:val="fr-FR"/>
        </w:rPr>
        <w:t xml:space="preserve"> dispositions dans la législation de </w:t>
      </w:r>
      <w:r w:rsidR="007E6B2D" w:rsidRPr="00821360">
        <w:rPr>
          <w:lang w:val="fr-FR"/>
        </w:rPr>
        <w:t>32</w:t>
      </w:r>
      <w:r w:rsidR="0031337C">
        <w:rPr>
          <w:lang w:val="fr-FR"/>
        </w:rPr>
        <w:t> États membres, respectivement) ne prévoient pas de diffusion numérique</w:t>
      </w:r>
      <w:r w:rsidR="00746E45" w:rsidRPr="00821360">
        <w:rPr>
          <w:lang w:val="fr-FR"/>
        </w:rPr>
        <w:t xml:space="preserve"> d</w:t>
      </w:r>
      <w:r w:rsidR="0031337C">
        <w:rPr>
          <w:lang w:val="fr-FR"/>
        </w:rPr>
        <w:t xml:space="preserve">ans leurs licences aux fins de la </w:t>
      </w:r>
      <w:r w:rsidR="007E6B2D" w:rsidRPr="00821360">
        <w:rPr>
          <w:lang w:val="fr-FR"/>
        </w:rPr>
        <w:t xml:space="preserve">reproduction </w:t>
      </w:r>
      <w:r w:rsidR="0031337C">
        <w:rPr>
          <w:lang w:val="fr-FR"/>
        </w:rPr>
        <w:t>ou de la traduction, respectivement</w:t>
      </w:r>
      <w:r w:rsidR="00746E45" w:rsidRPr="00821360">
        <w:rPr>
          <w:lang w:val="fr-FR"/>
        </w:rPr>
        <w:t>.</w:t>
      </w:r>
    </w:p>
    <w:p w14:paraId="52224372" w14:textId="4FE7B38E" w:rsidR="00746E45" w:rsidRPr="00821360" w:rsidRDefault="0031337C" w:rsidP="00D52B7A">
      <w:pPr>
        <w:pStyle w:val="Heading2"/>
        <w:spacing w:after="160"/>
        <w:ind w:left="1418" w:hanging="698"/>
        <w:rPr>
          <w:lang w:val="fr-FR"/>
        </w:rPr>
      </w:pPr>
      <w:r>
        <w:rPr>
          <w:lang w:val="fr-FR"/>
        </w:rPr>
        <w:t>É</w:t>
      </w:r>
      <w:r w:rsidRPr="0031337C">
        <w:rPr>
          <w:lang w:val="fr-FR"/>
        </w:rPr>
        <w:t>léments de flexibilité</w:t>
      </w:r>
      <w:r w:rsidR="002F78A8">
        <w:rPr>
          <w:lang w:val="fr-FR"/>
        </w:rPr>
        <w:t xml:space="preserve">, </w:t>
      </w:r>
      <w:r w:rsidRPr="0031337C">
        <w:rPr>
          <w:lang w:val="fr-FR"/>
        </w:rPr>
        <w:t xml:space="preserve">limitations </w:t>
      </w:r>
      <w:r w:rsidR="002F78A8">
        <w:rPr>
          <w:lang w:val="fr-FR"/>
        </w:rPr>
        <w:t>ou</w:t>
      </w:r>
      <w:r w:rsidRPr="0031337C">
        <w:rPr>
          <w:lang w:val="fr-FR"/>
        </w:rPr>
        <w:t xml:space="preserve"> exceptions relati</w:t>
      </w:r>
      <w:r w:rsidR="0057494D">
        <w:rPr>
          <w:lang w:val="fr-FR"/>
        </w:rPr>
        <w:t>f</w:t>
      </w:r>
      <w:r w:rsidRPr="0031337C">
        <w:rPr>
          <w:lang w:val="fr-FR"/>
        </w:rPr>
        <w:t>s aux mesures techniques de protection et à l</w:t>
      </w:r>
      <w:r w:rsidR="00AA5429">
        <w:rPr>
          <w:lang w:val="fr-FR"/>
        </w:rPr>
        <w:t>’</w:t>
      </w:r>
      <w:r w:rsidRPr="0031337C">
        <w:rPr>
          <w:lang w:val="fr-FR"/>
        </w:rPr>
        <w:t>information sur le régime des droits en faveur des activités d</w:t>
      </w:r>
      <w:r w:rsidR="00AA5429">
        <w:rPr>
          <w:lang w:val="fr-FR"/>
        </w:rPr>
        <w:t>’</w:t>
      </w:r>
      <w:r w:rsidRPr="0031337C">
        <w:rPr>
          <w:lang w:val="fr-FR"/>
        </w:rPr>
        <w:t>enseignement</w:t>
      </w:r>
    </w:p>
    <w:p w14:paraId="121D79C7" w14:textId="0DF2C350" w:rsidR="00AA5429" w:rsidRDefault="00C64799" w:rsidP="00D52B7A">
      <w:pPr>
        <w:rPr>
          <w:lang w:val="fr-FR"/>
        </w:rPr>
      </w:pPr>
      <w:r>
        <w:rPr>
          <w:lang w:val="fr-FR"/>
        </w:rPr>
        <w:t>D</w:t>
      </w:r>
      <w:r w:rsidR="0031337C">
        <w:rPr>
          <w:lang w:val="fr-FR"/>
        </w:rPr>
        <w:t>epuis l</w:t>
      </w:r>
      <w:r w:rsidR="00AA5429">
        <w:rPr>
          <w:lang w:val="fr-FR"/>
        </w:rPr>
        <w:t>’</w:t>
      </w:r>
      <w:r w:rsidR="0031337C">
        <w:rPr>
          <w:lang w:val="fr-FR"/>
        </w:rPr>
        <w:t xml:space="preserve">étude </w:t>
      </w:r>
      <w:r w:rsidR="00AA5429">
        <w:rPr>
          <w:lang w:val="fr-FR"/>
        </w:rPr>
        <w:t>de 2016</w:t>
      </w:r>
      <w:r w:rsidR="00746E45" w:rsidRPr="00821360">
        <w:rPr>
          <w:lang w:val="fr-FR"/>
        </w:rPr>
        <w:t>,</w:t>
      </w:r>
      <w:r w:rsidR="00AA5429" w:rsidRPr="00AA5429">
        <w:rPr>
          <w:lang w:val="fr-FR"/>
        </w:rPr>
        <w:t xml:space="preserve"> le </w:t>
      </w:r>
      <w:proofErr w:type="spellStart"/>
      <w:r w:rsidR="00AA5429" w:rsidRPr="00AA5429">
        <w:rPr>
          <w:lang w:val="fr-FR"/>
        </w:rPr>
        <w:t>WCT</w:t>
      </w:r>
      <w:proofErr w:type="spellEnd"/>
      <w:r w:rsidR="00746E45" w:rsidRPr="00821360">
        <w:rPr>
          <w:lang w:val="fr-FR"/>
        </w:rPr>
        <w:t xml:space="preserve"> </w:t>
      </w:r>
      <w:r w:rsidR="0031337C">
        <w:rPr>
          <w:lang w:val="fr-FR"/>
        </w:rPr>
        <w:t>et</w:t>
      </w:r>
      <w:r w:rsidR="00AA5429" w:rsidRPr="00AA5429">
        <w:rPr>
          <w:lang w:val="fr-FR"/>
        </w:rPr>
        <w:t xml:space="preserve"> le </w:t>
      </w:r>
      <w:proofErr w:type="spellStart"/>
      <w:r w:rsidR="00AA5429" w:rsidRPr="00AA5429">
        <w:rPr>
          <w:lang w:val="fr-FR"/>
        </w:rPr>
        <w:t>WPP</w:t>
      </w:r>
      <w:r w:rsidR="00746E45" w:rsidRPr="00821360">
        <w:rPr>
          <w:lang w:val="fr-FR"/>
        </w:rPr>
        <w:t>T</w:t>
      </w:r>
      <w:proofErr w:type="spellEnd"/>
      <w:r w:rsidR="00746E45" w:rsidRPr="00821360">
        <w:rPr>
          <w:lang w:val="fr-FR"/>
        </w:rPr>
        <w:t xml:space="preserve"> </w:t>
      </w:r>
      <w:r w:rsidR="0031337C">
        <w:rPr>
          <w:lang w:val="fr-FR"/>
        </w:rPr>
        <w:t>comptent de nouvelles parties contractant</w:t>
      </w:r>
      <w:r w:rsidR="00D07A5F">
        <w:rPr>
          <w:lang w:val="fr-FR"/>
        </w:rPr>
        <w:t>es.  La</w:t>
      </w:r>
      <w:r w:rsidR="0031337C">
        <w:rPr>
          <w:lang w:val="fr-FR"/>
        </w:rPr>
        <w:t xml:space="preserve"> présente version actualisée examine la législation nationale de ces nouveaux membres et tient compte des résultats de cet examen.</w:t>
      </w:r>
    </w:p>
    <w:p w14:paraId="0D49586E" w14:textId="0F38EE63" w:rsidR="00AA5429" w:rsidRDefault="0031337C" w:rsidP="00D52B7A">
      <w:pPr>
        <w:rPr>
          <w:lang w:val="fr-FR"/>
        </w:rPr>
      </w:pPr>
      <w:r>
        <w:rPr>
          <w:lang w:val="fr-FR"/>
        </w:rPr>
        <w:t>Soixante</w:t>
      </w:r>
      <w:r w:rsidR="00D52B7A">
        <w:rPr>
          <w:lang w:val="fr-FR"/>
        </w:rPr>
        <w:noBreakHyphen/>
      </w:r>
      <w:r>
        <w:rPr>
          <w:lang w:val="fr-FR"/>
        </w:rPr>
        <w:t>trois États membres</w:t>
      </w:r>
      <w:r w:rsidR="00746E45" w:rsidRPr="00821360">
        <w:rPr>
          <w:lang w:val="fr-FR"/>
        </w:rPr>
        <w:t xml:space="preserve"> (33</w:t>
      </w:r>
      <w:r>
        <w:rPr>
          <w:lang w:val="fr-FR"/>
        </w:rPr>
        <w:t>,</w:t>
      </w:r>
      <w:r w:rsidR="00746E45" w:rsidRPr="00821360">
        <w:rPr>
          <w:lang w:val="fr-FR"/>
        </w:rPr>
        <w:t xml:space="preserve">3%) </w:t>
      </w:r>
      <w:r>
        <w:rPr>
          <w:lang w:val="fr-FR"/>
        </w:rPr>
        <w:t xml:space="preserve">ont adopté </w:t>
      </w:r>
      <w:r w:rsidR="00746E45" w:rsidRPr="00821360">
        <w:rPr>
          <w:lang w:val="fr-FR"/>
        </w:rPr>
        <w:t>124</w:t>
      </w:r>
      <w:r>
        <w:rPr>
          <w:lang w:val="fr-FR"/>
        </w:rPr>
        <w:t> dispositions qui prévoient des éléments de flexibilité, des limitations ou des exceptions relati</w:t>
      </w:r>
      <w:r w:rsidR="0057494D">
        <w:rPr>
          <w:lang w:val="fr-FR"/>
        </w:rPr>
        <w:t>f</w:t>
      </w:r>
      <w:r>
        <w:rPr>
          <w:lang w:val="fr-FR"/>
        </w:rPr>
        <w:t>s aux mesures techniques de protection et à l</w:t>
      </w:r>
      <w:r w:rsidR="00AA5429">
        <w:rPr>
          <w:lang w:val="fr-FR"/>
        </w:rPr>
        <w:t>’</w:t>
      </w:r>
      <w:r>
        <w:rPr>
          <w:lang w:val="fr-FR"/>
        </w:rPr>
        <w:t xml:space="preserve">information sur le régime des droits en faveur des </w:t>
      </w:r>
      <w:r w:rsidR="002F78A8">
        <w:rPr>
          <w:lang w:val="fr-FR"/>
        </w:rPr>
        <w:t>activités d</w:t>
      </w:r>
      <w:r w:rsidR="00AA5429">
        <w:rPr>
          <w:lang w:val="fr-FR"/>
        </w:rPr>
        <w:t>’</w:t>
      </w:r>
      <w:r w:rsidR="002F78A8">
        <w:rPr>
          <w:lang w:val="fr-FR"/>
        </w:rPr>
        <w:t>enseigneme</w:t>
      </w:r>
      <w:r w:rsidR="00D07A5F">
        <w:rPr>
          <w:lang w:val="fr-FR"/>
        </w:rPr>
        <w:t>nt.  Qu</w:t>
      </w:r>
      <w:r w:rsidR="002F78A8">
        <w:rPr>
          <w:lang w:val="fr-FR"/>
        </w:rPr>
        <w:t>arante</w:t>
      </w:r>
      <w:r w:rsidR="00D52B7A">
        <w:rPr>
          <w:lang w:val="fr-FR"/>
        </w:rPr>
        <w:noBreakHyphen/>
      </w:r>
      <w:r w:rsidR="002F78A8">
        <w:rPr>
          <w:lang w:val="fr-FR"/>
        </w:rPr>
        <w:t>huit de ces États membres ont ratifié</w:t>
      </w:r>
      <w:r w:rsidR="00AA5429" w:rsidRPr="00AA5429">
        <w:rPr>
          <w:lang w:val="fr-FR"/>
        </w:rPr>
        <w:t xml:space="preserve"> le </w:t>
      </w:r>
      <w:proofErr w:type="spellStart"/>
      <w:r w:rsidR="00AA5429" w:rsidRPr="00AA5429">
        <w:rPr>
          <w:lang w:val="fr-FR"/>
        </w:rPr>
        <w:t>WCT</w:t>
      </w:r>
      <w:proofErr w:type="spellEnd"/>
      <w:r w:rsidR="002F78A8">
        <w:rPr>
          <w:lang w:val="fr-FR"/>
        </w:rPr>
        <w:t xml:space="preserve"> et</w:t>
      </w:r>
      <w:r w:rsidR="00AA5429" w:rsidRPr="00AA5429">
        <w:rPr>
          <w:lang w:val="fr-FR"/>
        </w:rPr>
        <w:t xml:space="preserve"> le </w:t>
      </w:r>
      <w:proofErr w:type="spellStart"/>
      <w:r w:rsidR="00AA5429" w:rsidRPr="00AA5429">
        <w:rPr>
          <w:lang w:val="fr-FR"/>
        </w:rPr>
        <w:t>WPP</w:t>
      </w:r>
      <w:r w:rsidR="002F78A8">
        <w:rPr>
          <w:lang w:val="fr-FR"/>
        </w:rPr>
        <w:t>T</w:t>
      </w:r>
      <w:proofErr w:type="spellEnd"/>
      <w:r w:rsidR="002F78A8">
        <w:rPr>
          <w:lang w:val="fr-FR"/>
        </w:rPr>
        <w:t xml:space="preserve"> ou y ont adhé</w:t>
      </w:r>
      <w:r w:rsidR="00D07A5F">
        <w:rPr>
          <w:lang w:val="fr-FR"/>
        </w:rPr>
        <w:t>ré.  Il</w:t>
      </w:r>
      <w:r w:rsidR="002F78A8">
        <w:rPr>
          <w:lang w:val="fr-FR"/>
        </w:rPr>
        <w:t xml:space="preserve"> est par conséquent intéressant de se pencher sur les </w:t>
      </w:r>
      <w:r w:rsidR="00746E45" w:rsidRPr="00821360">
        <w:rPr>
          <w:lang w:val="fr-FR"/>
        </w:rPr>
        <w:t>15</w:t>
      </w:r>
      <w:r w:rsidR="002F78A8">
        <w:rPr>
          <w:lang w:val="fr-FR"/>
        </w:rPr>
        <w:t> États qui ne sont pas des partie</w:t>
      </w:r>
      <w:r w:rsidR="00317D67">
        <w:rPr>
          <w:lang w:val="fr-FR"/>
        </w:rPr>
        <w:t xml:space="preserve">s </w:t>
      </w:r>
      <w:r w:rsidR="002F78A8">
        <w:rPr>
          <w:lang w:val="fr-FR"/>
        </w:rPr>
        <w:t>contractantes</w:t>
      </w:r>
      <w:r w:rsidR="00AA5429" w:rsidRPr="00AA5429">
        <w:rPr>
          <w:lang w:val="fr-FR"/>
        </w:rPr>
        <w:t xml:space="preserve"> du </w:t>
      </w:r>
      <w:proofErr w:type="spellStart"/>
      <w:r w:rsidR="00AA5429" w:rsidRPr="00AA5429">
        <w:rPr>
          <w:lang w:val="fr-FR"/>
        </w:rPr>
        <w:t>WCT</w:t>
      </w:r>
      <w:proofErr w:type="spellEnd"/>
      <w:r w:rsidR="00746E45" w:rsidRPr="00821360">
        <w:rPr>
          <w:lang w:val="fr-FR"/>
        </w:rPr>
        <w:t xml:space="preserve"> </w:t>
      </w:r>
      <w:r w:rsidR="002F78A8">
        <w:rPr>
          <w:lang w:val="fr-FR"/>
        </w:rPr>
        <w:t>et</w:t>
      </w:r>
      <w:r w:rsidR="00AA5429" w:rsidRPr="00AA5429">
        <w:rPr>
          <w:lang w:val="fr-FR"/>
        </w:rPr>
        <w:t xml:space="preserve"> du </w:t>
      </w:r>
      <w:proofErr w:type="spellStart"/>
      <w:r w:rsidR="00AA5429" w:rsidRPr="00AA5429">
        <w:rPr>
          <w:lang w:val="fr-FR"/>
        </w:rPr>
        <w:t>WPP</w:t>
      </w:r>
      <w:r w:rsidR="00746E45" w:rsidRPr="00821360">
        <w:rPr>
          <w:lang w:val="fr-FR"/>
        </w:rPr>
        <w:t>T</w:t>
      </w:r>
      <w:proofErr w:type="spellEnd"/>
      <w:r w:rsidR="002F78A8">
        <w:rPr>
          <w:lang w:val="fr-FR"/>
        </w:rPr>
        <w:t xml:space="preserve">, mais ont néanmoins prévu ces éléments de flexibilité, limitations ou </w:t>
      </w:r>
      <w:r w:rsidR="00746E45" w:rsidRPr="00821360">
        <w:rPr>
          <w:lang w:val="fr-FR"/>
        </w:rPr>
        <w:t xml:space="preserve">exceptions </w:t>
      </w:r>
      <w:r w:rsidR="002F78A8">
        <w:rPr>
          <w:lang w:val="fr-FR"/>
        </w:rPr>
        <w:t xml:space="preserve">dans leur législation </w:t>
      </w:r>
      <w:r w:rsidR="00746E45" w:rsidRPr="00821360">
        <w:rPr>
          <w:lang w:val="fr-FR"/>
        </w:rPr>
        <w:t>national</w:t>
      </w:r>
      <w:r w:rsidR="002F78A8">
        <w:rPr>
          <w:lang w:val="fr-FR"/>
        </w:rPr>
        <w:t>e</w:t>
      </w:r>
      <w:r w:rsidR="002A7A36" w:rsidRPr="00821360">
        <w:rPr>
          <w:lang w:val="fr-FR"/>
        </w:rPr>
        <w:t>.</w:t>
      </w:r>
    </w:p>
    <w:p w14:paraId="294BF9D7" w14:textId="16003932" w:rsidR="00AA5429" w:rsidRDefault="002F78A8" w:rsidP="00D52B7A">
      <w:pPr>
        <w:rPr>
          <w:lang w:val="fr-FR"/>
        </w:rPr>
      </w:pPr>
      <w:r>
        <w:rPr>
          <w:lang w:val="fr-FR"/>
        </w:rPr>
        <w:t xml:space="preserve">Sur ces </w:t>
      </w:r>
      <w:r w:rsidR="00A50755" w:rsidRPr="00821360">
        <w:rPr>
          <w:lang w:val="fr-FR"/>
        </w:rPr>
        <w:t>124</w:t>
      </w:r>
      <w:r>
        <w:rPr>
          <w:lang w:val="fr-FR"/>
        </w:rPr>
        <w:t xml:space="preserve"> dispositions, </w:t>
      </w:r>
      <w:r w:rsidR="00A50755" w:rsidRPr="00821360">
        <w:rPr>
          <w:lang w:val="fr-FR"/>
        </w:rPr>
        <w:t>10</w:t>
      </w:r>
      <w:r w:rsidR="0087160F" w:rsidRPr="00821360">
        <w:rPr>
          <w:lang w:val="fr-FR"/>
        </w:rPr>
        <w:t>5</w:t>
      </w:r>
      <w:r w:rsidR="00A50755" w:rsidRPr="00821360">
        <w:rPr>
          <w:lang w:val="fr-FR"/>
        </w:rPr>
        <w:t xml:space="preserve"> </w:t>
      </w:r>
      <w:r>
        <w:rPr>
          <w:lang w:val="fr-FR"/>
        </w:rPr>
        <w:t xml:space="preserve">dans la législation de </w:t>
      </w:r>
      <w:r w:rsidR="00746E45" w:rsidRPr="00821360">
        <w:rPr>
          <w:lang w:val="fr-FR"/>
        </w:rPr>
        <w:t>5</w:t>
      </w:r>
      <w:r w:rsidR="00DC7739" w:rsidRPr="00821360">
        <w:rPr>
          <w:lang w:val="fr-FR"/>
        </w:rPr>
        <w:t>9</w:t>
      </w:r>
      <w:r>
        <w:rPr>
          <w:lang w:val="fr-FR"/>
        </w:rPr>
        <w:t xml:space="preserve"> États membres portent sur des éléments de flexibilité, des </w:t>
      </w:r>
      <w:r w:rsidR="00746E45" w:rsidRPr="00821360">
        <w:rPr>
          <w:lang w:val="fr-FR"/>
        </w:rPr>
        <w:t>limitations o</w:t>
      </w:r>
      <w:r>
        <w:rPr>
          <w:lang w:val="fr-FR"/>
        </w:rPr>
        <w:t xml:space="preserve">u des </w:t>
      </w:r>
      <w:r w:rsidR="00746E45" w:rsidRPr="00821360">
        <w:rPr>
          <w:lang w:val="fr-FR"/>
        </w:rPr>
        <w:t xml:space="preserve">exceptions </w:t>
      </w:r>
      <w:r>
        <w:rPr>
          <w:lang w:val="fr-FR"/>
        </w:rPr>
        <w:t xml:space="preserve">relatives à des mesures techniques de </w:t>
      </w:r>
      <w:r w:rsidR="00746E45" w:rsidRPr="00821360">
        <w:rPr>
          <w:lang w:val="fr-FR"/>
        </w:rPr>
        <w:t xml:space="preserve">protection </w:t>
      </w:r>
      <w:r>
        <w:rPr>
          <w:lang w:val="fr-FR"/>
        </w:rPr>
        <w:t>en vue de faciliter les activités d</w:t>
      </w:r>
      <w:r w:rsidR="00AA5429">
        <w:rPr>
          <w:lang w:val="fr-FR"/>
        </w:rPr>
        <w:t>’</w:t>
      </w:r>
      <w:r>
        <w:rPr>
          <w:lang w:val="fr-FR"/>
        </w:rPr>
        <w:t>enseigneme</w:t>
      </w:r>
      <w:r w:rsidR="00D07A5F">
        <w:rPr>
          <w:lang w:val="fr-FR"/>
        </w:rPr>
        <w:t>nt.  Qu</w:t>
      </w:r>
      <w:r>
        <w:rPr>
          <w:lang w:val="fr-FR"/>
        </w:rPr>
        <w:t>arante</w:t>
      </w:r>
      <w:r w:rsidR="00D52B7A">
        <w:rPr>
          <w:lang w:val="fr-FR"/>
        </w:rPr>
        <w:noBreakHyphen/>
      </w:r>
      <w:r>
        <w:rPr>
          <w:lang w:val="fr-FR"/>
        </w:rPr>
        <w:t xml:space="preserve">six de ces </w:t>
      </w:r>
      <w:r w:rsidR="00A50755" w:rsidRPr="00821360">
        <w:rPr>
          <w:lang w:val="fr-FR"/>
        </w:rPr>
        <w:t>59</w:t>
      </w:r>
      <w:r>
        <w:rPr>
          <w:lang w:val="fr-FR"/>
        </w:rPr>
        <w:t> États membres sont également des parties contractantes</w:t>
      </w:r>
      <w:r w:rsidR="00AA5429" w:rsidRPr="00AA5429">
        <w:rPr>
          <w:lang w:val="fr-FR"/>
        </w:rPr>
        <w:t xml:space="preserve"> du </w:t>
      </w:r>
      <w:proofErr w:type="spellStart"/>
      <w:r w:rsidR="00AA5429" w:rsidRPr="00AA5429">
        <w:rPr>
          <w:lang w:val="fr-FR"/>
        </w:rPr>
        <w:t>WCT</w:t>
      </w:r>
      <w:proofErr w:type="spellEnd"/>
      <w:r w:rsidR="00CD7D64" w:rsidRPr="00821360">
        <w:rPr>
          <w:lang w:val="fr-FR"/>
        </w:rPr>
        <w:t xml:space="preserve"> </w:t>
      </w:r>
      <w:r>
        <w:rPr>
          <w:lang w:val="fr-FR"/>
        </w:rPr>
        <w:t>et</w:t>
      </w:r>
      <w:r w:rsidR="00AA5429" w:rsidRPr="00AA5429">
        <w:rPr>
          <w:lang w:val="fr-FR"/>
        </w:rPr>
        <w:t xml:space="preserve"> du </w:t>
      </w:r>
      <w:proofErr w:type="spellStart"/>
      <w:r w:rsidR="00AA5429" w:rsidRPr="00AA5429">
        <w:rPr>
          <w:lang w:val="fr-FR"/>
        </w:rPr>
        <w:t>W</w:t>
      </w:r>
      <w:r w:rsidR="00D07A5F" w:rsidRPr="00AA5429">
        <w:rPr>
          <w:lang w:val="fr-FR"/>
        </w:rPr>
        <w:t>PP</w:t>
      </w:r>
      <w:r w:rsidR="00D07A5F" w:rsidRPr="00821360">
        <w:rPr>
          <w:lang w:val="fr-FR"/>
        </w:rPr>
        <w:t>T</w:t>
      </w:r>
      <w:proofErr w:type="spellEnd"/>
      <w:r w:rsidR="00D07A5F">
        <w:rPr>
          <w:lang w:val="fr-FR"/>
        </w:rPr>
        <w:t>.  Pa</w:t>
      </w:r>
      <w:r w:rsidR="00A577FE">
        <w:rPr>
          <w:lang w:val="fr-FR"/>
        </w:rPr>
        <w:t xml:space="preserve">r contre, seules </w:t>
      </w:r>
      <w:r w:rsidR="00A50755" w:rsidRPr="00821360">
        <w:rPr>
          <w:lang w:val="fr-FR"/>
        </w:rPr>
        <w:t>1</w:t>
      </w:r>
      <w:r w:rsidR="0087160F" w:rsidRPr="00821360">
        <w:rPr>
          <w:lang w:val="fr-FR"/>
        </w:rPr>
        <w:t>6</w:t>
      </w:r>
      <w:r w:rsidR="00A577FE">
        <w:rPr>
          <w:lang w:val="fr-FR"/>
        </w:rPr>
        <w:t> dispositions</w:t>
      </w:r>
      <w:r w:rsidR="003C55A7" w:rsidRPr="00821360">
        <w:rPr>
          <w:rStyle w:val="FootnoteReference"/>
          <w:lang w:val="fr-FR"/>
        </w:rPr>
        <w:footnoteReference w:id="10"/>
      </w:r>
      <w:r w:rsidR="00A50755" w:rsidRPr="00821360">
        <w:rPr>
          <w:lang w:val="fr-FR"/>
        </w:rPr>
        <w:t xml:space="preserve"> </w:t>
      </w:r>
      <w:r w:rsidR="00A577FE">
        <w:rPr>
          <w:lang w:val="fr-FR"/>
        </w:rPr>
        <w:t xml:space="preserve">dans la législation de </w:t>
      </w:r>
      <w:r w:rsidR="00746E45" w:rsidRPr="00821360">
        <w:rPr>
          <w:lang w:val="fr-FR"/>
        </w:rPr>
        <w:t>14</w:t>
      </w:r>
      <w:r w:rsidR="00A577FE">
        <w:rPr>
          <w:lang w:val="fr-FR"/>
        </w:rPr>
        <w:t> États membres</w:t>
      </w:r>
      <w:r w:rsidR="0018530D">
        <w:rPr>
          <w:lang w:val="fr-FR"/>
        </w:rPr>
        <w:t xml:space="preserve"> autorisent la suppression et la modification de l</w:t>
      </w:r>
      <w:r w:rsidR="00AA5429">
        <w:rPr>
          <w:lang w:val="fr-FR"/>
        </w:rPr>
        <w:t>’</w:t>
      </w:r>
      <w:r w:rsidR="0018530D">
        <w:rPr>
          <w:lang w:val="fr-FR"/>
        </w:rPr>
        <w:t>information sur le régime des droits à des fins d</w:t>
      </w:r>
      <w:r w:rsidR="00AA5429">
        <w:rPr>
          <w:lang w:val="fr-FR"/>
        </w:rPr>
        <w:t>’</w:t>
      </w:r>
      <w:r w:rsidR="0018530D">
        <w:rPr>
          <w:lang w:val="fr-FR"/>
        </w:rPr>
        <w:t>enseigneme</w:t>
      </w:r>
      <w:r w:rsidR="00D07A5F">
        <w:rPr>
          <w:lang w:val="fr-FR"/>
        </w:rPr>
        <w:t>nt.  On</w:t>
      </w:r>
      <w:r w:rsidR="0018530D">
        <w:rPr>
          <w:lang w:val="fr-FR"/>
        </w:rPr>
        <w:t xml:space="preserve">ze de ces </w:t>
      </w:r>
      <w:r w:rsidR="00A50755" w:rsidRPr="00821360">
        <w:rPr>
          <w:lang w:val="fr-FR"/>
        </w:rPr>
        <w:t>14</w:t>
      </w:r>
      <w:r w:rsidR="0018530D">
        <w:rPr>
          <w:lang w:val="fr-FR"/>
        </w:rPr>
        <w:t> États membres sont aussi des parties contractantes</w:t>
      </w:r>
      <w:r w:rsidR="00AA5429" w:rsidRPr="00AA5429">
        <w:rPr>
          <w:lang w:val="fr-FR"/>
        </w:rPr>
        <w:t xml:space="preserve"> du </w:t>
      </w:r>
      <w:proofErr w:type="spellStart"/>
      <w:r w:rsidR="00AA5429" w:rsidRPr="00AA5429">
        <w:rPr>
          <w:lang w:val="fr-FR"/>
        </w:rPr>
        <w:t>WCT</w:t>
      </w:r>
      <w:proofErr w:type="spellEnd"/>
      <w:r w:rsidR="00CD7D64" w:rsidRPr="00821360">
        <w:rPr>
          <w:lang w:val="fr-FR"/>
        </w:rPr>
        <w:t xml:space="preserve"> </w:t>
      </w:r>
      <w:r w:rsidR="0018530D">
        <w:rPr>
          <w:lang w:val="fr-FR"/>
        </w:rPr>
        <w:t>et</w:t>
      </w:r>
      <w:r w:rsidR="00AA5429" w:rsidRPr="00AA5429">
        <w:rPr>
          <w:lang w:val="fr-FR"/>
        </w:rPr>
        <w:t xml:space="preserve"> du </w:t>
      </w:r>
      <w:proofErr w:type="spellStart"/>
      <w:r w:rsidR="00AA5429" w:rsidRPr="00AA5429">
        <w:rPr>
          <w:lang w:val="fr-FR"/>
        </w:rPr>
        <w:t>W</w:t>
      </w:r>
      <w:r w:rsidR="00D07A5F" w:rsidRPr="00AA5429">
        <w:rPr>
          <w:lang w:val="fr-FR"/>
        </w:rPr>
        <w:t>PP</w:t>
      </w:r>
      <w:r w:rsidR="00D07A5F" w:rsidRPr="00821360">
        <w:rPr>
          <w:lang w:val="fr-FR"/>
        </w:rPr>
        <w:t>T</w:t>
      </w:r>
      <w:proofErr w:type="spellEnd"/>
      <w:r w:rsidR="00D07A5F">
        <w:rPr>
          <w:lang w:val="fr-FR"/>
        </w:rPr>
        <w:t>.  Le</w:t>
      </w:r>
      <w:r w:rsidR="0018530D">
        <w:rPr>
          <w:lang w:val="fr-FR"/>
        </w:rPr>
        <w:t xml:space="preserve"> fait que ces États membres </w:t>
      </w:r>
      <w:r w:rsidR="00494451">
        <w:rPr>
          <w:lang w:val="fr-FR"/>
        </w:rPr>
        <w:t>soient des parties contractantes</w:t>
      </w:r>
      <w:r w:rsidR="00AA5429" w:rsidRPr="00AA5429">
        <w:rPr>
          <w:lang w:val="fr-FR"/>
        </w:rPr>
        <w:t xml:space="preserve"> du </w:t>
      </w:r>
      <w:proofErr w:type="spellStart"/>
      <w:r w:rsidR="00AA5429" w:rsidRPr="00AA5429">
        <w:rPr>
          <w:lang w:val="fr-FR"/>
        </w:rPr>
        <w:t>WCT</w:t>
      </w:r>
      <w:proofErr w:type="spellEnd"/>
      <w:r w:rsidR="00494451">
        <w:rPr>
          <w:lang w:val="fr-FR"/>
        </w:rPr>
        <w:t xml:space="preserve"> et</w:t>
      </w:r>
      <w:r w:rsidR="00AA5429" w:rsidRPr="00AA5429">
        <w:rPr>
          <w:lang w:val="fr-FR"/>
        </w:rPr>
        <w:t xml:space="preserve"> du </w:t>
      </w:r>
      <w:proofErr w:type="spellStart"/>
      <w:r w:rsidR="00AA5429" w:rsidRPr="00AA5429">
        <w:rPr>
          <w:lang w:val="fr-FR"/>
        </w:rPr>
        <w:t>WPP</w:t>
      </w:r>
      <w:r w:rsidR="00A50755" w:rsidRPr="00821360">
        <w:rPr>
          <w:lang w:val="fr-FR"/>
        </w:rPr>
        <w:t>T</w:t>
      </w:r>
      <w:proofErr w:type="spellEnd"/>
      <w:r w:rsidR="00A50755" w:rsidRPr="00821360">
        <w:rPr>
          <w:lang w:val="fr-FR"/>
        </w:rPr>
        <w:t xml:space="preserve"> </w:t>
      </w:r>
      <w:r w:rsidR="00494451">
        <w:rPr>
          <w:lang w:val="fr-FR"/>
        </w:rPr>
        <w:t xml:space="preserve">est à relever dans la mesure où non seulement ils ont adopté des </w:t>
      </w:r>
      <w:r w:rsidR="00494451" w:rsidRPr="00494451">
        <w:rPr>
          <w:lang w:val="fr-FR"/>
        </w:rPr>
        <w:t>éléments de flexibilité, des limitations ou des exceptions relatives aux mesures techniques de protection et à l</w:t>
      </w:r>
      <w:r w:rsidR="00AA5429">
        <w:rPr>
          <w:lang w:val="fr-FR"/>
        </w:rPr>
        <w:t>’</w:t>
      </w:r>
      <w:r w:rsidR="00494451" w:rsidRPr="00494451">
        <w:rPr>
          <w:lang w:val="fr-FR"/>
        </w:rPr>
        <w:t>information sur le régime des droits</w:t>
      </w:r>
      <w:r w:rsidR="00A50755" w:rsidRPr="00821360">
        <w:rPr>
          <w:lang w:val="fr-FR"/>
        </w:rPr>
        <w:t xml:space="preserve">, </w:t>
      </w:r>
      <w:r w:rsidR="00494451">
        <w:rPr>
          <w:lang w:val="fr-FR"/>
        </w:rPr>
        <w:t>mais ils l</w:t>
      </w:r>
      <w:r w:rsidR="00AA5429">
        <w:rPr>
          <w:lang w:val="fr-FR"/>
        </w:rPr>
        <w:t>’</w:t>
      </w:r>
      <w:r w:rsidR="00494451">
        <w:rPr>
          <w:lang w:val="fr-FR"/>
        </w:rPr>
        <w:t xml:space="preserve">ont fait précisément dans le but de </w:t>
      </w:r>
      <w:r w:rsidR="00494451">
        <w:rPr>
          <w:lang w:val="fr-FR"/>
        </w:rPr>
        <w:lastRenderedPageBreak/>
        <w:t>faciliter les activités d</w:t>
      </w:r>
      <w:r w:rsidR="00AA5429">
        <w:rPr>
          <w:lang w:val="fr-FR"/>
        </w:rPr>
        <w:t>’</w:t>
      </w:r>
      <w:r w:rsidR="00494451">
        <w:rPr>
          <w:lang w:val="fr-FR"/>
        </w:rPr>
        <w:t>enseignement</w:t>
      </w:r>
      <w:r w:rsidR="00A50755" w:rsidRPr="00821360">
        <w:rPr>
          <w:lang w:val="fr-FR"/>
        </w:rPr>
        <w:t>, no</w:t>
      </w:r>
      <w:r w:rsidR="00494451">
        <w:rPr>
          <w:lang w:val="fr-FR"/>
        </w:rPr>
        <w:t>nobstant l</w:t>
      </w:r>
      <w:r w:rsidR="00AA5429">
        <w:rPr>
          <w:lang w:val="fr-FR"/>
        </w:rPr>
        <w:t>’</w:t>
      </w:r>
      <w:r w:rsidR="00A50755" w:rsidRPr="00821360">
        <w:rPr>
          <w:lang w:val="fr-FR"/>
        </w:rPr>
        <w:t xml:space="preserve">absence </w:t>
      </w:r>
      <w:r w:rsidR="00494451">
        <w:rPr>
          <w:lang w:val="fr-FR"/>
        </w:rPr>
        <w:t>d</w:t>
      </w:r>
      <w:r w:rsidR="00AA5429">
        <w:rPr>
          <w:lang w:val="fr-FR"/>
        </w:rPr>
        <w:t>’</w:t>
      </w:r>
      <w:r w:rsidR="00494451">
        <w:rPr>
          <w:lang w:val="fr-FR"/>
        </w:rPr>
        <w:t>une obligation express</w:t>
      </w:r>
      <w:r w:rsidR="00367E7A">
        <w:rPr>
          <w:lang w:val="fr-FR"/>
        </w:rPr>
        <w:t>ément prescrite</w:t>
      </w:r>
      <w:r w:rsidR="00494451">
        <w:rPr>
          <w:lang w:val="fr-FR"/>
        </w:rPr>
        <w:t xml:space="preserve"> à cet égard dans</w:t>
      </w:r>
      <w:r w:rsidR="00AA5429" w:rsidRPr="00AA5429">
        <w:rPr>
          <w:lang w:val="fr-FR"/>
        </w:rPr>
        <w:t xml:space="preserve"> le </w:t>
      </w:r>
      <w:proofErr w:type="spellStart"/>
      <w:r w:rsidR="00AA5429" w:rsidRPr="00AA5429">
        <w:rPr>
          <w:lang w:val="fr-FR"/>
        </w:rPr>
        <w:t>WCT</w:t>
      </w:r>
      <w:proofErr w:type="spellEnd"/>
      <w:r w:rsidR="00A50755" w:rsidRPr="00821360">
        <w:rPr>
          <w:lang w:val="fr-FR"/>
        </w:rPr>
        <w:t xml:space="preserve"> </w:t>
      </w:r>
      <w:r w:rsidR="00494451">
        <w:rPr>
          <w:lang w:val="fr-FR"/>
        </w:rPr>
        <w:t>et</w:t>
      </w:r>
      <w:r w:rsidR="00AA5429" w:rsidRPr="00AA5429">
        <w:rPr>
          <w:lang w:val="fr-FR"/>
        </w:rPr>
        <w:t xml:space="preserve"> le </w:t>
      </w:r>
      <w:proofErr w:type="spellStart"/>
      <w:r w:rsidR="00AA5429" w:rsidRPr="00AA5429">
        <w:rPr>
          <w:lang w:val="fr-FR"/>
        </w:rPr>
        <w:t>WPP</w:t>
      </w:r>
      <w:r w:rsidR="00A50755" w:rsidRPr="00821360">
        <w:rPr>
          <w:lang w:val="fr-FR"/>
        </w:rPr>
        <w:t>T</w:t>
      </w:r>
      <w:proofErr w:type="spellEnd"/>
      <w:r w:rsidR="00A50755" w:rsidRPr="00821360">
        <w:rPr>
          <w:lang w:val="fr-FR"/>
        </w:rPr>
        <w:t>.</w:t>
      </w:r>
    </w:p>
    <w:p w14:paraId="066243D0" w14:textId="482722ED" w:rsidR="00AA5429" w:rsidRDefault="00494451" w:rsidP="00D52B7A">
      <w:pPr>
        <w:rPr>
          <w:lang w:val="fr-FR"/>
        </w:rPr>
      </w:pPr>
      <w:r>
        <w:rPr>
          <w:lang w:val="fr-FR"/>
        </w:rPr>
        <w:t>Cette analyse s</w:t>
      </w:r>
      <w:r w:rsidR="00AA5429">
        <w:rPr>
          <w:lang w:val="fr-FR"/>
        </w:rPr>
        <w:t>’</w:t>
      </w:r>
      <w:r>
        <w:rPr>
          <w:lang w:val="fr-FR"/>
        </w:rPr>
        <w:t>appuie en partie sur l</w:t>
      </w:r>
      <w:r w:rsidR="00AA5429">
        <w:rPr>
          <w:lang w:val="fr-FR"/>
        </w:rPr>
        <w:t>’</w:t>
      </w:r>
      <w:r>
        <w:rPr>
          <w:lang w:val="fr-FR"/>
        </w:rPr>
        <w:t>examen du nombre d</w:t>
      </w:r>
      <w:r w:rsidR="00AA5429">
        <w:rPr>
          <w:lang w:val="fr-FR"/>
        </w:rPr>
        <w:t>’</w:t>
      </w:r>
      <w:r>
        <w:rPr>
          <w:lang w:val="fr-FR"/>
        </w:rPr>
        <w:t>éléments de flexibilité, de limitations ou d</w:t>
      </w:r>
      <w:r w:rsidR="00AA5429">
        <w:rPr>
          <w:lang w:val="fr-FR"/>
        </w:rPr>
        <w:t>’</w:t>
      </w:r>
      <w:r>
        <w:rPr>
          <w:lang w:val="fr-FR"/>
        </w:rPr>
        <w:t>exceptions adoptés par les États membres de l</w:t>
      </w:r>
      <w:r w:rsidR="00AA5429">
        <w:rPr>
          <w:lang w:val="fr-FR"/>
        </w:rPr>
        <w:t>’</w:t>
      </w:r>
      <w:r>
        <w:rPr>
          <w:lang w:val="fr-FR"/>
        </w:rPr>
        <w:t>O</w:t>
      </w:r>
      <w:r w:rsidR="00D07A5F">
        <w:rPr>
          <w:lang w:val="fr-FR"/>
        </w:rPr>
        <w:t>MPI.  Le</w:t>
      </w:r>
      <w:r>
        <w:rPr>
          <w:lang w:val="fr-FR"/>
        </w:rPr>
        <w:t xml:space="preserve"> nombre moyen de dispositions </w:t>
      </w:r>
      <w:r w:rsidR="001A3A34">
        <w:rPr>
          <w:lang w:val="fr-FR"/>
        </w:rPr>
        <w:t>p</w:t>
      </w:r>
      <w:r>
        <w:rPr>
          <w:lang w:val="fr-FR"/>
        </w:rPr>
        <w:t xml:space="preserve">ar État membre est de </w:t>
      </w:r>
      <w:r w:rsidR="00746E45" w:rsidRPr="00821360">
        <w:rPr>
          <w:lang w:val="fr-FR"/>
        </w:rPr>
        <w:t>0</w:t>
      </w:r>
      <w:r>
        <w:rPr>
          <w:lang w:val="fr-FR"/>
        </w:rPr>
        <w:t>,</w:t>
      </w:r>
      <w:r w:rsidR="00746E45" w:rsidRPr="00821360">
        <w:rPr>
          <w:lang w:val="fr-FR"/>
        </w:rPr>
        <w:t>66</w:t>
      </w:r>
      <w:r w:rsidR="00805A8A" w:rsidRPr="00821360">
        <w:rPr>
          <w:rStyle w:val="FootnoteReference"/>
          <w:lang w:val="fr-FR"/>
        </w:rPr>
        <w:footnoteReference w:id="11"/>
      </w:r>
      <w:r w:rsidR="00367E7A">
        <w:rPr>
          <w:lang w:val="fr-FR"/>
        </w:rPr>
        <w:t xml:space="preserve">, ce qui </w:t>
      </w:r>
      <w:r w:rsidR="00D36368">
        <w:rPr>
          <w:lang w:val="fr-FR"/>
        </w:rPr>
        <w:t>semble indiquer un faible taux d</w:t>
      </w:r>
      <w:r w:rsidR="00AA5429">
        <w:rPr>
          <w:lang w:val="fr-FR"/>
        </w:rPr>
        <w:t>’</w:t>
      </w:r>
      <w:r w:rsidR="00D36368">
        <w:rPr>
          <w:lang w:val="fr-FR"/>
        </w:rPr>
        <w:t>acceptation de ces éléments de flexibilité</w:t>
      </w:r>
      <w:r w:rsidR="00D91890">
        <w:rPr>
          <w:lang w:val="fr-FR"/>
        </w:rPr>
        <w:t>, limitations et exceptions parmi les États membres de l</w:t>
      </w:r>
      <w:r w:rsidR="00AA5429">
        <w:rPr>
          <w:lang w:val="fr-FR"/>
        </w:rPr>
        <w:t>’</w:t>
      </w:r>
      <w:r w:rsidR="00D91890">
        <w:rPr>
          <w:lang w:val="fr-FR"/>
        </w:rPr>
        <w:t>O</w:t>
      </w:r>
      <w:r w:rsidR="00D07A5F">
        <w:rPr>
          <w:lang w:val="fr-FR"/>
        </w:rPr>
        <w:t>MPI.  To</w:t>
      </w:r>
      <w:r w:rsidR="00D91890">
        <w:rPr>
          <w:lang w:val="fr-FR"/>
        </w:rPr>
        <w:t xml:space="preserve">utefois, parmi les États membres ayant adopté ces dispositions, le nombre moyen de dispositions </w:t>
      </w:r>
      <w:r w:rsidR="001510E5">
        <w:rPr>
          <w:lang w:val="fr-FR"/>
        </w:rPr>
        <w:t>s</w:t>
      </w:r>
      <w:r w:rsidR="00AA5429">
        <w:rPr>
          <w:lang w:val="fr-FR"/>
        </w:rPr>
        <w:t>’</w:t>
      </w:r>
      <w:r w:rsidR="001510E5">
        <w:rPr>
          <w:lang w:val="fr-FR"/>
        </w:rPr>
        <w:t xml:space="preserve">établit à </w:t>
      </w:r>
      <w:r w:rsidR="00746E45" w:rsidRPr="00821360">
        <w:rPr>
          <w:lang w:val="fr-FR"/>
        </w:rPr>
        <w:t>1</w:t>
      </w:r>
      <w:r w:rsidR="001510E5">
        <w:rPr>
          <w:lang w:val="fr-FR"/>
        </w:rPr>
        <w:t>,</w:t>
      </w:r>
      <w:r w:rsidR="00746E45" w:rsidRPr="00821360">
        <w:rPr>
          <w:lang w:val="fr-FR"/>
        </w:rPr>
        <w:t>97</w:t>
      </w:r>
      <w:r w:rsidR="00FE54B3" w:rsidRPr="00821360">
        <w:rPr>
          <w:rStyle w:val="FootnoteReference"/>
          <w:lang w:val="fr-FR"/>
        </w:rPr>
        <w:footnoteReference w:id="12"/>
      </w:r>
      <w:r w:rsidR="001510E5">
        <w:rPr>
          <w:lang w:val="fr-FR"/>
        </w:rPr>
        <w:t xml:space="preserve">. </w:t>
      </w:r>
      <w:r w:rsidR="00694547" w:rsidRPr="00821360">
        <w:rPr>
          <w:lang w:val="fr-FR"/>
        </w:rPr>
        <w:t xml:space="preserve"> </w:t>
      </w:r>
      <w:r w:rsidR="001510E5">
        <w:rPr>
          <w:lang w:val="fr-FR"/>
        </w:rPr>
        <w:t>En d</w:t>
      </w:r>
      <w:r w:rsidR="00AA5429">
        <w:rPr>
          <w:lang w:val="fr-FR"/>
        </w:rPr>
        <w:t>’</w:t>
      </w:r>
      <w:r w:rsidR="001510E5">
        <w:rPr>
          <w:lang w:val="fr-FR"/>
        </w:rPr>
        <w:t xml:space="preserve">autres termes, les États membres ayant adopté des éléments de flexibilité, des limitations ou des exceptions </w:t>
      </w:r>
      <w:r w:rsidR="0057494D" w:rsidRPr="0057494D">
        <w:rPr>
          <w:lang w:val="fr-FR"/>
        </w:rPr>
        <w:t>relati</w:t>
      </w:r>
      <w:r w:rsidR="007246F3">
        <w:rPr>
          <w:lang w:val="fr-FR"/>
        </w:rPr>
        <w:t>f</w:t>
      </w:r>
      <w:r w:rsidR="0057494D" w:rsidRPr="0057494D">
        <w:rPr>
          <w:lang w:val="fr-FR"/>
        </w:rPr>
        <w:t>s aux mesures techniques de protection et à l</w:t>
      </w:r>
      <w:r w:rsidR="00AA5429">
        <w:rPr>
          <w:lang w:val="fr-FR"/>
        </w:rPr>
        <w:t>’</w:t>
      </w:r>
      <w:r w:rsidR="0057494D" w:rsidRPr="0057494D">
        <w:rPr>
          <w:lang w:val="fr-FR"/>
        </w:rPr>
        <w:t xml:space="preserve">information sur le régime des droits </w:t>
      </w:r>
      <w:r w:rsidR="007246F3">
        <w:rPr>
          <w:lang w:val="fr-FR"/>
        </w:rPr>
        <w:t>en vue de faciliter les</w:t>
      </w:r>
      <w:r w:rsidR="0057494D" w:rsidRPr="0057494D">
        <w:rPr>
          <w:lang w:val="fr-FR"/>
        </w:rPr>
        <w:t xml:space="preserve"> activités d</w:t>
      </w:r>
      <w:r w:rsidR="00AA5429">
        <w:rPr>
          <w:lang w:val="fr-FR"/>
        </w:rPr>
        <w:t>’</w:t>
      </w:r>
      <w:r w:rsidR="0057494D" w:rsidRPr="0057494D">
        <w:rPr>
          <w:lang w:val="fr-FR"/>
        </w:rPr>
        <w:t xml:space="preserve">enseignement </w:t>
      </w:r>
      <w:r w:rsidR="007246F3">
        <w:rPr>
          <w:lang w:val="fr-FR"/>
        </w:rPr>
        <w:t>ont estimé nécessaire d</w:t>
      </w:r>
      <w:r w:rsidR="00AA5429">
        <w:rPr>
          <w:lang w:val="fr-FR"/>
        </w:rPr>
        <w:t>’</w:t>
      </w:r>
      <w:r w:rsidR="007246F3">
        <w:rPr>
          <w:lang w:val="fr-FR"/>
        </w:rPr>
        <w:t>adopter deux de ces éléments de flexibilité, limitations ou exceptions par État membre.</w:t>
      </w:r>
    </w:p>
    <w:p w14:paraId="70B51B95" w14:textId="433EFAF9" w:rsidR="00AA5429" w:rsidRDefault="007246F3" w:rsidP="00D52B7A">
      <w:pPr>
        <w:rPr>
          <w:lang w:val="fr-FR"/>
        </w:rPr>
      </w:pPr>
      <w:r>
        <w:rPr>
          <w:lang w:val="fr-FR"/>
        </w:rPr>
        <w:t>Si on limite l</w:t>
      </w:r>
      <w:r w:rsidR="00AA5429">
        <w:rPr>
          <w:lang w:val="fr-FR"/>
        </w:rPr>
        <w:t>’</w:t>
      </w:r>
      <w:r>
        <w:rPr>
          <w:lang w:val="fr-FR"/>
        </w:rPr>
        <w:t xml:space="preserve">analyse </w:t>
      </w:r>
      <w:r w:rsidR="00FF2A38">
        <w:rPr>
          <w:lang w:val="fr-FR"/>
        </w:rPr>
        <w:t>aux seules dispositions prévoyant clairement des exceptions relatives aux mesures techniques de protection</w:t>
      </w:r>
      <w:r w:rsidR="00746E45" w:rsidRPr="00821360">
        <w:rPr>
          <w:lang w:val="fr-FR"/>
        </w:rPr>
        <w:t xml:space="preserve">, </w:t>
      </w:r>
      <w:r w:rsidR="00FF2A38">
        <w:rPr>
          <w:lang w:val="fr-FR"/>
        </w:rPr>
        <w:t xml:space="preserve">le nombre moyen de dispositions par État membre est de </w:t>
      </w:r>
      <w:r w:rsidR="00746E45" w:rsidRPr="00821360">
        <w:rPr>
          <w:lang w:val="fr-FR"/>
        </w:rPr>
        <w:t>1</w:t>
      </w:r>
      <w:r w:rsidR="00FF2A38">
        <w:rPr>
          <w:lang w:val="fr-FR"/>
        </w:rPr>
        <w:t>,</w:t>
      </w:r>
      <w:r w:rsidR="00746E45" w:rsidRPr="00821360">
        <w:rPr>
          <w:lang w:val="fr-FR"/>
        </w:rPr>
        <w:t>76 (</w:t>
      </w:r>
      <w:r w:rsidR="00FF2A38">
        <w:rPr>
          <w:lang w:val="fr-FR"/>
        </w:rPr>
        <w:t>avec un écart</w:t>
      </w:r>
      <w:r w:rsidR="000B3BA7">
        <w:rPr>
          <w:lang w:val="fr-FR"/>
        </w:rPr>
        <w:t xml:space="preserve"> type de </w:t>
      </w:r>
      <w:r w:rsidR="00746E45" w:rsidRPr="00821360">
        <w:rPr>
          <w:lang w:val="fr-FR"/>
        </w:rPr>
        <w:t>1</w:t>
      </w:r>
      <w:r w:rsidR="000B3BA7">
        <w:rPr>
          <w:lang w:val="fr-FR"/>
        </w:rPr>
        <w:t>,</w:t>
      </w:r>
      <w:r w:rsidR="00746E45" w:rsidRPr="00821360">
        <w:rPr>
          <w:lang w:val="fr-FR"/>
        </w:rPr>
        <w:t>36</w:t>
      </w:r>
      <w:r w:rsidR="000B3BA7">
        <w:rPr>
          <w:lang w:val="fr-FR"/>
        </w:rPr>
        <w:t xml:space="preserve"> et une médiane de </w:t>
      </w:r>
      <w:r w:rsidR="00746E45" w:rsidRPr="00821360">
        <w:rPr>
          <w:lang w:val="fr-FR"/>
        </w:rPr>
        <w:t>1)</w:t>
      </w:r>
      <w:r w:rsidR="00DF0504" w:rsidRPr="00821360">
        <w:rPr>
          <w:lang w:val="fr-FR"/>
        </w:rPr>
        <w:t>.</w:t>
      </w:r>
      <w:r w:rsidR="000B3BA7">
        <w:rPr>
          <w:lang w:val="fr-FR"/>
        </w:rPr>
        <w:t xml:space="preserve"> </w:t>
      </w:r>
      <w:r w:rsidR="00DF0504" w:rsidRPr="00821360">
        <w:rPr>
          <w:lang w:val="fr-FR"/>
        </w:rPr>
        <w:t xml:space="preserve"> </w:t>
      </w:r>
      <w:r w:rsidR="000B3BA7">
        <w:rPr>
          <w:lang w:val="fr-FR"/>
        </w:rPr>
        <w:t>De façon intéressante</w:t>
      </w:r>
      <w:r w:rsidR="00DF0504" w:rsidRPr="00821360">
        <w:rPr>
          <w:lang w:val="fr-FR"/>
        </w:rPr>
        <w:t xml:space="preserve">, </w:t>
      </w:r>
      <w:r w:rsidR="00C40543">
        <w:rPr>
          <w:lang w:val="fr-FR"/>
        </w:rPr>
        <w:t>limiter</w:t>
      </w:r>
      <w:r w:rsidR="00976FDA">
        <w:rPr>
          <w:lang w:val="fr-FR"/>
        </w:rPr>
        <w:t xml:space="preserve"> cette analyse aux dispositions adoptées par les États </w:t>
      </w:r>
      <w:r w:rsidR="00C40543">
        <w:rPr>
          <w:lang w:val="fr-FR"/>
        </w:rPr>
        <w:t>membres de l</w:t>
      </w:r>
      <w:r w:rsidR="00AA5429">
        <w:rPr>
          <w:lang w:val="fr-FR"/>
        </w:rPr>
        <w:t>’</w:t>
      </w:r>
      <w:r w:rsidR="00C40543">
        <w:rPr>
          <w:lang w:val="fr-FR"/>
        </w:rPr>
        <w:t>OMPI ayant adhéré</w:t>
      </w:r>
      <w:r w:rsidR="00AA5429" w:rsidRPr="00AA5429">
        <w:rPr>
          <w:lang w:val="fr-FR"/>
        </w:rPr>
        <w:t xml:space="preserve"> au </w:t>
      </w:r>
      <w:proofErr w:type="spellStart"/>
      <w:r w:rsidR="00AA5429" w:rsidRPr="00AA5429">
        <w:rPr>
          <w:lang w:val="fr-FR"/>
        </w:rPr>
        <w:t>WCT</w:t>
      </w:r>
      <w:proofErr w:type="spellEnd"/>
      <w:r w:rsidR="00DF0504" w:rsidRPr="00821360">
        <w:rPr>
          <w:lang w:val="fr-FR"/>
        </w:rPr>
        <w:t xml:space="preserve"> o</w:t>
      </w:r>
      <w:r w:rsidR="00C40543">
        <w:rPr>
          <w:lang w:val="fr-FR"/>
        </w:rPr>
        <w:t>u</w:t>
      </w:r>
      <w:r w:rsidR="00AA5429" w:rsidRPr="00AA5429">
        <w:rPr>
          <w:lang w:val="fr-FR"/>
        </w:rPr>
        <w:t xml:space="preserve"> au </w:t>
      </w:r>
      <w:proofErr w:type="spellStart"/>
      <w:r w:rsidR="00AA5429" w:rsidRPr="00AA5429">
        <w:rPr>
          <w:lang w:val="fr-FR"/>
        </w:rPr>
        <w:t>WPP</w:t>
      </w:r>
      <w:r w:rsidR="00DF0504" w:rsidRPr="00821360">
        <w:rPr>
          <w:lang w:val="fr-FR"/>
        </w:rPr>
        <w:t>T</w:t>
      </w:r>
      <w:proofErr w:type="spellEnd"/>
      <w:r w:rsidR="00DF0504" w:rsidRPr="00821360">
        <w:rPr>
          <w:lang w:val="fr-FR"/>
        </w:rPr>
        <w:t xml:space="preserve"> </w:t>
      </w:r>
      <w:r w:rsidR="00C40543">
        <w:rPr>
          <w:lang w:val="fr-FR"/>
        </w:rPr>
        <w:t>n</w:t>
      </w:r>
      <w:r w:rsidR="00AA5429">
        <w:rPr>
          <w:lang w:val="fr-FR"/>
        </w:rPr>
        <w:t>’</w:t>
      </w:r>
      <w:r w:rsidR="00C40543">
        <w:rPr>
          <w:lang w:val="fr-FR"/>
        </w:rPr>
        <w:t>entraîne aucun changement dans lesdites statistiqu</w:t>
      </w:r>
      <w:r w:rsidR="00D07A5F">
        <w:rPr>
          <w:lang w:val="fr-FR"/>
        </w:rPr>
        <w:t>es.  Ce</w:t>
      </w:r>
      <w:r w:rsidR="000C5F82">
        <w:rPr>
          <w:lang w:val="fr-FR"/>
        </w:rPr>
        <w:t>la porte à croire que les États membres souscrivent à l</w:t>
      </w:r>
      <w:r w:rsidR="00AA5429">
        <w:rPr>
          <w:lang w:val="fr-FR"/>
        </w:rPr>
        <w:t>’</w:t>
      </w:r>
      <w:r w:rsidR="000C5F82">
        <w:rPr>
          <w:lang w:val="fr-FR"/>
        </w:rPr>
        <w:t>intérêt d</w:t>
      </w:r>
      <w:r w:rsidR="00AA5429">
        <w:rPr>
          <w:lang w:val="fr-FR"/>
        </w:rPr>
        <w:t>’</w:t>
      </w:r>
      <w:r w:rsidR="000C5F82">
        <w:rPr>
          <w:lang w:val="fr-FR"/>
        </w:rPr>
        <w:t xml:space="preserve">adopter au moins 1 élément de flexibilité, une limitation ou une </w:t>
      </w:r>
      <w:r w:rsidR="00746E45" w:rsidRPr="00821360">
        <w:rPr>
          <w:lang w:val="fr-FR"/>
        </w:rPr>
        <w:t>exception (</w:t>
      </w:r>
      <w:r w:rsidR="000C5F82">
        <w:rPr>
          <w:lang w:val="fr-FR"/>
        </w:rPr>
        <w:t>aux fins des activités d</w:t>
      </w:r>
      <w:r w:rsidR="00AA5429">
        <w:rPr>
          <w:lang w:val="fr-FR"/>
        </w:rPr>
        <w:t>’</w:t>
      </w:r>
      <w:r w:rsidR="000C5F82">
        <w:rPr>
          <w:lang w:val="fr-FR"/>
        </w:rPr>
        <w:t>enseignement</w:t>
      </w:r>
      <w:r w:rsidR="00746E45" w:rsidRPr="00821360">
        <w:rPr>
          <w:lang w:val="fr-FR"/>
        </w:rPr>
        <w:t xml:space="preserve">) </w:t>
      </w:r>
      <w:r w:rsidR="000C5F82">
        <w:rPr>
          <w:lang w:val="fr-FR"/>
        </w:rPr>
        <w:t xml:space="preserve">aux mesures techniques de </w:t>
      </w:r>
      <w:r w:rsidR="00746E45" w:rsidRPr="00821360">
        <w:rPr>
          <w:lang w:val="fr-FR"/>
        </w:rPr>
        <w:t>protection</w:t>
      </w:r>
      <w:r w:rsidR="00DF0504" w:rsidRPr="00821360">
        <w:rPr>
          <w:lang w:val="fr-FR"/>
        </w:rPr>
        <w:t xml:space="preserve">, </w:t>
      </w:r>
      <w:r w:rsidR="000C5F82">
        <w:rPr>
          <w:lang w:val="fr-FR"/>
        </w:rPr>
        <w:t>et que cette politique a été mise en œuvre indépendamment de l</w:t>
      </w:r>
      <w:r w:rsidR="00AA5429">
        <w:rPr>
          <w:lang w:val="fr-FR"/>
        </w:rPr>
        <w:t>’</w:t>
      </w:r>
      <w:r w:rsidR="000C5F82">
        <w:rPr>
          <w:lang w:val="fr-FR"/>
        </w:rPr>
        <w:t>adhésion des États membres</w:t>
      </w:r>
      <w:r w:rsidR="00AA5429" w:rsidRPr="00AA5429">
        <w:rPr>
          <w:lang w:val="fr-FR"/>
        </w:rPr>
        <w:t xml:space="preserve"> au </w:t>
      </w:r>
      <w:proofErr w:type="spellStart"/>
      <w:r w:rsidR="00AA5429" w:rsidRPr="00AA5429">
        <w:rPr>
          <w:lang w:val="fr-FR"/>
        </w:rPr>
        <w:t>WCT</w:t>
      </w:r>
      <w:proofErr w:type="spellEnd"/>
      <w:r w:rsidR="00DF0504" w:rsidRPr="00821360">
        <w:rPr>
          <w:lang w:val="fr-FR"/>
        </w:rPr>
        <w:t xml:space="preserve"> o</w:t>
      </w:r>
      <w:r w:rsidR="000C5F82">
        <w:rPr>
          <w:lang w:val="fr-FR"/>
        </w:rPr>
        <w:t>u</w:t>
      </w:r>
      <w:r w:rsidR="00AA5429" w:rsidRPr="00AA5429">
        <w:rPr>
          <w:lang w:val="fr-FR"/>
        </w:rPr>
        <w:t xml:space="preserve"> au </w:t>
      </w:r>
      <w:proofErr w:type="spellStart"/>
      <w:r w:rsidR="00AA5429" w:rsidRPr="00AA5429">
        <w:rPr>
          <w:lang w:val="fr-FR"/>
        </w:rPr>
        <w:t>WPP</w:t>
      </w:r>
      <w:r w:rsidR="00DF0504" w:rsidRPr="00821360">
        <w:rPr>
          <w:lang w:val="fr-FR"/>
        </w:rPr>
        <w:t>T</w:t>
      </w:r>
      <w:proofErr w:type="spellEnd"/>
      <w:r w:rsidR="00746E45" w:rsidRPr="00821360">
        <w:rPr>
          <w:lang w:val="fr-FR"/>
        </w:rPr>
        <w:t>.</w:t>
      </w:r>
    </w:p>
    <w:p w14:paraId="5B5214D5" w14:textId="64A44FBC" w:rsidR="00746E45" w:rsidRPr="00821360" w:rsidRDefault="00242E3E" w:rsidP="00D52B7A">
      <w:pPr>
        <w:rPr>
          <w:lang w:val="fr-FR"/>
        </w:rPr>
      </w:pPr>
      <w:r>
        <w:rPr>
          <w:lang w:val="fr-FR"/>
        </w:rPr>
        <w:t>Les éléments de flexibilité, limitations ou exceptions recensés dans ces dispositions concernent les domaines suivants</w:t>
      </w:r>
      <w:r w:rsidR="00AA5429">
        <w:rPr>
          <w:lang w:val="fr-FR"/>
        </w:rPr>
        <w:t> :</w:t>
      </w:r>
      <w:r>
        <w:rPr>
          <w:lang w:val="fr-FR"/>
        </w:rPr>
        <w:t xml:space="preserve"> enseignement</w:t>
      </w:r>
      <w:r w:rsidR="00746E45" w:rsidRPr="00821360">
        <w:rPr>
          <w:lang w:val="fr-FR"/>
        </w:rPr>
        <w:t xml:space="preserve"> (7</w:t>
      </w:r>
      <w:r>
        <w:rPr>
          <w:lang w:val="fr-FR"/>
        </w:rPr>
        <w:t> dispositions</w:t>
      </w:r>
      <w:r w:rsidR="00746E45" w:rsidRPr="00821360">
        <w:rPr>
          <w:lang w:val="fr-FR"/>
        </w:rPr>
        <w:t xml:space="preserve">), </w:t>
      </w:r>
      <w:r>
        <w:rPr>
          <w:lang w:val="fr-FR"/>
        </w:rPr>
        <w:t>utilisation à des fins privées ou personnelles</w:t>
      </w:r>
      <w:r w:rsidR="00746E45" w:rsidRPr="00821360">
        <w:rPr>
          <w:lang w:val="fr-FR"/>
        </w:rPr>
        <w:t xml:space="preserve"> (5</w:t>
      </w:r>
      <w:r>
        <w:rPr>
          <w:lang w:val="fr-FR"/>
        </w:rPr>
        <w:t> dispositions</w:t>
      </w:r>
      <w:r w:rsidR="00746E45" w:rsidRPr="00821360">
        <w:rPr>
          <w:lang w:val="fr-FR"/>
        </w:rPr>
        <w:t xml:space="preserve">), </w:t>
      </w:r>
      <w:r w:rsidRPr="00242E3E">
        <w:rPr>
          <w:lang w:val="fr-FR"/>
        </w:rPr>
        <w:t>décisions concernant l</w:t>
      </w:r>
      <w:r w:rsidR="00AA5429">
        <w:rPr>
          <w:lang w:val="fr-FR"/>
        </w:rPr>
        <w:t>’</w:t>
      </w:r>
      <w:r w:rsidRPr="00242E3E">
        <w:rPr>
          <w:lang w:val="fr-FR"/>
        </w:rPr>
        <w:t>acquisition ou l</w:t>
      </w:r>
      <w:r w:rsidR="00AA5429">
        <w:rPr>
          <w:lang w:val="fr-FR"/>
        </w:rPr>
        <w:t>’</w:t>
      </w:r>
      <w:r w:rsidRPr="00242E3E">
        <w:rPr>
          <w:lang w:val="fr-FR"/>
        </w:rPr>
        <w:t>achat d</w:t>
      </w:r>
      <w:r w:rsidR="00AA5429">
        <w:rPr>
          <w:lang w:val="fr-FR"/>
        </w:rPr>
        <w:t>’</w:t>
      </w:r>
      <w:r w:rsidRPr="00242E3E">
        <w:rPr>
          <w:lang w:val="fr-FR"/>
        </w:rPr>
        <w:t>œuvres à des fins d</w:t>
      </w:r>
      <w:r w:rsidR="00AA5429">
        <w:rPr>
          <w:lang w:val="fr-FR"/>
        </w:rPr>
        <w:t>’</w:t>
      </w:r>
      <w:r w:rsidRPr="00242E3E">
        <w:rPr>
          <w:lang w:val="fr-FR"/>
        </w:rPr>
        <w:t xml:space="preserve">enseignement </w:t>
      </w:r>
      <w:r w:rsidR="00746E45" w:rsidRPr="00821360">
        <w:rPr>
          <w:lang w:val="fr-FR"/>
        </w:rPr>
        <w:t>(</w:t>
      </w:r>
      <w:r w:rsidR="00EA4D01" w:rsidRPr="00821360">
        <w:rPr>
          <w:lang w:val="fr-FR"/>
        </w:rPr>
        <w:t>11</w:t>
      </w:r>
      <w:r>
        <w:rPr>
          <w:lang w:val="fr-FR"/>
        </w:rPr>
        <w:t> </w:t>
      </w:r>
      <w:r w:rsidR="00746E45" w:rsidRPr="00821360">
        <w:rPr>
          <w:lang w:val="fr-FR"/>
        </w:rPr>
        <w:t xml:space="preserve">provisions), </w:t>
      </w:r>
      <w:r w:rsidRPr="00242E3E">
        <w:rPr>
          <w:lang w:val="fr-FR"/>
        </w:rPr>
        <w:t xml:space="preserve">recherche cryptographique </w:t>
      </w:r>
      <w:r w:rsidR="00746E45" w:rsidRPr="00821360">
        <w:rPr>
          <w:lang w:val="fr-FR"/>
        </w:rPr>
        <w:t>(18</w:t>
      </w:r>
      <w:r>
        <w:rPr>
          <w:lang w:val="fr-FR"/>
        </w:rPr>
        <w:t> dispositions</w:t>
      </w:r>
      <w:r w:rsidR="00746E45" w:rsidRPr="00821360">
        <w:rPr>
          <w:lang w:val="fr-FR"/>
        </w:rPr>
        <w:t xml:space="preserve">), </w:t>
      </w:r>
      <w:r w:rsidRPr="00242E3E">
        <w:rPr>
          <w:lang w:val="fr-FR"/>
        </w:rPr>
        <w:t xml:space="preserve">essais de sécurité </w:t>
      </w:r>
      <w:r w:rsidR="00746E45" w:rsidRPr="00821360">
        <w:rPr>
          <w:lang w:val="fr-FR"/>
        </w:rPr>
        <w:t>(17</w:t>
      </w:r>
      <w:r>
        <w:rPr>
          <w:lang w:val="fr-FR"/>
        </w:rPr>
        <w:t> dispositions</w:t>
      </w:r>
      <w:r w:rsidR="00746E45" w:rsidRPr="00821360">
        <w:rPr>
          <w:lang w:val="fr-FR"/>
        </w:rPr>
        <w:t>), interop</w:t>
      </w:r>
      <w:r>
        <w:rPr>
          <w:lang w:val="fr-FR"/>
        </w:rPr>
        <w:t>é</w:t>
      </w:r>
      <w:r w:rsidR="00746E45" w:rsidRPr="00821360">
        <w:rPr>
          <w:lang w:val="fr-FR"/>
        </w:rPr>
        <w:t>rabilit</w:t>
      </w:r>
      <w:r>
        <w:rPr>
          <w:lang w:val="fr-FR"/>
        </w:rPr>
        <w:t>é</w:t>
      </w:r>
      <w:r w:rsidR="00746E45" w:rsidRPr="00821360">
        <w:rPr>
          <w:lang w:val="fr-FR"/>
        </w:rPr>
        <w:t xml:space="preserve"> (9</w:t>
      </w:r>
      <w:r>
        <w:rPr>
          <w:lang w:val="fr-FR"/>
        </w:rPr>
        <w:t> dispositions</w:t>
      </w:r>
      <w:r w:rsidR="00746E45" w:rsidRPr="00821360">
        <w:rPr>
          <w:lang w:val="fr-FR"/>
        </w:rPr>
        <w:t xml:space="preserve">), </w:t>
      </w:r>
      <w:r w:rsidR="009710F2">
        <w:rPr>
          <w:lang w:val="fr-FR"/>
        </w:rPr>
        <w:t>accès légitime</w:t>
      </w:r>
      <w:r w:rsidR="00746E45" w:rsidRPr="00821360">
        <w:rPr>
          <w:lang w:val="fr-FR"/>
        </w:rPr>
        <w:t xml:space="preserve"> (17</w:t>
      </w:r>
      <w:r w:rsidR="009710F2">
        <w:rPr>
          <w:lang w:val="fr-FR"/>
        </w:rPr>
        <w:t> dispositions</w:t>
      </w:r>
      <w:r w:rsidR="00746E45" w:rsidRPr="00821360">
        <w:rPr>
          <w:lang w:val="fr-FR"/>
        </w:rPr>
        <w:t xml:space="preserve">) </w:t>
      </w:r>
      <w:r w:rsidR="009710F2">
        <w:rPr>
          <w:lang w:val="fr-FR"/>
        </w:rPr>
        <w:t xml:space="preserve">et </w:t>
      </w:r>
      <w:r w:rsidR="00FF0064">
        <w:rPr>
          <w:lang w:val="fr-FR"/>
        </w:rPr>
        <w:t>mise en œuvre concrète</w:t>
      </w:r>
      <w:r w:rsidR="009710F2">
        <w:rPr>
          <w:lang w:val="fr-FR"/>
        </w:rPr>
        <w:t xml:space="preserve"> </w:t>
      </w:r>
      <w:r w:rsidR="00FF0064">
        <w:rPr>
          <w:lang w:val="fr-FR"/>
        </w:rPr>
        <w:t>pour les</w:t>
      </w:r>
      <w:r w:rsidR="009710F2">
        <w:rPr>
          <w:lang w:val="fr-FR"/>
        </w:rPr>
        <w:t xml:space="preserve"> bénéficiaires des limitations et exceptions </w:t>
      </w:r>
      <w:r w:rsidR="00FF0064">
        <w:rPr>
          <w:lang w:val="fr-FR"/>
        </w:rPr>
        <w:t>adoptées en leur faveur</w:t>
      </w:r>
      <w:r w:rsidR="00746E45" w:rsidRPr="00821360">
        <w:rPr>
          <w:lang w:val="fr-FR"/>
        </w:rPr>
        <w:t xml:space="preserve"> (30</w:t>
      </w:r>
      <w:r w:rsidR="00FF0064">
        <w:rPr>
          <w:lang w:val="fr-FR"/>
        </w:rPr>
        <w:t> dispositions</w:t>
      </w:r>
      <w:r w:rsidR="00746E45" w:rsidRPr="00821360">
        <w:rPr>
          <w:lang w:val="fr-FR"/>
        </w:rPr>
        <w:t>).</w:t>
      </w:r>
    </w:p>
    <w:p w14:paraId="76F6186D" w14:textId="118FDF72" w:rsidR="00746E45" w:rsidRPr="00821360" w:rsidRDefault="00FF0064" w:rsidP="00D52B7A">
      <w:pPr>
        <w:rPr>
          <w:lang w:val="fr-FR"/>
        </w:rPr>
      </w:pPr>
      <w:r>
        <w:rPr>
          <w:lang w:val="fr-FR"/>
        </w:rPr>
        <w:t>La manière dont chaque disposition prévoit le contournement, la suppression ou la désactivation des mesures techniques de protection ou de l</w:t>
      </w:r>
      <w:r w:rsidR="00AA5429">
        <w:rPr>
          <w:lang w:val="fr-FR"/>
        </w:rPr>
        <w:t>’</w:t>
      </w:r>
      <w:r>
        <w:rPr>
          <w:lang w:val="fr-FR"/>
        </w:rPr>
        <w:t>information sur le régime des droits, ou favorise l</w:t>
      </w:r>
      <w:r w:rsidR="00AA5429">
        <w:rPr>
          <w:lang w:val="fr-FR"/>
        </w:rPr>
        <w:t>’</w:t>
      </w:r>
      <w:r>
        <w:rPr>
          <w:lang w:val="fr-FR"/>
        </w:rPr>
        <w:t>accès aux œuvres var</w:t>
      </w:r>
      <w:r w:rsidR="00D07A5F">
        <w:rPr>
          <w:lang w:val="fr-FR"/>
        </w:rPr>
        <w:t>ie.  Qu</w:t>
      </w:r>
      <w:r>
        <w:rPr>
          <w:lang w:val="fr-FR"/>
        </w:rPr>
        <w:t>arante</w:t>
      </w:r>
      <w:r w:rsidR="00D52B7A">
        <w:rPr>
          <w:lang w:val="fr-FR"/>
        </w:rPr>
        <w:noBreakHyphen/>
      </w:r>
      <w:r>
        <w:rPr>
          <w:lang w:val="fr-FR"/>
        </w:rPr>
        <w:t xml:space="preserve">trois dispositions </w:t>
      </w:r>
      <w:r w:rsidR="00746E45" w:rsidRPr="00821360">
        <w:rPr>
          <w:lang w:val="fr-FR"/>
        </w:rPr>
        <w:t>oblige</w:t>
      </w:r>
      <w:r>
        <w:rPr>
          <w:lang w:val="fr-FR"/>
        </w:rPr>
        <w:t>nt le titulaire</w:t>
      </w:r>
      <w:r w:rsidR="00746E45" w:rsidRPr="00821360">
        <w:rPr>
          <w:lang w:val="fr-FR"/>
        </w:rPr>
        <w:t xml:space="preserve"> </w:t>
      </w:r>
      <w:r>
        <w:rPr>
          <w:lang w:val="fr-FR"/>
        </w:rPr>
        <w:t xml:space="preserve">des droits à </w:t>
      </w:r>
      <w:r w:rsidR="00F20738">
        <w:rPr>
          <w:lang w:val="fr-FR"/>
        </w:rPr>
        <w:t>supprimer les mesures techniques de protection, à modifier l</w:t>
      </w:r>
      <w:r w:rsidR="00AA5429">
        <w:rPr>
          <w:lang w:val="fr-FR"/>
        </w:rPr>
        <w:t>’</w:t>
      </w:r>
      <w:r w:rsidR="00F20738">
        <w:rPr>
          <w:lang w:val="fr-FR"/>
        </w:rPr>
        <w:t>œuvre ou à mettre à disposition des moyens appropriés à cette f</w:t>
      </w:r>
      <w:r w:rsidR="00D07A5F">
        <w:rPr>
          <w:lang w:val="fr-FR"/>
        </w:rPr>
        <w:t>in.  Un</w:t>
      </w:r>
      <w:r w:rsidR="00F20738">
        <w:rPr>
          <w:lang w:val="fr-FR"/>
        </w:rPr>
        <w:t xml:space="preserve"> grand nombre de dispositions prescrivent au bénéficiaire lésé de nouer le dialogue avec le titulaire du droit afin de négocier une solution permettant de sortir de l</w:t>
      </w:r>
      <w:r w:rsidR="00AA5429">
        <w:rPr>
          <w:lang w:val="fr-FR"/>
        </w:rPr>
        <w:t>’</w:t>
      </w:r>
      <w:r w:rsidR="00F20738">
        <w:rPr>
          <w:lang w:val="fr-FR"/>
        </w:rPr>
        <w:t>impas</w:t>
      </w:r>
      <w:r w:rsidR="00D07A5F">
        <w:rPr>
          <w:lang w:val="fr-FR"/>
        </w:rPr>
        <w:t>se.  So</w:t>
      </w:r>
      <w:r w:rsidR="00756A7D">
        <w:rPr>
          <w:lang w:val="fr-FR"/>
        </w:rPr>
        <w:t>ixante</w:t>
      </w:r>
      <w:r w:rsidR="00D52B7A">
        <w:rPr>
          <w:lang w:val="fr-FR"/>
        </w:rPr>
        <w:noBreakHyphen/>
      </w:r>
      <w:r w:rsidR="00756A7D">
        <w:rPr>
          <w:lang w:val="fr-FR"/>
        </w:rPr>
        <w:t xml:space="preserve">treize dispositions </w:t>
      </w:r>
      <w:r w:rsidR="00182D28">
        <w:rPr>
          <w:lang w:val="fr-FR"/>
        </w:rPr>
        <w:t>autorisent le bénéficiaire à contourner, supprimer ou détruire les mesures techniques de protection ou l</w:t>
      </w:r>
      <w:r w:rsidR="00AA5429">
        <w:rPr>
          <w:lang w:val="fr-FR"/>
        </w:rPr>
        <w:t>’</w:t>
      </w:r>
      <w:r w:rsidR="00182D28">
        <w:rPr>
          <w:lang w:val="fr-FR"/>
        </w:rPr>
        <w:t>information sur le régime des droits sans devoir payer une pénalité ou des dommages</w:t>
      </w:r>
      <w:r w:rsidR="00D52B7A">
        <w:rPr>
          <w:lang w:val="fr-FR"/>
        </w:rPr>
        <w:noBreakHyphen/>
      </w:r>
      <w:r w:rsidR="00182D28">
        <w:rPr>
          <w:lang w:val="fr-FR"/>
        </w:rPr>
        <w:t>intérê</w:t>
      </w:r>
      <w:r w:rsidR="00D07A5F">
        <w:rPr>
          <w:lang w:val="fr-FR"/>
        </w:rPr>
        <w:t>ts.  Le</w:t>
      </w:r>
      <w:r w:rsidR="00182D28">
        <w:rPr>
          <w:lang w:val="fr-FR"/>
        </w:rPr>
        <w:t xml:space="preserve"> reste des dispositions </w:t>
      </w:r>
      <w:r w:rsidR="008E14C9">
        <w:rPr>
          <w:lang w:val="fr-FR"/>
        </w:rPr>
        <w:t>autorise le bénéficiaire soit à reproduire l</w:t>
      </w:r>
      <w:r w:rsidR="00AA5429">
        <w:rPr>
          <w:lang w:val="fr-FR"/>
        </w:rPr>
        <w:t>’</w:t>
      </w:r>
      <w:r w:rsidR="008E14C9">
        <w:rPr>
          <w:lang w:val="fr-FR"/>
        </w:rPr>
        <w:t xml:space="preserve">œuvre, soit </w:t>
      </w:r>
      <w:r w:rsidR="00B1243F">
        <w:rPr>
          <w:lang w:val="fr-FR"/>
        </w:rPr>
        <w:t>à mener des activités en s</w:t>
      </w:r>
      <w:r w:rsidR="00AA5429">
        <w:rPr>
          <w:lang w:val="fr-FR"/>
        </w:rPr>
        <w:t>’</w:t>
      </w:r>
      <w:r w:rsidR="00B1243F">
        <w:rPr>
          <w:lang w:val="fr-FR"/>
        </w:rPr>
        <w:t>appuyant sur l</w:t>
      </w:r>
      <w:r w:rsidR="00AA5429">
        <w:rPr>
          <w:lang w:val="fr-FR"/>
        </w:rPr>
        <w:t>’</w:t>
      </w:r>
      <w:r w:rsidR="00B1243F">
        <w:rPr>
          <w:lang w:val="fr-FR"/>
        </w:rPr>
        <w:t>œuvre tout en étant exonéré de toute responsabilité</w:t>
      </w:r>
      <w:r w:rsidR="00746E45" w:rsidRPr="00821360">
        <w:rPr>
          <w:lang w:val="fr-FR"/>
        </w:rPr>
        <w:t>.</w:t>
      </w:r>
    </w:p>
    <w:p w14:paraId="5A1400C3" w14:textId="71CDBD00" w:rsidR="00746E45" w:rsidRPr="00821360" w:rsidRDefault="00B1243F" w:rsidP="00D52B7A">
      <w:pPr>
        <w:rPr>
          <w:lang w:val="fr-FR"/>
        </w:rPr>
      </w:pPr>
      <w:r>
        <w:rPr>
          <w:lang w:val="fr-FR"/>
        </w:rPr>
        <w:t xml:space="preserve">Les </w:t>
      </w:r>
      <w:r w:rsidR="00746E45" w:rsidRPr="00821360">
        <w:rPr>
          <w:lang w:val="fr-FR"/>
        </w:rPr>
        <w:t xml:space="preserve">conditions </w:t>
      </w:r>
      <w:r>
        <w:rPr>
          <w:lang w:val="fr-FR"/>
        </w:rPr>
        <w:t>généralement prescrites pour l</w:t>
      </w:r>
      <w:r w:rsidR="00AA5429">
        <w:rPr>
          <w:lang w:val="fr-FR"/>
        </w:rPr>
        <w:t>’</w:t>
      </w:r>
      <w:r>
        <w:rPr>
          <w:lang w:val="fr-FR"/>
        </w:rPr>
        <w:t>a</w:t>
      </w:r>
      <w:r w:rsidR="005C4D15">
        <w:rPr>
          <w:lang w:val="fr-FR"/>
        </w:rPr>
        <w:t>pplication de ces dispositions sont que l</w:t>
      </w:r>
      <w:r w:rsidR="00AA5429">
        <w:rPr>
          <w:lang w:val="fr-FR"/>
        </w:rPr>
        <w:t>’</w:t>
      </w:r>
      <w:r w:rsidR="005C4D15">
        <w:rPr>
          <w:lang w:val="fr-FR"/>
        </w:rPr>
        <w:t>œuvre d</w:t>
      </w:r>
      <w:r w:rsidR="00AA5429">
        <w:rPr>
          <w:lang w:val="fr-FR"/>
        </w:rPr>
        <w:t>’</w:t>
      </w:r>
      <w:r w:rsidR="005C4D15">
        <w:rPr>
          <w:lang w:val="fr-FR"/>
        </w:rPr>
        <w:t>origine en question soit un exemplaire de l</w:t>
      </w:r>
      <w:r w:rsidR="00AA5429">
        <w:rPr>
          <w:lang w:val="fr-FR"/>
        </w:rPr>
        <w:t>’</w:t>
      </w:r>
      <w:r w:rsidR="005C4D15">
        <w:rPr>
          <w:lang w:val="fr-FR"/>
        </w:rPr>
        <w:t>œuvre ayant été acquis légalement</w:t>
      </w:r>
      <w:r w:rsidR="00746E45" w:rsidRPr="00821360">
        <w:rPr>
          <w:lang w:val="fr-FR"/>
        </w:rPr>
        <w:t xml:space="preserve"> (14</w:t>
      </w:r>
      <w:r w:rsidR="005C4D15">
        <w:rPr>
          <w:lang w:val="fr-FR"/>
        </w:rPr>
        <w:t> dispositions</w:t>
      </w:r>
      <w:r w:rsidR="00746E45" w:rsidRPr="00821360">
        <w:rPr>
          <w:lang w:val="fr-FR"/>
        </w:rPr>
        <w:t>)</w:t>
      </w:r>
      <w:r w:rsidR="005C4D15">
        <w:rPr>
          <w:lang w:val="fr-FR"/>
        </w:rPr>
        <w:t xml:space="preserve"> et que le bénéficiaire agisse de bonne foi et sans intention de porter atteinte au droit d</w:t>
      </w:r>
      <w:r w:rsidR="00AA5429">
        <w:rPr>
          <w:lang w:val="fr-FR"/>
        </w:rPr>
        <w:t>’</w:t>
      </w:r>
      <w:r w:rsidR="005C4D15">
        <w:rPr>
          <w:lang w:val="fr-FR"/>
        </w:rPr>
        <w:t xml:space="preserve">auteur </w:t>
      </w:r>
      <w:r w:rsidR="00746E45" w:rsidRPr="00821360">
        <w:rPr>
          <w:lang w:val="fr-FR"/>
        </w:rPr>
        <w:t>(28</w:t>
      </w:r>
      <w:r w:rsidR="005C4D15">
        <w:rPr>
          <w:lang w:val="fr-FR"/>
        </w:rPr>
        <w:t> dispositions</w:t>
      </w:r>
      <w:r w:rsidR="00746E45" w:rsidRPr="00821360">
        <w:rPr>
          <w:lang w:val="fr-FR"/>
        </w:rPr>
        <w:t>).</w:t>
      </w:r>
    </w:p>
    <w:p w14:paraId="68A4D981" w14:textId="331A3CEF" w:rsidR="000E26C8" w:rsidRPr="00821360" w:rsidRDefault="00733F26" w:rsidP="00D52B7A">
      <w:pPr>
        <w:pStyle w:val="Heading2"/>
        <w:spacing w:after="160"/>
        <w:rPr>
          <w:lang w:val="fr-FR"/>
        </w:rPr>
      </w:pPr>
      <w:r w:rsidRPr="00821360">
        <w:rPr>
          <w:lang w:val="fr-FR"/>
        </w:rPr>
        <w:lastRenderedPageBreak/>
        <w:t>Analys</w:t>
      </w:r>
      <w:r w:rsidR="002E00A9">
        <w:rPr>
          <w:lang w:val="fr-FR"/>
        </w:rPr>
        <w:t>e complémentaire et c</w:t>
      </w:r>
      <w:r w:rsidR="000E26C8" w:rsidRPr="00821360">
        <w:rPr>
          <w:lang w:val="fr-FR"/>
        </w:rPr>
        <w:t>onclusions</w:t>
      </w:r>
    </w:p>
    <w:p w14:paraId="06FB433A" w14:textId="41838FEF" w:rsidR="00AA5429" w:rsidRDefault="002E00A9" w:rsidP="00D52B7A">
      <w:pPr>
        <w:rPr>
          <w:lang w:val="fr-FR"/>
        </w:rPr>
      </w:pPr>
      <w:r>
        <w:rPr>
          <w:lang w:val="fr-FR"/>
        </w:rPr>
        <w:t>La présente version actualisée et l</w:t>
      </w:r>
      <w:r w:rsidR="00AA5429">
        <w:rPr>
          <w:lang w:val="fr-FR"/>
        </w:rPr>
        <w:t>’</w:t>
      </w:r>
      <w:r>
        <w:rPr>
          <w:lang w:val="fr-FR"/>
        </w:rPr>
        <w:t>analyse complémentaire n</w:t>
      </w:r>
      <w:r w:rsidR="00AA5429">
        <w:rPr>
          <w:lang w:val="fr-FR"/>
        </w:rPr>
        <w:t>’</w:t>
      </w:r>
      <w:r>
        <w:rPr>
          <w:lang w:val="fr-FR"/>
        </w:rPr>
        <w:t xml:space="preserve">ont pas </w:t>
      </w:r>
      <w:r w:rsidR="005B34C6">
        <w:rPr>
          <w:lang w:val="fr-FR"/>
        </w:rPr>
        <w:t>abouti</w:t>
      </w:r>
      <w:r>
        <w:rPr>
          <w:lang w:val="fr-FR"/>
        </w:rPr>
        <w:t xml:space="preserve"> à des conclusions fondamentalement différentes de celles </w:t>
      </w:r>
      <w:r w:rsidR="005B34C6">
        <w:rPr>
          <w:lang w:val="fr-FR"/>
        </w:rPr>
        <w:t>de la précédente étu</w:t>
      </w:r>
      <w:r w:rsidR="00D07A5F">
        <w:rPr>
          <w:lang w:val="fr-FR"/>
        </w:rPr>
        <w:t>de.  Ce</w:t>
      </w:r>
      <w:r w:rsidR="005B34C6">
        <w:rPr>
          <w:lang w:val="fr-FR"/>
        </w:rPr>
        <w:t>s con</w:t>
      </w:r>
      <w:r w:rsidR="008B1CF7">
        <w:rPr>
          <w:lang w:val="fr-FR"/>
        </w:rPr>
        <w:t>clus</w:t>
      </w:r>
      <w:r w:rsidR="005B34C6">
        <w:rPr>
          <w:lang w:val="fr-FR"/>
        </w:rPr>
        <w:t>ions sont résumées ci</w:t>
      </w:r>
      <w:r w:rsidR="00D52B7A">
        <w:rPr>
          <w:lang w:val="fr-FR"/>
        </w:rPr>
        <w:noBreakHyphen/>
      </w:r>
      <w:r w:rsidR="005B34C6">
        <w:rPr>
          <w:lang w:val="fr-FR"/>
        </w:rPr>
        <w:t>après.</w:t>
      </w:r>
    </w:p>
    <w:p w14:paraId="19EE4AD3" w14:textId="76B4D703" w:rsidR="00DE596C" w:rsidRDefault="00667230" w:rsidP="00D52B7A">
      <w:pPr>
        <w:rPr>
          <w:lang w:val="fr-FR"/>
        </w:rPr>
      </w:pPr>
      <w:r>
        <w:rPr>
          <w:lang w:val="fr-FR"/>
        </w:rPr>
        <w:t xml:space="preserve">Premièrement, </w:t>
      </w:r>
      <w:r w:rsidR="005B34C6">
        <w:rPr>
          <w:lang w:val="fr-FR"/>
        </w:rPr>
        <w:t xml:space="preserve">si, comme indiqué plus haut, deux formulations distinctes ont été adoptées par les États membres pour les limitations et exceptions </w:t>
      </w:r>
      <w:r w:rsidR="00AA41E7">
        <w:rPr>
          <w:lang w:val="fr-FR"/>
        </w:rPr>
        <w:t>permettant d</w:t>
      </w:r>
      <w:r w:rsidR="00AA5429">
        <w:rPr>
          <w:lang w:val="fr-FR"/>
        </w:rPr>
        <w:t>’</w:t>
      </w:r>
      <w:r w:rsidR="00AA41E7">
        <w:rPr>
          <w:lang w:val="fr-FR"/>
        </w:rPr>
        <w:t xml:space="preserve">effectuer des </w:t>
      </w:r>
      <w:r w:rsidR="00AA5429">
        <w:rPr>
          <w:lang w:val="fr-FR"/>
        </w:rPr>
        <w:t>“</w:t>
      </w:r>
      <w:r w:rsidR="00AA5429" w:rsidRPr="00821360">
        <w:rPr>
          <w:lang w:val="fr-FR"/>
        </w:rPr>
        <w:t>a</w:t>
      </w:r>
      <w:r w:rsidR="007A1A66" w:rsidRPr="00821360">
        <w:rPr>
          <w:lang w:val="fr-FR"/>
        </w:rPr>
        <w:t>daptation</w:t>
      </w:r>
      <w:r w:rsidR="00AA5429" w:rsidRPr="00821360">
        <w:rPr>
          <w:lang w:val="fr-FR"/>
        </w:rPr>
        <w:t>s</w:t>
      </w:r>
      <w:r w:rsidR="00AA5429">
        <w:rPr>
          <w:lang w:val="fr-FR"/>
        </w:rPr>
        <w:t>”</w:t>
      </w:r>
      <w:r w:rsidR="007A1A66" w:rsidRPr="00821360">
        <w:rPr>
          <w:lang w:val="fr-FR"/>
        </w:rPr>
        <w:t xml:space="preserve"> o</w:t>
      </w:r>
      <w:r w:rsidR="00AA41E7">
        <w:rPr>
          <w:lang w:val="fr-FR"/>
        </w:rPr>
        <w:t>u</w:t>
      </w:r>
      <w:r w:rsidR="007A1A66" w:rsidRPr="00821360">
        <w:rPr>
          <w:lang w:val="fr-FR"/>
        </w:rPr>
        <w:t xml:space="preserve"> </w:t>
      </w:r>
      <w:r w:rsidR="00AA41E7">
        <w:rPr>
          <w:lang w:val="fr-FR"/>
        </w:rPr>
        <w:t xml:space="preserve">des </w:t>
      </w:r>
      <w:r w:rsidR="00AA5429">
        <w:rPr>
          <w:lang w:val="fr-FR"/>
        </w:rPr>
        <w:t>“</w:t>
      </w:r>
      <w:r w:rsidR="00AA5429" w:rsidRPr="00821360">
        <w:rPr>
          <w:lang w:val="fr-FR"/>
        </w:rPr>
        <w:t>t</w:t>
      </w:r>
      <w:r w:rsidR="007A1A66" w:rsidRPr="00821360">
        <w:rPr>
          <w:lang w:val="fr-FR"/>
        </w:rPr>
        <w:t>ra</w:t>
      </w:r>
      <w:r w:rsidR="00AA41E7">
        <w:rPr>
          <w:lang w:val="fr-FR"/>
        </w:rPr>
        <w:t>duction</w:t>
      </w:r>
      <w:r w:rsidR="00AA5429">
        <w:rPr>
          <w:lang w:val="fr-FR"/>
        </w:rPr>
        <w:t>s”</w:t>
      </w:r>
      <w:r w:rsidR="00547BD8" w:rsidRPr="00821360">
        <w:rPr>
          <w:lang w:val="fr-FR"/>
        </w:rPr>
        <w:t xml:space="preserve"> – </w:t>
      </w:r>
      <w:r w:rsidR="00AA41E7">
        <w:rPr>
          <w:lang w:val="fr-FR"/>
        </w:rPr>
        <w:t xml:space="preserve">la formulation </w:t>
      </w:r>
      <w:r w:rsidR="00AA41E7" w:rsidRPr="00AA41E7">
        <w:rPr>
          <w:lang w:val="fr-FR"/>
        </w:rPr>
        <w:t xml:space="preserve">dans laquelle il est fait référence à une </w:t>
      </w:r>
      <w:r w:rsidR="00AA5429">
        <w:rPr>
          <w:lang w:val="fr-FR"/>
        </w:rPr>
        <w:t>“</w:t>
      </w:r>
      <w:r w:rsidR="00AA5429" w:rsidRPr="00AA41E7">
        <w:rPr>
          <w:lang w:val="fr-FR"/>
        </w:rPr>
        <w:t>a</w:t>
      </w:r>
      <w:r w:rsidR="00AA41E7" w:rsidRPr="00AA41E7">
        <w:rPr>
          <w:lang w:val="fr-FR"/>
        </w:rPr>
        <w:t>daptation ou traductio</w:t>
      </w:r>
      <w:r w:rsidR="00AA5429" w:rsidRPr="00AA41E7">
        <w:rPr>
          <w:lang w:val="fr-FR"/>
        </w:rPr>
        <w:t>n</w:t>
      </w:r>
      <w:r w:rsidR="00AA5429">
        <w:rPr>
          <w:lang w:val="fr-FR"/>
        </w:rPr>
        <w:t>”</w:t>
      </w:r>
      <w:r w:rsidR="00AA41E7">
        <w:rPr>
          <w:lang w:val="fr-FR"/>
        </w:rPr>
        <w:t xml:space="preserve"> et la </w:t>
      </w:r>
      <w:r w:rsidR="007D6D36" w:rsidRPr="00821360">
        <w:rPr>
          <w:lang w:val="fr-FR"/>
        </w:rPr>
        <w:t>formulation</w:t>
      </w:r>
      <w:r w:rsidR="00547BD8" w:rsidRPr="00821360">
        <w:rPr>
          <w:lang w:val="fr-FR"/>
        </w:rPr>
        <w:t xml:space="preserve"> </w:t>
      </w:r>
      <w:r w:rsidR="00AA41E7" w:rsidRPr="00AA41E7">
        <w:rPr>
          <w:lang w:val="fr-FR"/>
        </w:rPr>
        <w:t>dans laquelle l</w:t>
      </w:r>
      <w:r w:rsidR="00AA5429">
        <w:rPr>
          <w:lang w:val="fr-FR"/>
        </w:rPr>
        <w:t>’“</w:t>
      </w:r>
      <w:r w:rsidR="00AA5429" w:rsidRPr="00AA41E7">
        <w:rPr>
          <w:lang w:val="fr-FR"/>
        </w:rPr>
        <w:t>œ</w:t>
      </w:r>
      <w:r w:rsidR="00AA41E7" w:rsidRPr="00AA41E7">
        <w:rPr>
          <w:lang w:val="fr-FR"/>
        </w:rPr>
        <w:t>uvre d</w:t>
      </w:r>
      <w:r w:rsidR="00AA5429">
        <w:rPr>
          <w:lang w:val="fr-FR"/>
        </w:rPr>
        <w:t>’</w:t>
      </w:r>
      <w:r w:rsidR="00AA41E7" w:rsidRPr="00AA41E7">
        <w:rPr>
          <w:lang w:val="fr-FR"/>
        </w:rPr>
        <w:t>origin</w:t>
      </w:r>
      <w:r w:rsidR="00AA5429" w:rsidRPr="00AA41E7">
        <w:rPr>
          <w:lang w:val="fr-FR"/>
        </w:rPr>
        <w:t>e</w:t>
      </w:r>
      <w:r w:rsidR="00AA5429">
        <w:rPr>
          <w:lang w:val="fr-FR"/>
        </w:rPr>
        <w:t>”</w:t>
      </w:r>
      <w:r w:rsidR="00AA41E7" w:rsidRPr="00AA41E7">
        <w:rPr>
          <w:lang w:val="fr-FR"/>
        </w:rPr>
        <w:t xml:space="preserve"> est mentionnée </w:t>
      </w:r>
      <w:r w:rsidR="00547BD8" w:rsidRPr="00821360">
        <w:rPr>
          <w:lang w:val="fr-FR"/>
        </w:rPr>
        <w:t xml:space="preserve">–, </w:t>
      </w:r>
      <w:r w:rsidR="00AA41E7">
        <w:rPr>
          <w:lang w:val="fr-FR"/>
        </w:rPr>
        <w:t>les deux </w:t>
      </w:r>
      <w:r w:rsidR="00547BD8" w:rsidRPr="00821360">
        <w:rPr>
          <w:lang w:val="fr-FR"/>
        </w:rPr>
        <w:t xml:space="preserve">formulations </w:t>
      </w:r>
      <w:r w:rsidR="00AA41E7">
        <w:rPr>
          <w:lang w:val="fr-FR"/>
        </w:rPr>
        <w:t>constituent en réalité des</w:t>
      </w:r>
      <w:r w:rsidR="00547BD8" w:rsidRPr="00821360">
        <w:rPr>
          <w:lang w:val="fr-FR"/>
        </w:rPr>
        <w:t xml:space="preserve"> aspects </w:t>
      </w:r>
      <w:r w:rsidR="00AA41E7">
        <w:rPr>
          <w:lang w:val="fr-FR"/>
        </w:rPr>
        <w:t>complémentaires de la troisième </w:t>
      </w:r>
      <w:r w:rsidR="009108CB" w:rsidRPr="00821360">
        <w:rPr>
          <w:lang w:val="fr-FR"/>
        </w:rPr>
        <w:t xml:space="preserve">formulation – </w:t>
      </w:r>
      <w:r w:rsidR="00AA41E7" w:rsidRPr="00AA41E7">
        <w:rPr>
          <w:lang w:val="fr-FR"/>
        </w:rPr>
        <w:t>la formulation faisant référence à l</w:t>
      </w:r>
      <w:r w:rsidR="00AA5429">
        <w:rPr>
          <w:lang w:val="fr-FR"/>
        </w:rPr>
        <w:t>’“</w:t>
      </w:r>
      <w:r w:rsidR="00AA5429" w:rsidRPr="00AA41E7">
        <w:rPr>
          <w:lang w:val="fr-FR"/>
        </w:rPr>
        <w:t>u</w:t>
      </w:r>
      <w:r w:rsidR="00AA41E7" w:rsidRPr="00AA41E7">
        <w:rPr>
          <w:lang w:val="fr-FR"/>
        </w:rPr>
        <w:t>tilisatio</w:t>
      </w:r>
      <w:r w:rsidR="00AA5429" w:rsidRPr="00AA41E7">
        <w:rPr>
          <w:lang w:val="fr-FR"/>
        </w:rPr>
        <w:t>n</w:t>
      </w:r>
      <w:r w:rsidR="00AA5429">
        <w:rPr>
          <w:lang w:val="fr-FR"/>
        </w:rPr>
        <w:t>”</w:t>
      </w:r>
      <w:r w:rsidR="00AA41E7">
        <w:rPr>
          <w:lang w:val="fr-FR"/>
        </w:rPr>
        <w:t xml:space="preserve"> </w:t>
      </w:r>
      <w:r w:rsidR="003620B9" w:rsidRPr="00821360">
        <w:rPr>
          <w:lang w:val="fr-FR"/>
        </w:rPr>
        <w:t>adopt</w:t>
      </w:r>
      <w:r w:rsidR="00AA41E7">
        <w:rPr>
          <w:lang w:val="fr-FR"/>
        </w:rPr>
        <w:t>é</w:t>
      </w:r>
      <w:r w:rsidR="003620B9" w:rsidRPr="00821360">
        <w:rPr>
          <w:lang w:val="fr-FR"/>
        </w:rPr>
        <w:t>e</w:t>
      </w:r>
      <w:r w:rsidR="00AA41E7">
        <w:rPr>
          <w:lang w:val="fr-FR"/>
        </w:rPr>
        <w:t xml:space="preserve"> par un grand nombre </w:t>
      </w:r>
      <w:r w:rsidR="003620B9" w:rsidRPr="00821360">
        <w:rPr>
          <w:lang w:val="fr-FR"/>
        </w:rPr>
        <w:t>d</w:t>
      </w:r>
      <w:r w:rsidR="00AA5429">
        <w:rPr>
          <w:lang w:val="fr-FR"/>
        </w:rPr>
        <w:t>’</w:t>
      </w:r>
      <w:r w:rsidR="00AA41E7">
        <w:rPr>
          <w:lang w:val="fr-FR"/>
        </w:rPr>
        <w:t>États membr</w:t>
      </w:r>
      <w:r w:rsidR="00D07A5F">
        <w:rPr>
          <w:lang w:val="fr-FR"/>
        </w:rPr>
        <w:t>es.  Ai</w:t>
      </w:r>
      <w:r w:rsidR="00AA41E7">
        <w:rPr>
          <w:lang w:val="fr-FR"/>
        </w:rPr>
        <w:t xml:space="preserve">nsi, le nombre </w:t>
      </w:r>
      <w:r w:rsidR="00F71DF5" w:rsidRPr="00821360">
        <w:rPr>
          <w:lang w:val="fr-FR"/>
        </w:rPr>
        <w:t xml:space="preserve">total </w:t>
      </w:r>
      <w:r w:rsidR="008B1CF7">
        <w:rPr>
          <w:lang w:val="fr-FR"/>
        </w:rPr>
        <w:t>d</w:t>
      </w:r>
      <w:r w:rsidR="00AA5429">
        <w:rPr>
          <w:lang w:val="fr-FR"/>
        </w:rPr>
        <w:t>’</w:t>
      </w:r>
      <w:r w:rsidR="008B1CF7">
        <w:rPr>
          <w:lang w:val="fr-FR"/>
        </w:rPr>
        <w:t xml:space="preserve">États ayant adopté la </w:t>
      </w:r>
      <w:r w:rsidR="008B1CF7" w:rsidRPr="008B1CF7">
        <w:rPr>
          <w:lang w:val="fr-FR"/>
        </w:rPr>
        <w:t xml:space="preserve">formulation dans laquelle il est fait référence à une </w:t>
      </w:r>
      <w:r w:rsidR="00AA5429">
        <w:rPr>
          <w:lang w:val="fr-FR"/>
        </w:rPr>
        <w:t>“</w:t>
      </w:r>
      <w:r w:rsidR="00AA5429" w:rsidRPr="008B1CF7">
        <w:rPr>
          <w:lang w:val="fr-FR"/>
        </w:rPr>
        <w:t>a</w:t>
      </w:r>
      <w:r w:rsidR="008B1CF7" w:rsidRPr="008B1CF7">
        <w:rPr>
          <w:lang w:val="fr-FR"/>
        </w:rPr>
        <w:t>daptation ou traductio</w:t>
      </w:r>
      <w:r w:rsidR="00AA5429" w:rsidRPr="008B1CF7">
        <w:rPr>
          <w:lang w:val="fr-FR"/>
        </w:rPr>
        <w:t>n</w:t>
      </w:r>
      <w:r w:rsidR="00AA5429">
        <w:rPr>
          <w:lang w:val="fr-FR"/>
        </w:rPr>
        <w:t>”</w:t>
      </w:r>
      <w:r w:rsidR="008B1CF7" w:rsidRPr="008B1CF7">
        <w:rPr>
          <w:lang w:val="fr-FR"/>
        </w:rPr>
        <w:t xml:space="preserve"> et la formulation dans laquelle l</w:t>
      </w:r>
      <w:r w:rsidR="00AA5429">
        <w:rPr>
          <w:lang w:val="fr-FR"/>
        </w:rPr>
        <w:t>’“</w:t>
      </w:r>
      <w:r w:rsidR="00AA5429" w:rsidRPr="008B1CF7">
        <w:rPr>
          <w:lang w:val="fr-FR"/>
        </w:rPr>
        <w:t>œ</w:t>
      </w:r>
      <w:r w:rsidR="008B1CF7" w:rsidRPr="008B1CF7">
        <w:rPr>
          <w:lang w:val="fr-FR"/>
        </w:rPr>
        <w:t>uvre d</w:t>
      </w:r>
      <w:r w:rsidR="00AA5429">
        <w:rPr>
          <w:lang w:val="fr-FR"/>
        </w:rPr>
        <w:t>’</w:t>
      </w:r>
      <w:r w:rsidR="008B1CF7" w:rsidRPr="008B1CF7">
        <w:rPr>
          <w:lang w:val="fr-FR"/>
        </w:rPr>
        <w:t>origin</w:t>
      </w:r>
      <w:r w:rsidR="00AA5429" w:rsidRPr="008B1CF7">
        <w:rPr>
          <w:lang w:val="fr-FR"/>
        </w:rPr>
        <w:t>e</w:t>
      </w:r>
      <w:r w:rsidR="00AA5429">
        <w:rPr>
          <w:lang w:val="fr-FR"/>
        </w:rPr>
        <w:t>”</w:t>
      </w:r>
      <w:r w:rsidR="008B1CF7" w:rsidRPr="008B1CF7">
        <w:rPr>
          <w:lang w:val="fr-FR"/>
        </w:rPr>
        <w:t xml:space="preserve"> est mentionnée </w:t>
      </w:r>
      <w:r w:rsidR="008B1CF7">
        <w:rPr>
          <w:lang w:val="fr-FR"/>
        </w:rPr>
        <w:t xml:space="preserve">et le nombre total de dispositions concernées </w:t>
      </w:r>
      <w:r w:rsidR="003620B9" w:rsidRPr="00821360">
        <w:rPr>
          <w:lang w:val="fr-FR"/>
        </w:rPr>
        <w:t>(</w:t>
      </w:r>
      <w:r w:rsidR="00794F5F" w:rsidRPr="00821360">
        <w:rPr>
          <w:lang w:val="fr-FR"/>
        </w:rPr>
        <w:t>80</w:t>
      </w:r>
      <w:r w:rsidR="008B1CF7">
        <w:rPr>
          <w:lang w:val="fr-FR"/>
        </w:rPr>
        <w:t> États</w:t>
      </w:r>
      <w:r w:rsidR="00794F5F" w:rsidRPr="00821360">
        <w:rPr>
          <w:lang w:val="fr-FR"/>
        </w:rPr>
        <w:t>, 267</w:t>
      </w:r>
      <w:r w:rsidR="008B1CF7">
        <w:rPr>
          <w:lang w:val="fr-FR"/>
        </w:rPr>
        <w:t> dispositions</w:t>
      </w:r>
      <w:r w:rsidR="003620B9" w:rsidRPr="00821360">
        <w:rPr>
          <w:lang w:val="fr-FR"/>
        </w:rPr>
        <w:t xml:space="preserve">) </w:t>
      </w:r>
      <w:r w:rsidR="008B1CF7">
        <w:rPr>
          <w:lang w:val="fr-FR"/>
        </w:rPr>
        <w:t>correspondent à peu près au nombre total d</w:t>
      </w:r>
      <w:r w:rsidR="00AA5429">
        <w:rPr>
          <w:lang w:val="fr-FR"/>
        </w:rPr>
        <w:t>’</w:t>
      </w:r>
      <w:r w:rsidR="008B1CF7">
        <w:rPr>
          <w:lang w:val="fr-FR"/>
        </w:rPr>
        <w:t xml:space="preserve">États </w:t>
      </w:r>
      <w:r w:rsidR="00160395">
        <w:rPr>
          <w:lang w:val="fr-FR"/>
        </w:rPr>
        <w:t xml:space="preserve">dont la législation contient des dispositions dans lesquelles </w:t>
      </w:r>
      <w:r w:rsidR="00160395" w:rsidRPr="00160395">
        <w:rPr>
          <w:lang w:val="fr-FR"/>
        </w:rPr>
        <w:t>la formulation faisant référence à l</w:t>
      </w:r>
      <w:r w:rsidR="00AA5429">
        <w:rPr>
          <w:lang w:val="fr-FR"/>
        </w:rPr>
        <w:t>’“</w:t>
      </w:r>
      <w:r w:rsidR="00AA5429" w:rsidRPr="00160395">
        <w:rPr>
          <w:lang w:val="fr-FR"/>
        </w:rPr>
        <w:t>u</w:t>
      </w:r>
      <w:r w:rsidR="00160395" w:rsidRPr="00160395">
        <w:rPr>
          <w:lang w:val="fr-FR"/>
        </w:rPr>
        <w:t>tilisatio</w:t>
      </w:r>
      <w:r w:rsidR="00AA5429" w:rsidRPr="00160395">
        <w:rPr>
          <w:lang w:val="fr-FR"/>
        </w:rPr>
        <w:t>n</w:t>
      </w:r>
      <w:r w:rsidR="00AA5429">
        <w:rPr>
          <w:lang w:val="fr-FR"/>
        </w:rPr>
        <w:t>”</w:t>
      </w:r>
      <w:r w:rsidR="00160395" w:rsidRPr="00160395">
        <w:rPr>
          <w:lang w:val="fr-FR"/>
        </w:rPr>
        <w:t xml:space="preserve"> </w:t>
      </w:r>
      <w:r w:rsidR="00160395">
        <w:rPr>
          <w:lang w:val="fr-FR"/>
        </w:rPr>
        <w:t xml:space="preserve">a été </w:t>
      </w:r>
      <w:r w:rsidR="00160395" w:rsidRPr="00160395">
        <w:rPr>
          <w:lang w:val="fr-FR"/>
        </w:rPr>
        <w:t>adoptée</w:t>
      </w:r>
      <w:r w:rsidR="003B1E80" w:rsidRPr="00821360">
        <w:rPr>
          <w:lang w:val="fr-FR"/>
        </w:rPr>
        <w:t xml:space="preserve"> </w:t>
      </w:r>
      <w:r w:rsidR="00160395">
        <w:rPr>
          <w:lang w:val="fr-FR"/>
        </w:rPr>
        <w:t>et au nombre total de ces dispositions</w:t>
      </w:r>
      <w:r w:rsidR="00547BD8" w:rsidRPr="00821360">
        <w:rPr>
          <w:lang w:val="fr-FR"/>
        </w:rPr>
        <w:t xml:space="preserve"> </w:t>
      </w:r>
      <w:r w:rsidR="003B1E80" w:rsidRPr="00821360">
        <w:rPr>
          <w:lang w:val="fr-FR"/>
        </w:rPr>
        <w:t>(96</w:t>
      </w:r>
      <w:r w:rsidR="00160395">
        <w:rPr>
          <w:lang w:val="fr-FR"/>
        </w:rPr>
        <w:t xml:space="preserve"> États membres, </w:t>
      </w:r>
      <w:r w:rsidR="003B1E80" w:rsidRPr="00821360">
        <w:rPr>
          <w:lang w:val="fr-FR"/>
        </w:rPr>
        <w:t>283</w:t>
      </w:r>
      <w:r w:rsidR="00160395">
        <w:rPr>
          <w:lang w:val="fr-FR"/>
        </w:rPr>
        <w:t> dispositio</w:t>
      </w:r>
      <w:r w:rsidR="00D07A5F">
        <w:rPr>
          <w:lang w:val="fr-FR"/>
        </w:rPr>
        <w:t>ns</w:t>
      </w:r>
      <w:r w:rsidR="00D07A5F" w:rsidRPr="00821360">
        <w:rPr>
          <w:lang w:val="fr-FR"/>
        </w:rPr>
        <w:t>)</w:t>
      </w:r>
      <w:r w:rsidR="00D07A5F">
        <w:rPr>
          <w:lang w:val="fr-FR"/>
        </w:rPr>
        <w:t>.  La</w:t>
      </w:r>
      <w:r w:rsidR="00160395">
        <w:rPr>
          <w:lang w:val="fr-FR"/>
        </w:rPr>
        <w:t xml:space="preserve"> formulation </w:t>
      </w:r>
      <w:r w:rsidR="00160395" w:rsidRPr="00160395">
        <w:rPr>
          <w:lang w:val="fr-FR"/>
        </w:rPr>
        <w:t xml:space="preserve">dans laquelle il est fait référence à une </w:t>
      </w:r>
      <w:r w:rsidR="00AA5429">
        <w:rPr>
          <w:lang w:val="fr-FR"/>
        </w:rPr>
        <w:t>“</w:t>
      </w:r>
      <w:r w:rsidR="00AA5429" w:rsidRPr="00160395">
        <w:rPr>
          <w:lang w:val="fr-FR"/>
        </w:rPr>
        <w:t>a</w:t>
      </w:r>
      <w:r w:rsidR="00160395" w:rsidRPr="00160395">
        <w:rPr>
          <w:lang w:val="fr-FR"/>
        </w:rPr>
        <w:t>daptation ou traductio</w:t>
      </w:r>
      <w:r w:rsidR="00AA5429" w:rsidRPr="00160395">
        <w:rPr>
          <w:lang w:val="fr-FR"/>
        </w:rPr>
        <w:t>n</w:t>
      </w:r>
      <w:r w:rsidR="00AA5429">
        <w:rPr>
          <w:lang w:val="fr-FR"/>
        </w:rPr>
        <w:t>”</w:t>
      </w:r>
      <w:r w:rsidR="00160395" w:rsidRPr="00160395">
        <w:rPr>
          <w:lang w:val="fr-FR"/>
        </w:rPr>
        <w:t xml:space="preserve"> et la formulation dans laquelle l</w:t>
      </w:r>
      <w:r w:rsidR="00AA5429">
        <w:rPr>
          <w:lang w:val="fr-FR"/>
        </w:rPr>
        <w:t>’“</w:t>
      </w:r>
      <w:r w:rsidR="00AA5429" w:rsidRPr="00160395">
        <w:rPr>
          <w:lang w:val="fr-FR"/>
        </w:rPr>
        <w:t>œ</w:t>
      </w:r>
      <w:r w:rsidR="00160395" w:rsidRPr="00160395">
        <w:rPr>
          <w:lang w:val="fr-FR"/>
        </w:rPr>
        <w:t>uvre d</w:t>
      </w:r>
      <w:r w:rsidR="00AA5429">
        <w:rPr>
          <w:lang w:val="fr-FR"/>
        </w:rPr>
        <w:t>’</w:t>
      </w:r>
      <w:r w:rsidR="00160395" w:rsidRPr="00160395">
        <w:rPr>
          <w:lang w:val="fr-FR"/>
        </w:rPr>
        <w:t>origin</w:t>
      </w:r>
      <w:r w:rsidR="00AA5429" w:rsidRPr="00160395">
        <w:rPr>
          <w:lang w:val="fr-FR"/>
        </w:rPr>
        <w:t>e</w:t>
      </w:r>
      <w:r w:rsidR="00AA5429">
        <w:rPr>
          <w:lang w:val="fr-FR"/>
        </w:rPr>
        <w:t>”</w:t>
      </w:r>
      <w:r w:rsidR="00160395" w:rsidRPr="00160395">
        <w:rPr>
          <w:lang w:val="fr-FR"/>
        </w:rPr>
        <w:t xml:space="preserve"> est mentionnée </w:t>
      </w:r>
      <w:r w:rsidR="00160395">
        <w:rPr>
          <w:lang w:val="fr-FR"/>
        </w:rPr>
        <w:t xml:space="preserve">portent sur </w:t>
      </w:r>
      <w:r w:rsidR="005E373D" w:rsidRPr="00821360">
        <w:rPr>
          <w:lang w:val="fr-FR"/>
        </w:rPr>
        <w:t>diff</w:t>
      </w:r>
      <w:r w:rsidR="00160395">
        <w:rPr>
          <w:lang w:val="fr-FR"/>
        </w:rPr>
        <w:t>é</w:t>
      </w:r>
      <w:r w:rsidR="005E373D" w:rsidRPr="00821360">
        <w:rPr>
          <w:lang w:val="fr-FR"/>
        </w:rPr>
        <w:t>rent</w:t>
      </w:r>
      <w:r w:rsidR="00317D67">
        <w:rPr>
          <w:lang w:val="fr-FR"/>
        </w:rPr>
        <w:t xml:space="preserve">s </w:t>
      </w:r>
      <w:r w:rsidR="005E373D" w:rsidRPr="00821360">
        <w:rPr>
          <w:lang w:val="fr-FR"/>
        </w:rPr>
        <w:t xml:space="preserve">aspects </w:t>
      </w:r>
      <w:r w:rsidR="00160395">
        <w:rPr>
          <w:lang w:val="fr-FR"/>
        </w:rPr>
        <w:t xml:space="preserve">des questions en rapport avec les </w:t>
      </w:r>
      <w:r w:rsidR="005E373D" w:rsidRPr="00821360">
        <w:rPr>
          <w:lang w:val="fr-FR"/>
        </w:rPr>
        <w:t>adaptations o</w:t>
      </w:r>
      <w:r w:rsidR="00160395">
        <w:rPr>
          <w:lang w:val="fr-FR"/>
        </w:rPr>
        <w:t>u les traductions</w:t>
      </w:r>
      <w:r w:rsidR="005E373D" w:rsidRPr="00821360">
        <w:rPr>
          <w:lang w:val="fr-FR"/>
        </w:rPr>
        <w:t xml:space="preserve">, </w:t>
      </w:r>
      <w:r w:rsidR="00160395">
        <w:rPr>
          <w:lang w:val="fr-FR"/>
        </w:rPr>
        <w:t xml:space="preserve">que la Conférence de </w:t>
      </w:r>
      <w:r w:rsidR="00B70BD0" w:rsidRPr="00821360">
        <w:rPr>
          <w:lang w:val="fr-FR"/>
        </w:rPr>
        <w:t xml:space="preserve">Stockholm </w:t>
      </w:r>
      <w:r w:rsidR="00160395">
        <w:rPr>
          <w:lang w:val="fr-FR"/>
        </w:rPr>
        <w:t xml:space="preserve">visait clairement à </w:t>
      </w:r>
      <w:r w:rsidR="00A57B36">
        <w:rPr>
          <w:lang w:val="fr-FR"/>
        </w:rPr>
        <w:t>traiter</w:t>
      </w:r>
      <w:r w:rsidR="00160395">
        <w:rPr>
          <w:lang w:val="fr-FR"/>
        </w:rPr>
        <w:t xml:space="preserve"> au moyen de la formulation </w:t>
      </w:r>
      <w:r w:rsidR="00160395" w:rsidRPr="00160395">
        <w:rPr>
          <w:lang w:val="fr-FR"/>
        </w:rPr>
        <w:t>faisant référence à l</w:t>
      </w:r>
      <w:r w:rsidR="00AA5429">
        <w:rPr>
          <w:lang w:val="fr-FR"/>
        </w:rPr>
        <w:t>’“</w:t>
      </w:r>
      <w:r w:rsidR="00AA5429" w:rsidRPr="00160395">
        <w:rPr>
          <w:lang w:val="fr-FR"/>
        </w:rPr>
        <w:t>u</w:t>
      </w:r>
      <w:r w:rsidR="00160395" w:rsidRPr="00160395">
        <w:rPr>
          <w:lang w:val="fr-FR"/>
        </w:rPr>
        <w:t>tilisatio</w:t>
      </w:r>
      <w:r w:rsidR="00AA5429" w:rsidRPr="00160395">
        <w:rPr>
          <w:lang w:val="fr-FR"/>
        </w:rPr>
        <w:t>n</w:t>
      </w:r>
      <w:r w:rsidR="00AA5429">
        <w:rPr>
          <w:lang w:val="fr-FR"/>
        </w:rPr>
        <w:t>”</w:t>
      </w:r>
      <w:r w:rsidR="009108CB" w:rsidRPr="00821360">
        <w:rPr>
          <w:lang w:val="fr-FR"/>
        </w:rPr>
        <w:t xml:space="preserve">. </w:t>
      </w:r>
      <w:r w:rsidR="00160395">
        <w:rPr>
          <w:lang w:val="fr-FR"/>
        </w:rPr>
        <w:t xml:space="preserve"> Les États m</w:t>
      </w:r>
      <w:r w:rsidR="005E373D" w:rsidRPr="00821360">
        <w:rPr>
          <w:lang w:val="fr-FR"/>
        </w:rPr>
        <w:t>embr</w:t>
      </w:r>
      <w:r w:rsidR="00160395">
        <w:rPr>
          <w:lang w:val="fr-FR"/>
        </w:rPr>
        <w:t>e</w:t>
      </w:r>
      <w:r w:rsidR="005E373D" w:rsidRPr="00821360">
        <w:rPr>
          <w:lang w:val="fr-FR"/>
        </w:rPr>
        <w:t>s</w:t>
      </w:r>
      <w:r w:rsidR="00160395">
        <w:rPr>
          <w:lang w:val="fr-FR"/>
        </w:rPr>
        <w:t xml:space="preserve"> </w:t>
      </w:r>
      <w:r w:rsidR="00A57B36">
        <w:rPr>
          <w:lang w:val="fr-FR"/>
        </w:rPr>
        <w:t>jugeront peut</w:t>
      </w:r>
      <w:r w:rsidR="00D52B7A">
        <w:rPr>
          <w:lang w:val="fr-FR"/>
        </w:rPr>
        <w:noBreakHyphen/>
      </w:r>
      <w:r w:rsidR="00A57B36">
        <w:rPr>
          <w:lang w:val="fr-FR"/>
        </w:rPr>
        <w:t>être utile d</w:t>
      </w:r>
      <w:r w:rsidR="00AA5429">
        <w:rPr>
          <w:lang w:val="fr-FR"/>
        </w:rPr>
        <w:t>’</w:t>
      </w:r>
      <w:r w:rsidR="00A57B36">
        <w:rPr>
          <w:lang w:val="fr-FR"/>
        </w:rPr>
        <w:t>étudier plus attentivement ces formulations afin de déterminer laquelle tient le mieux compte du large éventail d</w:t>
      </w:r>
      <w:r w:rsidR="00AA5429">
        <w:rPr>
          <w:lang w:val="fr-FR"/>
        </w:rPr>
        <w:t>’</w:t>
      </w:r>
      <w:r w:rsidR="00D34300">
        <w:rPr>
          <w:lang w:val="fr-FR"/>
        </w:rPr>
        <w:t xml:space="preserve">activités pédagogiques pour lesquelles </w:t>
      </w:r>
      <w:r w:rsidR="00A57B36">
        <w:rPr>
          <w:lang w:val="fr-FR"/>
        </w:rPr>
        <w:t xml:space="preserve">ils souhaitent </w:t>
      </w:r>
      <w:r w:rsidR="00D34300">
        <w:rPr>
          <w:lang w:val="fr-FR"/>
        </w:rPr>
        <w:t xml:space="preserve">prévoir des </w:t>
      </w:r>
      <w:r w:rsidR="00D34300" w:rsidRPr="00821360">
        <w:rPr>
          <w:lang w:val="fr-FR"/>
        </w:rPr>
        <w:t xml:space="preserve">exceptions </w:t>
      </w:r>
      <w:r w:rsidR="00D34300">
        <w:rPr>
          <w:lang w:val="fr-FR"/>
        </w:rPr>
        <w:t>et</w:t>
      </w:r>
      <w:r w:rsidR="00D34300" w:rsidRPr="00821360">
        <w:rPr>
          <w:lang w:val="fr-FR"/>
        </w:rPr>
        <w:t xml:space="preserve"> limitations</w:t>
      </w:r>
      <w:r w:rsidR="00D34300">
        <w:rPr>
          <w:lang w:val="fr-FR"/>
        </w:rPr>
        <w:t xml:space="preserve"> </w:t>
      </w:r>
      <w:r w:rsidR="00A57B36">
        <w:rPr>
          <w:lang w:val="fr-FR"/>
        </w:rPr>
        <w:t>dans leur législation</w:t>
      </w:r>
      <w:r w:rsidR="00444F78" w:rsidRPr="00821360">
        <w:rPr>
          <w:lang w:val="fr-FR"/>
        </w:rPr>
        <w:t>.</w:t>
      </w:r>
    </w:p>
    <w:p w14:paraId="3FA9BD43" w14:textId="3D67C721" w:rsidR="005E57C5" w:rsidRDefault="00D34300" w:rsidP="00D52B7A">
      <w:pPr>
        <w:rPr>
          <w:lang w:val="fr-FR"/>
        </w:rPr>
      </w:pPr>
      <w:r>
        <w:rPr>
          <w:lang w:val="fr-FR"/>
        </w:rPr>
        <w:t>Deuxièmement, seul un nombre très limité d</w:t>
      </w:r>
      <w:r w:rsidR="00AA5429">
        <w:rPr>
          <w:lang w:val="fr-FR"/>
        </w:rPr>
        <w:t>’</w:t>
      </w:r>
      <w:r>
        <w:rPr>
          <w:lang w:val="fr-FR"/>
        </w:rPr>
        <w:t xml:space="preserve">États membres ont </w:t>
      </w:r>
      <w:r w:rsidR="002262B4">
        <w:rPr>
          <w:lang w:val="fr-FR"/>
        </w:rPr>
        <w:t>prévu</w:t>
      </w:r>
      <w:r>
        <w:rPr>
          <w:lang w:val="fr-FR"/>
        </w:rPr>
        <w:t xml:space="preserve"> dans leur législation en matière de droit d</w:t>
      </w:r>
      <w:r w:rsidR="00AA5429">
        <w:rPr>
          <w:lang w:val="fr-FR"/>
        </w:rPr>
        <w:t>’</w:t>
      </w:r>
      <w:r>
        <w:rPr>
          <w:lang w:val="fr-FR"/>
        </w:rPr>
        <w:t xml:space="preserve">auteur des </w:t>
      </w:r>
      <w:r w:rsidR="002262B4">
        <w:rPr>
          <w:lang w:val="fr-FR"/>
        </w:rPr>
        <w:t>dispositions visant à limiter</w:t>
      </w:r>
      <w:r w:rsidR="002262B4" w:rsidRPr="002262B4">
        <w:rPr>
          <w:lang w:val="fr-FR"/>
        </w:rPr>
        <w:t xml:space="preserve"> la responsabilité au titre du droit d</w:t>
      </w:r>
      <w:r w:rsidR="00AA5429">
        <w:rPr>
          <w:lang w:val="fr-FR"/>
        </w:rPr>
        <w:t>’</w:t>
      </w:r>
      <w:r w:rsidR="002262B4" w:rsidRPr="002262B4">
        <w:rPr>
          <w:lang w:val="fr-FR"/>
        </w:rPr>
        <w:t>auteur des établissements d</w:t>
      </w:r>
      <w:r w:rsidR="00AA5429">
        <w:rPr>
          <w:lang w:val="fr-FR"/>
        </w:rPr>
        <w:t>’</w:t>
      </w:r>
      <w:r w:rsidR="002262B4" w:rsidRPr="002262B4">
        <w:rPr>
          <w:lang w:val="fr-FR"/>
        </w:rPr>
        <w:t xml:space="preserve">enseignement </w:t>
      </w:r>
      <w:r w:rsidR="009108CB" w:rsidRPr="00821360">
        <w:rPr>
          <w:lang w:val="fr-FR"/>
        </w:rPr>
        <w:t>(4</w:t>
      </w:r>
      <w:r w:rsidR="002262B4">
        <w:rPr>
          <w:lang w:val="fr-FR"/>
        </w:rPr>
        <w:t> États membres</w:t>
      </w:r>
      <w:r w:rsidR="009108CB" w:rsidRPr="00821360">
        <w:rPr>
          <w:lang w:val="fr-FR"/>
        </w:rPr>
        <w:t>, 8</w:t>
      </w:r>
      <w:r w:rsidR="002262B4">
        <w:rPr>
          <w:lang w:val="fr-FR"/>
        </w:rPr>
        <w:t> dispositio</w:t>
      </w:r>
      <w:r w:rsidR="00D07A5F">
        <w:rPr>
          <w:lang w:val="fr-FR"/>
        </w:rPr>
        <w:t>ns</w:t>
      </w:r>
      <w:r w:rsidR="00D07A5F" w:rsidRPr="00821360">
        <w:rPr>
          <w:lang w:val="fr-FR"/>
        </w:rPr>
        <w:t>)</w:t>
      </w:r>
      <w:r w:rsidR="00D07A5F">
        <w:rPr>
          <w:lang w:val="fr-FR"/>
        </w:rPr>
        <w:t>.  Le</w:t>
      </w:r>
      <w:r w:rsidR="002262B4">
        <w:rPr>
          <w:lang w:val="fr-FR"/>
        </w:rPr>
        <w:t>s objectifs visés par ces dispositions sont, essentiellement, d</w:t>
      </w:r>
      <w:r w:rsidR="00AA5429">
        <w:rPr>
          <w:lang w:val="fr-FR"/>
        </w:rPr>
        <w:t>’</w:t>
      </w:r>
      <w:r w:rsidR="002262B4">
        <w:rPr>
          <w:lang w:val="fr-FR"/>
        </w:rPr>
        <w:t>exonérer les établissements d</w:t>
      </w:r>
      <w:r w:rsidR="00AA5429">
        <w:rPr>
          <w:lang w:val="fr-FR"/>
        </w:rPr>
        <w:t>’</w:t>
      </w:r>
      <w:r w:rsidR="002262B4">
        <w:rPr>
          <w:lang w:val="fr-FR"/>
        </w:rPr>
        <w:t xml:space="preserve">enseignement </w:t>
      </w:r>
      <w:r w:rsidR="00DB5698">
        <w:rPr>
          <w:lang w:val="fr-FR"/>
        </w:rPr>
        <w:t>de toute responsabilité pour les atteintes indirectes au droit d</w:t>
      </w:r>
      <w:r w:rsidR="00AA5429">
        <w:rPr>
          <w:lang w:val="fr-FR"/>
        </w:rPr>
        <w:t>’</w:t>
      </w:r>
      <w:r w:rsidR="00DB5698">
        <w:rPr>
          <w:lang w:val="fr-FR"/>
        </w:rPr>
        <w:t xml:space="preserve">auteur, de les exonérer de toute responsabilité pénale et de </w:t>
      </w:r>
      <w:r w:rsidR="00DB5698" w:rsidRPr="00DB5698">
        <w:rPr>
          <w:lang w:val="fr-FR"/>
        </w:rPr>
        <w:t>limite</w:t>
      </w:r>
      <w:r w:rsidR="00DB5698">
        <w:rPr>
          <w:lang w:val="fr-FR"/>
        </w:rPr>
        <w:t>r</w:t>
      </w:r>
      <w:r w:rsidR="00DB5698" w:rsidRPr="00DB5698">
        <w:rPr>
          <w:lang w:val="fr-FR"/>
        </w:rPr>
        <w:t xml:space="preserve"> le</w:t>
      </w:r>
      <w:r w:rsidR="00DB5698">
        <w:rPr>
          <w:lang w:val="fr-FR"/>
        </w:rPr>
        <w:t xml:space="preserve"> risque pour les établissements d</w:t>
      </w:r>
      <w:r w:rsidR="00AA5429">
        <w:rPr>
          <w:lang w:val="fr-FR"/>
        </w:rPr>
        <w:t>’</w:t>
      </w:r>
      <w:r w:rsidR="00DB5698">
        <w:rPr>
          <w:lang w:val="fr-FR"/>
        </w:rPr>
        <w:t>enseignement d</w:t>
      </w:r>
      <w:r w:rsidR="00AA5429">
        <w:rPr>
          <w:lang w:val="fr-FR"/>
        </w:rPr>
        <w:t>’</w:t>
      </w:r>
      <w:r w:rsidR="00DB5698">
        <w:rPr>
          <w:lang w:val="fr-FR"/>
        </w:rPr>
        <w:t>être tenus de verser de</w:t>
      </w:r>
      <w:r w:rsidR="00DB5698" w:rsidRPr="00DB5698">
        <w:rPr>
          <w:lang w:val="fr-FR"/>
        </w:rPr>
        <w:t>s dommages</w:t>
      </w:r>
      <w:r w:rsidR="00D52B7A">
        <w:rPr>
          <w:lang w:val="fr-FR"/>
        </w:rPr>
        <w:noBreakHyphen/>
      </w:r>
      <w:r w:rsidR="00DB5698" w:rsidRPr="00DB5698">
        <w:rPr>
          <w:lang w:val="fr-FR"/>
        </w:rPr>
        <w:t>intérê</w:t>
      </w:r>
      <w:r w:rsidR="00D07A5F" w:rsidRPr="00DB5698">
        <w:rPr>
          <w:lang w:val="fr-FR"/>
        </w:rPr>
        <w:t>ts</w:t>
      </w:r>
      <w:r w:rsidR="00D07A5F">
        <w:rPr>
          <w:lang w:val="fr-FR"/>
        </w:rPr>
        <w:t>.  L’o</w:t>
      </w:r>
      <w:r w:rsidR="00DB5698">
        <w:rPr>
          <w:lang w:val="fr-FR"/>
        </w:rPr>
        <w:t xml:space="preserve">bjectif visant à limiter </w:t>
      </w:r>
      <w:r w:rsidR="00667230" w:rsidRPr="00667230">
        <w:rPr>
          <w:lang w:val="fr-FR"/>
        </w:rPr>
        <w:t>le risque pour les établissements d</w:t>
      </w:r>
      <w:r w:rsidR="00AA5429">
        <w:rPr>
          <w:lang w:val="fr-FR"/>
        </w:rPr>
        <w:t>’</w:t>
      </w:r>
      <w:r w:rsidR="001E7D78">
        <w:rPr>
          <w:lang w:val="fr-FR"/>
        </w:rPr>
        <w:t>enseignement</w:t>
      </w:r>
      <w:r w:rsidR="00667230" w:rsidRPr="00667230">
        <w:rPr>
          <w:lang w:val="fr-FR"/>
        </w:rPr>
        <w:t xml:space="preserve"> de verser des dommages</w:t>
      </w:r>
      <w:r w:rsidR="00D52B7A">
        <w:rPr>
          <w:lang w:val="fr-FR"/>
        </w:rPr>
        <w:noBreakHyphen/>
      </w:r>
      <w:r w:rsidR="00667230" w:rsidRPr="00667230">
        <w:rPr>
          <w:lang w:val="fr-FR"/>
        </w:rPr>
        <w:t xml:space="preserve">intérêts </w:t>
      </w:r>
      <w:r w:rsidR="00667230">
        <w:rPr>
          <w:lang w:val="fr-FR"/>
        </w:rPr>
        <w:t>semble revêtir le plus d</w:t>
      </w:r>
      <w:r w:rsidR="00AA5429">
        <w:rPr>
          <w:lang w:val="fr-FR"/>
        </w:rPr>
        <w:t>’</w:t>
      </w:r>
      <w:r w:rsidR="00667230">
        <w:rPr>
          <w:lang w:val="fr-FR"/>
        </w:rPr>
        <w:t>importance pour les responsables politiques des différents États membres</w:t>
      </w:r>
      <w:r w:rsidR="009108CB" w:rsidRPr="00821360">
        <w:rPr>
          <w:lang w:val="fr-FR"/>
        </w:rPr>
        <w:t xml:space="preserve">, </w:t>
      </w:r>
      <w:r w:rsidR="00667230">
        <w:rPr>
          <w:lang w:val="fr-FR"/>
        </w:rPr>
        <w:t>compte tenu de la dimension relativement locale de la responsabilité indirecte en matière de droit d</w:t>
      </w:r>
      <w:r w:rsidR="00AA5429">
        <w:rPr>
          <w:lang w:val="fr-FR"/>
        </w:rPr>
        <w:t>’</w:t>
      </w:r>
      <w:r w:rsidR="00667230">
        <w:rPr>
          <w:lang w:val="fr-FR"/>
        </w:rPr>
        <w:t>auteur et des dommages</w:t>
      </w:r>
      <w:r w:rsidR="00D52B7A">
        <w:rPr>
          <w:lang w:val="fr-FR"/>
        </w:rPr>
        <w:noBreakHyphen/>
      </w:r>
      <w:r w:rsidR="00667230">
        <w:rPr>
          <w:lang w:val="fr-FR"/>
        </w:rPr>
        <w:t>intérêts dans la législation en matière de droit d</w:t>
      </w:r>
      <w:r w:rsidR="00AA5429">
        <w:rPr>
          <w:lang w:val="fr-FR"/>
        </w:rPr>
        <w:t>’</w:t>
      </w:r>
      <w:r w:rsidR="00667230">
        <w:rPr>
          <w:lang w:val="fr-FR"/>
        </w:rPr>
        <w:t>auteur des États membres</w:t>
      </w:r>
      <w:r w:rsidR="009108CB" w:rsidRPr="00821360">
        <w:rPr>
          <w:lang w:val="fr-FR"/>
        </w:rPr>
        <w:t>.</w:t>
      </w:r>
    </w:p>
    <w:p w14:paraId="14CBF191" w14:textId="4F92A695" w:rsidR="00AA5429" w:rsidRDefault="00D50DA2" w:rsidP="00D52B7A">
      <w:pPr>
        <w:rPr>
          <w:lang w:val="fr-FR"/>
        </w:rPr>
      </w:pPr>
      <w:r w:rsidRPr="00821360">
        <w:rPr>
          <w:lang w:val="fr-FR"/>
        </w:rPr>
        <w:t>T</w:t>
      </w:r>
      <w:r w:rsidR="00667230">
        <w:rPr>
          <w:lang w:val="fr-FR"/>
        </w:rPr>
        <w:t xml:space="preserve">roisièmement, 22 dispositions prévoyant que les </w:t>
      </w:r>
      <w:r w:rsidR="00667230" w:rsidRPr="00667230">
        <w:rPr>
          <w:lang w:val="fr-FR"/>
        </w:rPr>
        <w:t xml:space="preserve">dispositions contractuelles qui sont en contradiction avec les limitations et exceptions sont </w:t>
      </w:r>
      <w:r w:rsidR="00F81B83">
        <w:rPr>
          <w:lang w:val="fr-FR"/>
        </w:rPr>
        <w:t xml:space="preserve">inapplicables ou </w:t>
      </w:r>
      <w:r w:rsidR="00667230" w:rsidRPr="00667230">
        <w:rPr>
          <w:lang w:val="fr-FR"/>
        </w:rPr>
        <w:t xml:space="preserve">nulles et non avenues </w:t>
      </w:r>
      <w:r w:rsidR="00F81B83">
        <w:rPr>
          <w:lang w:val="fr-FR"/>
        </w:rPr>
        <w:t xml:space="preserve">ont été recensées dans </w:t>
      </w:r>
      <w:r w:rsidR="00677AD7" w:rsidRPr="00821360">
        <w:rPr>
          <w:lang w:val="fr-FR"/>
        </w:rPr>
        <w:t>15</w:t>
      </w:r>
      <w:r w:rsidR="00F81B83">
        <w:rPr>
          <w:lang w:val="fr-FR"/>
        </w:rPr>
        <w:t> États membr</w:t>
      </w:r>
      <w:r w:rsidR="00D07A5F">
        <w:rPr>
          <w:lang w:val="fr-FR"/>
        </w:rPr>
        <w:t>es.  S’i</w:t>
      </w:r>
      <w:r w:rsidR="00F81B83">
        <w:rPr>
          <w:lang w:val="fr-FR"/>
        </w:rPr>
        <w:t>l ne s</w:t>
      </w:r>
      <w:r w:rsidR="00AA5429">
        <w:rPr>
          <w:lang w:val="fr-FR"/>
        </w:rPr>
        <w:t>’</w:t>
      </w:r>
      <w:r w:rsidR="00F81B83">
        <w:rPr>
          <w:lang w:val="fr-FR"/>
        </w:rPr>
        <w:t>agit là que d</w:t>
      </w:r>
      <w:r w:rsidR="00AA5429">
        <w:rPr>
          <w:lang w:val="fr-FR"/>
        </w:rPr>
        <w:t>’</w:t>
      </w:r>
      <w:r w:rsidR="00F81B83">
        <w:rPr>
          <w:lang w:val="fr-FR"/>
        </w:rPr>
        <w:t>une minorité d</w:t>
      </w:r>
      <w:r w:rsidR="00AA5429">
        <w:rPr>
          <w:lang w:val="fr-FR"/>
        </w:rPr>
        <w:t>’</w:t>
      </w:r>
      <w:r w:rsidR="00F81B83">
        <w:rPr>
          <w:lang w:val="fr-FR"/>
        </w:rPr>
        <w:t>États membres de l</w:t>
      </w:r>
      <w:r w:rsidR="00AA5429">
        <w:rPr>
          <w:lang w:val="fr-FR"/>
        </w:rPr>
        <w:t>’</w:t>
      </w:r>
      <w:r w:rsidR="00F81B83">
        <w:rPr>
          <w:lang w:val="fr-FR"/>
        </w:rPr>
        <w:t>OMPI, l</w:t>
      </w:r>
      <w:r w:rsidR="00AA5429">
        <w:rPr>
          <w:lang w:val="fr-FR"/>
        </w:rPr>
        <w:t>’</w:t>
      </w:r>
      <w:r w:rsidR="00F81B83">
        <w:rPr>
          <w:lang w:val="fr-FR"/>
        </w:rPr>
        <w:t>adoption de telles dispositions semble s</w:t>
      </w:r>
      <w:r w:rsidR="00AA5429">
        <w:rPr>
          <w:lang w:val="fr-FR"/>
        </w:rPr>
        <w:t>’</w:t>
      </w:r>
      <w:r w:rsidR="00F81B83">
        <w:rPr>
          <w:lang w:val="fr-FR"/>
        </w:rPr>
        <w:t>inscrire dans la volonté des lé</w:t>
      </w:r>
      <w:r w:rsidR="00853476" w:rsidRPr="00821360">
        <w:rPr>
          <w:lang w:val="fr-FR"/>
        </w:rPr>
        <w:t>gislat</w:t>
      </w:r>
      <w:r w:rsidR="00F81B83">
        <w:rPr>
          <w:lang w:val="fr-FR"/>
        </w:rPr>
        <w:t>eur</w:t>
      </w:r>
      <w:r w:rsidR="00853476" w:rsidRPr="00821360">
        <w:rPr>
          <w:lang w:val="fr-FR"/>
        </w:rPr>
        <w:t xml:space="preserve">s </w:t>
      </w:r>
      <w:r w:rsidR="00F81B83">
        <w:rPr>
          <w:lang w:val="fr-FR"/>
        </w:rPr>
        <w:t xml:space="preserve">de protéger les </w:t>
      </w:r>
      <w:r w:rsidR="00853476" w:rsidRPr="00821360">
        <w:rPr>
          <w:lang w:val="fr-FR"/>
        </w:rPr>
        <w:t xml:space="preserve">limitations </w:t>
      </w:r>
      <w:r w:rsidR="00F81B83">
        <w:rPr>
          <w:lang w:val="fr-FR"/>
        </w:rPr>
        <w:t xml:space="preserve">et </w:t>
      </w:r>
      <w:r w:rsidR="00853476" w:rsidRPr="00821360">
        <w:rPr>
          <w:lang w:val="fr-FR"/>
        </w:rPr>
        <w:t xml:space="preserve">exceptions </w:t>
      </w:r>
      <w:r w:rsidR="00F81B83">
        <w:rPr>
          <w:lang w:val="fr-FR"/>
        </w:rPr>
        <w:t>des effets</w:t>
      </w:r>
      <w:r w:rsidR="001E7D78">
        <w:rPr>
          <w:lang w:val="fr-FR"/>
        </w:rPr>
        <w:t xml:space="preserve"> des</w:t>
      </w:r>
      <w:r w:rsidR="00F81B83">
        <w:rPr>
          <w:lang w:val="fr-FR"/>
        </w:rPr>
        <w:t xml:space="preserve"> licences contractuelles destinées à les contourn</w:t>
      </w:r>
      <w:r w:rsidR="00D07A5F">
        <w:rPr>
          <w:lang w:val="fr-FR"/>
        </w:rPr>
        <w:t>er.  Ce</w:t>
      </w:r>
      <w:r w:rsidR="00F81B83">
        <w:rPr>
          <w:lang w:val="fr-FR"/>
        </w:rPr>
        <w:t>s mesures sont souvent présentées comme des méthodes visant à renforcer la précision, la certitude et la transparence des contrats de licence, en particulier pour ce qui concerne les contenus numériques, une question qui pourrait être approfondie.</w:t>
      </w:r>
    </w:p>
    <w:p w14:paraId="626A5472" w14:textId="61EC5788" w:rsidR="005D2DEB" w:rsidRPr="00821360" w:rsidRDefault="00F81B83" w:rsidP="00D52B7A">
      <w:pPr>
        <w:rPr>
          <w:lang w:val="fr-FR"/>
        </w:rPr>
      </w:pPr>
      <w:r>
        <w:rPr>
          <w:lang w:val="fr-FR"/>
        </w:rPr>
        <w:t xml:space="preserve">Quatrièmement, </w:t>
      </w:r>
      <w:r w:rsidR="00526DC0">
        <w:rPr>
          <w:lang w:val="fr-FR"/>
        </w:rPr>
        <w:t>sur la base d</w:t>
      </w:r>
      <w:r w:rsidR="00AA5429">
        <w:rPr>
          <w:lang w:val="fr-FR"/>
        </w:rPr>
        <w:t>’</w:t>
      </w:r>
      <w:r w:rsidR="00526DC0">
        <w:rPr>
          <w:lang w:val="fr-FR"/>
        </w:rPr>
        <w:t xml:space="preserve">une lecture exclusivement littérale des </w:t>
      </w:r>
      <w:r w:rsidR="00526DC0" w:rsidRPr="00526DC0">
        <w:rPr>
          <w:lang w:val="fr-FR"/>
        </w:rPr>
        <w:t>dispositions relatives aux définitions dans la législation des États membres</w:t>
      </w:r>
      <w:r w:rsidR="00526DC0">
        <w:rPr>
          <w:lang w:val="fr-FR"/>
        </w:rPr>
        <w:t xml:space="preserve"> de l</w:t>
      </w:r>
      <w:r w:rsidR="00AA5429">
        <w:rPr>
          <w:lang w:val="fr-FR"/>
        </w:rPr>
        <w:t>’</w:t>
      </w:r>
      <w:r w:rsidR="00526DC0">
        <w:rPr>
          <w:lang w:val="fr-FR"/>
        </w:rPr>
        <w:t>OMPI dans le cadre de l</w:t>
      </w:r>
      <w:r w:rsidR="00AA5429">
        <w:rPr>
          <w:lang w:val="fr-FR"/>
        </w:rPr>
        <w:t>’</w:t>
      </w:r>
      <w:r w:rsidR="00526DC0">
        <w:rPr>
          <w:lang w:val="fr-FR"/>
        </w:rPr>
        <w:t>annexe de la Convention de Berne</w:t>
      </w:r>
      <w:r w:rsidR="000A1432" w:rsidRPr="00821360">
        <w:rPr>
          <w:lang w:val="fr-FR"/>
        </w:rPr>
        <w:t xml:space="preserve">, </w:t>
      </w:r>
      <w:r w:rsidR="00526DC0">
        <w:rPr>
          <w:lang w:val="fr-FR"/>
        </w:rPr>
        <w:t>il a été établi que dans la majeure partie des dispositions, la reproduction numérique et la publication numérique des œuvres sont prévues, indépendamment du fait qu</w:t>
      </w:r>
      <w:r w:rsidR="00AA5429">
        <w:rPr>
          <w:lang w:val="fr-FR"/>
        </w:rPr>
        <w:t>’</w:t>
      </w:r>
      <w:r w:rsidR="00526DC0">
        <w:rPr>
          <w:lang w:val="fr-FR"/>
        </w:rPr>
        <w:t>elles soient effectuées en vertu de licences aux fins de la reproduction ou de la traducti</w:t>
      </w:r>
      <w:r w:rsidR="00D07A5F">
        <w:rPr>
          <w:lang w:val="fr-FR"/>
        </w:rPr>
        <w:t>on.  To</w:t>
      </w:r>
      <w:r w:rsidR="00526DC0">
        <w:rPr>
          <w:lang w:val="fr-FR"/>
        </w:rPr>
        <w:t>utefois, dans la majeure partie des mêmes dispositions, la diffusion numérique des œuvres n</w:t>
      </w:r>
      <w:r w:rsidR="00AA5429">
        <w:rPr>
          <w:lang w:val="fr-FR"/>
        </w:rPr>
        <w:t>’</w:t>
      </w:r>
      <w:r w:rsidR="00526DC0">
        <w:rPr>
          <w:lang w:val="fr-FR"/>
        </w:rPr>
        <w:t xml:space="preserve">est pas </w:t>
      </w:r>
      <w:r w:rsidR="00F32BE6">
        <w:rPr>
          <w:lang w:val="fr-FR"/>
        </w:rPr>
        <w:t>prév</w:t>
      </w:r>
      <w:r w:rsidR="00D07A5F">
        <w:rPr>
          <w:lang w:val="fr-FR"/>
        </w:rPr>
        <w:t>ue.  Ce</w:t>
      </w:r>
      <w:r w:rsidR="00F32BE6">
        <w:rPr>
          <w:lang w:val="fr-FR"/>
        </w:rPr>
        <w:t>la est probablement dû au fait que l</w:t>
      </w:r>
      <w:r w:rsidR="00AA5429">
        <w:rPr>
          <w:lang w:val="fr-FR"/>
        </w:rPr>
        <w:t>’</w:t>
      </w:r>
      <w:r w:rsidR="00F32BE6">
        <w:rPr>
          <w:lang w:val="fr-FR"/>
        </w:rPr>
        <w:t xml:space="preserve">annexe de la Convention de Berne fait uniquement </w:t>
      </w:r>
      <w:r w:rsidR="00F32BE6">
        <w:rPr>
          <w:lang w:val="fr-FR"/>
        </w:rPr>
        <w:lastRenderedPageBreak/>
        <w:t>référence à une licence aux fins de la</w:t>
      </w:r>
      <w:r w:rsidR="00853476" w:rsidRPr="00821360">
        <w:rPr>
          <w:lang w:val="fr-FR"/>
        </w:rPr>
        <w:t xml:space="preserve"> </w:t>
      </w:r>
      <w:r w:rsidR="00AA5429">
        <w:rPr>
          <w:lang w:val="fr-FR"/>
        </w:rPr>
        <w:t>“</w:t>
      </w:r>
      <w:r w:rsidR="00AA5429" w:rsidRPr="00821360">
        <w:rPr>
          <w:lang w:val="fr-FR"/>
        </w:rPr>
        <w:t>r</w:t>
      </w:r>
      <w:r w:rsidR="00853476" w:rsidRPr="00821360">
        <w:rPr>
          <w:lang w:val="fr-FR"/>
        </w:rPr>
        <w:t>eproduction/tra</w:t>
      </w:r>
      <w:r w:rsidR="00F32BE6">
        <w:rPr>
          <w:lang w:val="fr-FR"/>
        </w:rPr>
        <w:t>duc</w:t>
      </w:r>
      <w:r w:rsidR="00853476" w:rsidRPr="00821360">
        <w:rPr>
          <w:lang w:val="fr-FR"/>
        </w:rPr>
        <w:t>tio</w:t>
      </w:r>
      <w:r w:rsidR="00AA5429" w:rsidRPr="00821360">
        <w:rPr>
          <w:lang w:val="fr-FR"/>
        </w:rPr>
        <w:t>n</w:t>
      </w:r>
      <w:r w:rsidR="00AA5429">
        <w:rPr>
          <w:lang w:val="fr-FR"/>
        </w:rPr>
        <w:t>”</w:t>
      </w:r>
      <w:r w:rsidR="00853476" w:rsidRPr="00821360">
        <w:rPr>
          <w:lang w:val="fr-FR"/>
        </w:rPr>
        <w:t xml:space="preserve"> </w:t>
      </w:r>
      <w:r w:rsidR="00F32BE6">
        <w:rPr>
          <w:lang w:val="fr-FR"/>
        </w:rPr>
        <w:t xml:space="preserve">et de la </w:t>
      </w:r>
      <w:r w:rsidR="00AA5429">
        <w:rPr>
          <w:lang w:val="fr-FR"/>
        </w:rPr>
        <w:t>“</w:t>
      </w:r>
      <w:r w:rsidR="00AA5429" w:rsidRPr="00821360">
        <w:rPr>
          <w:lang w:val="fr-FR"/>
        </w:rPr>
        <w:t>p</w:t>
      </w:r>
      <w:r w:rsidR="00853476" w:rsidRPr="00821360">
        <w:rPr>
          <w:lang w:val="fr-FR"/>
        </w:rPr>
        <w:t>ublicatio</w:t>
      </w:r>
      <w:r w:rsidR="00AA5429" w:rsidRPr="00821360">
        <w:rPr>
          <w:lang w:val="fr-FR"/>
        </w:rPr>
        <w:t>n</w:t>
      </w:r>
      <w:r w:rsidR="00AA5429">
        <w:rPr>
          <w:lang w:val="fr-FR"/>
        </w:rPr>
        <w:t>”</w:t>
      </w:r>
      <w:r w:rsidR="00853476" w:rsidRPr="00821360">
        <w:rPr>
          <w:lang w:val="fr-FR"/>
        </w:rPr>
        <w:t xml:space="preserve"> </w:t>
      </w:r>
      <w:r w:rsidR="00F32BE6">
        <w:rPr>
          <w:lang w:val="fr-FR"/>
        </w:rPr>
        <w:t>de l</w:t>
      </w:r>
      <w:r w:rsidR="00AA5429">
        <w:rPr>
          <w:lang w:val="fr-FR"/>
        </w:rPr>
        <w:t>’</w:t>
      </w:r>
      <w:r w:rsidR="00F32BE6">
        <w:rPr>
          <w:lang w:val="fr-FR"/>
        </w:rPr>
        <w:t>œuvre, et ne fait aucune mention de la</w:t>
      </w:r>
      <w:r w:rsidR="00853476" w:rsidRPr="00821360">
        <w:rPr>
          <w:lang w:val="fr-FR"/>
        </w:rPr>
        <w:t xml:space="preserve"> </w:t>
      </w:r>
      <w:r w:rsidR="00AA5429">
        <w:rPr>
          <w:lang w:val="fr-FR"/>
        </w:rPr>
        <w:t>“</w:t>
      </w:r>
      <w:r w:rsidR="00AA5429" w:rsidRPr="00821360">
        <w:rPr>
          <w:lang w:val="fr-FR"/>
        </w:rPr>
        <w:t>d</w:t>
      </w:r>
      <w:r w:rsidR="00853476" w:rsidRPr="00821360">
        <w:rPr>
          <w:lang w:val="fr-FR"/>
        </w:rPr>
        <w:t>i</w:t>
      </w:r>
      <w:r w:rsidR="00F32BE6">
        <w:rPr>
          <w:lang w:val="fr-FR"/>
        </w:rPr>
        <w:t>ffusio</w:t>
      </w:r>
      <w:r w:rsidR="00AA5429">
        <w:rPr>
          <w:lang w:val="fr-FR"/>
        </w:rPr>
        <w:t>n”</w:t>
      </w:r>
      <w:r w:rsidR="00853476" w:rsidRPr="00821360">
        <w:rPr>
          <w:lang w:val="fr-FR"/>
        </w:rPr>
        <w:t xml:space="preserve"> </w:t>
      </w:r>
      <w:r w:rsidR="00F32BE6">
        <w:rPr>
          <w:lang w:val="fr-FR"/>
        </w:rPr>
        <w:t xml:space="preserve">de ladite œuvre, qui peut être </w:t>
      </w:r>
      <w:r w:rsidR="00853476" w:rsidRPr="00821360">
        <w:rPr>
          <w:lang w:val="fr-FR"/>
        </w:rPr>
        <w:t>"</w:t>
      </w:r>
      <w:r w:rsidR="00F32BE6" w:rsidRPr="00F32BE6">
        <w:rPr>
          <w:lang w:val="fr-FR"/>
        </w:rPr>
        <w:t>sous forme imprimée ou sous toute autre forme analogue de reproductio</w:t>
      </w:r>
      <w:r w:rsidR="00AA5429" w:rsidRPr="00F32BE6">
        <w:rPr>
          <w:lang w:val="fr-FR"/>
        </w:rPr>
        <w:t>n</w:t>
      </w:r>
      <w:r w:rsidR="00AA5429">
        <w:rPr>
          <w:lang w:val="fr-FR"/>
        </w:rPr>
        <w:t>”</w:t>
      </w:r>
      <w:r w:rsidR="00853476" w:rsidRPr="00821360">
        <w:rPr>
          <w:rStyle w:val="FootnoteReference"/>
          <w:lang w:val="fr-FR"/>
        </w:rPr>
        <w:footnoteReference w:id="13"/>
      </w:r>
      <w:r w:rsidR="00F32BE6">
        <w:rPr>
          <w:lang w:val="fr-FR"/>
        </w:rPr>
        <w:t xml:space="preserve">. </w:t>
      </w:r>
      <w:r w:rsidR="0009625F" w:rsidRPr="00821360">
        <w:rPr>
          <w:lang w:val="fr-FR"/>
        </w:rPr>
        <w:t xml:space="preserve"> </w:t>
      </w:r>
      <w:r w:rsidR="00F32BE6">
        <w:rPr>
          <w:lang w:val="fr-FR"/>
        </w:rPr>
        <w:t>Cependant, les États membres ayant adopté des dispositions relatives aux licences obligatoires permettant la diffusion numérique des œuvres ont pu le faire en s</w:t>
      </w:r>
      <w:r w:rsidR="00AA5429">
        <w:rPr>
          <w:lang w:val="fr-FR"/>
        </w:rPr>
        <w:t>’</w:t>
      </w:r>
      <w:r w:rsidR="00F32BE6">
        <w:rPr>
          <w:lang w:val="fr-FR"/>
        </w:rPr>
        <w:t>écartant de la norme</w:t>
      </w:r>
      <w:r w:rsidR="0009625F" w:rsidRPr="00821360">
        <w:rPr>
          <w:rStyle w:val="FootnoteReference"/>
          <w:lang w:val="fr-FR"/>
        </w:rPr>
        <w:footnoteReference w:id="14"/>
      </w:r>
      <w:r w:rsidR="0009625F" w:rsidRPr="00821360">
        <w:rPr>
          <w:lang w:val="fr-FR"/>
        </w:rPr>
        <w:t xml:space="preserve"> </w:t>
      </w:r>
      <w:r w:rsidR="00F32BE6">
        <w:rPr>
          <w:lang w:val="fr-FR"/>
        </w:rPr>
        <w:t xml:space="preserve">et en englobant la “communication” dans leur définition de la </w:t>
      </w:r>
      <w:r w:rsidR="00AA5429">
        <w:rPr>
          <w:lang w:val="fr-FR"/>
        </w:rPr>
        <w:t>“</w:t>
      </w:r>
      <w:r w:rsidR="00AA5429" w:rsidRPr="00821360">
        <w:rPr>
          <w:lang w:val="fr-FR"/>
        </w:rPr>
        <w:t>p</w:t>
      </w:r>
      <w:r w:rsidR="0009625F" w:rsidRPr="00821360">
        <w:rPr>
          <w:lang w:val="fr-FR"/>
        </w:rPr>
        <w:t>ublicatio</w:t>
      </w:r>
      <w:r w:rsidR="00AA5429" w:rsidRPr="00821360">
        <w:rPr>
          <w:lang w:val="fr-FR"/>
        </w:rPr>
        <w:t>n</w:t>
      </w:r>
      <w:r w:rsidR="00AA5429">
        <w:rPr>
          <w:lang w:val="fr-FR"/>
        </w:rPr>
        <w:t>”</w:t>
      </w:r>
      <w:r w:rsidR="0009625F" w:rsidRPr="00821360">
        <w:rPr>
          <w:lang w:val="fr-FR"/>
        </w:rPr>
        <w:t>.</w:t>
      </w:r>
      <w:r w:rsidR="00CA1360" w:rsidRPr="00821360">
        <w:rPr>
          <w:lang w:val="fr-FR"/>
        </w:rPr>
        <w:t xml:space="preserve"> </w:t>
      </w:r>
      <w:r w:rsidR="004D02CD">
        <w:rPr>
          <w:lang w:val="fr-FR"/>
        </w:rPr>
        <w:t xml:space="preserve"> Si l</w:t>
      </w:r>
      <w:r w:rsidR="00AA5429">
        <w:rPr>
          <w:lang w:val="fr-FR"/>
        </w:rPr>
        <w:t>’</w:t>
      </w:r>
      <w:r w:rsidR="004D02CD">
        <w:rPr>
          <w:lang w:val="fr-FR"/>
        </w:rPr>
        <w:t>annexe de la Convention de B</w:t>
      </w:r>
      <w:r w:rsidR="00CA1360" w:rsidRPr="00821360">
        <w:rPr>
          <w:lang w:val="fr-FR"/>
        </w:rPr>
        <w:t xml:space="preserve">erne </w:t>
      </w:r>
      <w:r w:rsidR="004D02CD">
        <w:rPr>
          <w:lang w:val="fr-FR"/>
        </w:rPr>
        <w:t>doit s</w:t>
      </w:r>
      <w:r w:rsidR="00AA5429">
        <w:rPr>
          <w:lang w:val="fr-FR"/>
        </w:rPr>
        <w:t>’</w:t>
      </w:r>
      <w:r w:rsidR="004D02CD">
        <w:rPr>
          <w:lang w:val="fr-FR"/>
        </w:rPr>
        <w:t>appliquer sans ambiguïté concernant la diffusion numérique des œuvres reproduites ou traduites à des fins d</w:t>
      </w:r>
      <w:r w:rsidR="00AA5429">
        <w:rPr>
          <w:lang w:val="fr-FR"/>
        </w:rPr>
        <w:t>’</w:t>
      </w:r>
      <w:r w:rsidR="004D02CD">
        <w:rPr>
          <w:lang w:val="fr-FR"/>
        </w:rPr>
        <w:t>enseignement, il conviendrait peut</w:t>
      </w:r>
      <w:r w:rsidR="00D52B7A">
        <w:rPr>
          <w:lang w:val="fr-FR"/>
        </w:rPr>
        <w:noBreakHyphen/>
      </w:r>
      <w:r w:rsidR="004D02CD">
        <w:rPr>
          <w:lang w:val="fr-FR"/>
        </w:rPr>
        <w:t>être de réexaminer cette question</w:t>
      </w:r>
      <w:r w:rsidR="00CA1360" w:rsidRPr="00821360">
        <w:rPr>
          <w:lang w:val="fr-FR"/>
        </w:rPr>
        <w:t>.</w:t>
      </w:r>
    </w:p>
    <w:p w14:paraId="47BF0FC9" w14:textId="2EBB6948" w:rsidR="00AA5429" w:rsidRDefault="004D02CD" w:rsidP="00D52B7A">
      <w:pPr>
        <w:rPr>
          <w:lang w:val="fr-FR"/>
        </w:rPr>
      </w:pPr>
      <w:r>
        <w:rPr>
          <w:lang w:val="fr-FR"/>
        </w:rPr>
        <w:t xml:space="preserve">Enfin, comme indiqué précédemment, </w:t>
      </w:r>
      <w:r w:rsidR="009B3632" w:rsidRPr="00821360">
        <w:rPr>
          <w:lang w:val="fr-FR"/>
        </w:rPr>
        <w:t>63</w:t>
      </w:r>
      <w:r>
        <w:rPr>
          <w:lang w:val="fr-FR"/>
        </w:rPr>
        <w:t> États membres de l</w:t>
      </w:r>
      <w:r w:rsidR="00AA5429">
        <w:rPr>
          <w:lang w:val="fr-FR"/>
        </w:rPr>
        <w:t>’</w:t>
      </w:r>
      <w:r>
        <w:rPr>
          <w:lang w:val="fr-FR"/>
        </w:rPr>
        <w:t xml:space="preserve">OMPI ont adopté dans leur législation nationale des dispositions prévoyant des éléments de flexibilité, des </w:t>
      </w:r>
      <w:r w:rsidR="00A67FBE" w:rsidRPr="00821360">
        <w:rPr>
          <w:lang w:val="fr-FR"/>
        </w:rPr>
        <w:t>limi</w:t>
      </w:r>
      <w:r>
        <w:rPr>
          <w:lang w:val="fr-FR"/>
        </w:rPr>
        <w:t xml:space="preserve">tations et des </w:t>
      </w:r>
      <w:r w:rsidR="00A67FBE" w:rsidRPr="00821360">
        <w:rPr>
          <w:lang w:val="fr-FR"/>
        </w:rPr>
        <w:t xml:space="preserve">exceptions </w:t>
      </w:r>
      <w:r>
        <w:rPr>
          <w:lang w:val="fr-FR"/>
        </w:rPr>
        <w:t xml:space="preserve">relatifs aux mesures techniques de </w:t>
      </w:r>
      <w:r w:rsidR="009B3632" w:rsidRPr="00821360">
        <w:rPr>
          <w:lang w:val="fr-FR"/>
        </w:rPr>
        <w:t xml:space="preserve">protection </w:t>
      </w:r>
      <w:r>
        <w:rPr>
          <w:lang w:val="fr-FR"/>
        </w:rPr>
        <w:t>et à l</w:t>
      </w:r>
      <w:r w:rsidR="00AA5429">
        <w:rPr>
          <w:lang w:val="fr-FR"/>
        </w:rPr>
        <w:t>’</w:t>
      </w:r>
      <w:r>
        <w:rPr>
          <w:lang w:val="fr-FR"/>
        </w:rPr>
        <w:t>information sur le régime des droi</w:t>
      </w:r>
      <w:r w:rsidR="00D07A5F">
        <w:rPr>
          <w:lang w:val="fr-FR"/>
        </w:rPr>
        <w:t>ts.  La</w:t>
      </w:r>
      <w:r>
        <w:rPr>
          <w:lang w:val="fr-FR"/>
        </w:rPr>
        <w:t xml:space="preserve"> quasi</w:t>
      </w:r>
      <w:r w:rsidR="00D52B7A">
        <w:rPr>
          <w:lang w:val="fr-FR"/>
        </w:rPr>
        <w:noBreakHyphen/>
      </w:r>
      <w:r>
        <w:rPr>
          <w:lang w:val="fr-FR"/>
        </w:rPr>
        <w:t xml:space="preserve">totalité de ces </w:t>
      </w:r>
      <w:r w:rsidR="009B3632" w:rsidRPr="00821360">
        <w:rPr>
          <w:lang w:val="fr-FR"/>
        </w:rPr>
        <w:t>63</w:t>
      </w:r>
      <w:r>
        <w:rPr>
          <w:lang w:val="fr-FR"/>
        </w:rPr>
        <w:t> États membres</w:t>
      </w:r>
      <w:r w:rsidR="009B3632" w:rsidRPr="00821360">
        <w:rPr>
          <w:lang w:val="fr-FR"/>
        </w:rPr>
        <w:t xml:space="preserve"> (59</w:t>
      </w:r>
      <w:r>
        <w:rPr>
          <w:lang w:val="fr-FR"/>
        </w:rPr>
        <w:t> États membres</w:t>
      </w:r>
      <w:r w:rsidR="009B3632" w:rsidRPr="00821360">
        <w:rPr>
          <w:lang w:val="fr-FR"/>
        </w:rPr>
        <w:t xml:space="preserve">) </w:t>
      </w:r>
      <w:r w:rsidR="00317D67">
        <w:rPr>
          <w:lang w:val="fr-FR"/>
        </w:rPr>
        <w:t>a</w:t>
      </w:r>
      <w:r>
        <w:rPr>
          <w:lang w:val="fr-FR"/>
        </w:rPr>
        <w:t xml:space="preserve"> jugé nécessaire d</w:t>
      </w:r>
      <w:r w:rsidR="00AA5429">
        <w:rPr>
          <w:lang w:val="fr-FR"/>
        </w:rPr>
        <w:t>’</w:t>
      </w:r>
      <w:r>
        <w:rPr>
          <w:lang w:val="fr-FR"/>
        </w:rPr>
        <w:t xml:space="preserve">adopter des éléments de flexibilité, des limitations ou des exceptions </w:t>
      </w:r>
      <w:r w:rsidR="00291750">
        <w:rPr>
          <w:lang w:val="fr-FR"/>
        </w:rPr>
        <w:t xml:space="preserve">en vue de </w:t>
      </w:r>
      <w:r w:rsidR="009B3632" w:rsidRPr="00821360">
        <w:rPr>
          <w:lang w:val="fr-FR"/>
        </w:rPr>
        <w:t>facilit</w:t>
      </w:r>
      <w:r w:rsidR="00291750">
        <w:rPr>
          <w:lang w:val="fr-FR"/>
        </w:rPr>
        <w:t>er les activités d</w:t>
      </w:r>
      <w:r w:rsidR="00AA5429">
        <w:rPr>
          <w:lang w:val="fr-FR"/>
        </w:rPr>
        <w:t>’</w:t>
      </w:r>
      <w:r w:rsidR="00291750">
        <w:rPr>
          <w:lang w:val="fr-FR"/>
        </w:rPr>
        <w:t xml:space="preserve">enseignement, mais seul un petit nombre </w:t>
      </w:r>
      <w:r w:rsidR="009B3632" w:rsidRPr="00821360">
        <w:rPr>
          <w:lang w:val="fr-FR"/>
        </w:rPr>
        <w:t>(14</w:t>
      </w:r>
      <w:r w:rsidR="00291750">
        <w:rPr>
          <w:lang w:val="fr-FR"/>
        </w:rPr>
        <w:t> États membres</w:t>
      </w:r>
      <w:r w:rsidR="009B3632" w:rsidRPr="00821360">
        <w:rPr>
          <w:lang w:val="fr-FR"/>
        </w:rPr>
        <w:t xml:space="preserve">) </w:t>
      </w:r>
      <w:r w:rsidR="00291750">
        <w:rPr>
          <w:lang w:val="fr-FR"/>
        </w:rPr>
        <w:t>en ont fait de même en ce qui concerne l</w:t>
      </w:r>
      <w:r w:rsidR="00AA5429">
        <w:rPr>
          <w:lang w:val="fr-FR"/>
        </w:rPr>
        <w:t>’</w:t>
      </w:r>
      <w:r w:rsidR="00291750">
        <w:rPr>
          <w:lang w:val="fr-FR"/>
        </w:rPr>
        <w:t>information sur le régime des droi</w:t>
      </w:r>
      <w:r w:rsidR="00D07A5F">
        <w:rPr>
          <w:lang w:val="fr-FR"/>
        </w:rPr>
        <w:t>ts.  Le</w:t>
      </w:r>
      <w:r w:rsidR="00291750">
        <w:rPr>
          <w:lang w:val="fr-FR"/>
        </w:rPr>
        <w:t xml:space="preserve">s </w:t>
      </w:r>
      <w:r w:rsidR="00483628" w:rsidRPr="00821360">
        <w:rPr>
          <w:lang w:val="fr-FR"/>
        </w:rPr>
        <w:t>statisti</w:t>
      </w:r>
      <w:r w:rsidR="00291750">
        <w:rPr>
          <w:lang w:val="fr-FR"/>
        </w:rPr>
        <w:t xml:space="preserve">ques sont révélatrices car elles semblent indiquer que, nonobstant </w:t>
      </w:r>
      <w:r w:rsidR="001F61ED">
        <w:rPr>
          <w:lang w:val="fr-FR"/>
        </w:rPr>
        <w:t>l</w:t>
      </w:r>
      <w:r w:rsidR="00AA5429">
        <w:rPr>
          <w:lang w:val="fr-FR"/>
        </w:rPr>
        <w:t>’</w:t>
      </w:r>
      <w:r w:rsidR="001F61ED">
        <w:rPr>
          <w:lang w:val="fr-FR"/>
        </w:rPr>
        <w:t>absence d</w:t>
      </w:r>
      <w:r w:rsidR="00AA5429">
        <w:rPr>
          <w:lang w:val="fr-FR"/>
        </w:rPr>
        <w:t>’</w:t>
      </w:r>
      <w:r w:rsidR="001F61ED">
        <w:rPr>
          <w:lang w:val="fr-FR"/>
        </w:rPr>
        <w:t>orientations à cet égard dans</w:t>
      </w:r>
      <w:r w:rsidR="00AA5429" w:rsidRPr="00AA5429">
        <w:rPr>
          <w:lang w:val="fr-FR"/>
        </w:rPr>
        <w:t xml:space="preserve"> le </w:t>
      </w:r>
      <w:proofErr w:type="spellStart"/>
      <w:r w:rsidR="00AA5429" w:rsidRPr="00AA5429">
        <w:rPr>
          <w:lang w:val="fr-FR"/>
        </w:rPr>
        <w:t>WCT</w:t>
      </w:r>
      <w:proofErr w:type="spellEnd"/>
      <w:r w:rsidR="00483628" w:rsidRPr="00821360">
        <w:rPr>
          <w:lang w:val="fr-FR"/>
        </w:rPr>
        <w:t xml:space="preserve"> </w:t>
      </w:r>
      <w:r w:rsidR="001F61ED">
        <w:rPr>
          <w:lang w:val="fr-FR"/>
        </w:rPr>
        <w:t>et</w:t>
      </w:r>
      <w:r w:rsidR="00AA5429" w:rsidRPr="00AA5429">
        <w:rPr>
          <w:lang w:val="fr-FR"/>
        </w:rPr>
        <w:t xml:space="preserve"> le </w:t>
      </w:r>
      <w:proofErr w:type="spellStart"/>
      <w:r w:rsidR="00AA5429" w:rsidRPr="00AA5429">
        <w:rPr>
          <w:lang w:val="fr-FR"/>
        </w:rPr>
        <w:t>WPP</w:t>
      </w:r>
      <w:r w:rsidR="00483628" w:rsidRPr="00821360">
        <w:rPr>
          <w:lang w:val="fr-FR"/>
        </w:rPr>
        <w:t>T</w:t>
      </w:r>
      <w:proofErr w:type="spellEnd"/>
      <w:r w:rsidR="00483628" w:rsidRPr="00821360">
        <w:rPr>
          <w:lang w:val="fr-FR"/>
        </w:rPr>
        <w:t xml:space="preserve">, </w:t>
      </w:r>
      <w:r w:rsidR="001F61ED">
        <w:rPr>
          <w:lang w:val="fr-FR"/>
        </w:rPr>
        <w:t>les États membres ont estimé nécessaire d</w:t>
      </w:r>
      <w:r w:rsidR="00AA5429">
        <w:rPr>
          <w:lang w:val="fr-FR"/>
        </w:rPr>
        <w:t>’</w:t>
      </w:r>
      <w:r w:rsidR="001F61ED">
        <w:rPr>
          <w:lang w:val="fr-FR"/>
        </w:rPr>
        <w:t>adopter des éléments de flexibilité, eu égard notamment aux mesures techniques de</w:t>
      </w:r>
      <w:r w:rsidR="00483628" w:rsidRPr="00821360">
        <w:rPr>
          <w:lang w:val="fr-FR"/>
        </w:rPr>
        <w:t xml:space="preserve"> protection (</w:t>
      </w:r>
      <w:r w:rsidR="001F61ED">
        <w:rPr>
          <w:lang w:val="fr-FR"/>
        </w:rPr>
        <w:t>et, dans une moindre mesure, à l</w:t>
      </w:r>
      <w:r w:rsidR="00AA5429">
        <w:rPr>
          <w:lang w:val="fr-FR"/>
        </w:rPr>
        <w:t>’</w:t>
      </w:r>
      <w:r w:rsidR="001F61ED">
        <w:rPr>
          <w:lang w:val="fr-FR"/>
        </w:rPr>
        <w:t>information sur le régime des droits</w:t>
      </w:r>
      <w:r w:rsidR="00483628" w:rsidRPr="00821360">
        <w:rPr>
          <w:lang w:val="fr-FR"/>
        </w:rPr>
        <w:t xml:space="preserve">), </w:t>
      </w:r>
      <w:r w:rsidR="001F61ED">
        <w:rPr>
          <w:lang w:val="fr-FR"/>
        </w:rPr>
        <w:t>en ce qui concerne l</w:t>
      </w:r>
      <w:r w:rsidR="00AA5429">
        <w:rPr>
          <w:lang w:val="fr-FR"/>
        </w:rPr>
        <w:t>’</w:t>
      </w:r>
      <w:r w:rsidR="001F61ED">
        <w:rPr>
          <w:lang w:val="fr-FR"/>
        </w:rPr>
        <w:t>utilisation des œuvres à des fins d</w:t>
      </w:r>
      <w:r w:rsidR="00AA5429">
        <w:rPr>
          <w:lang w:val="fr-FR"/>
        </w:rPr>
        <w:t>’</w:t>
      </w:r>
      <w:r w:rsidR="001F61ED">
        <w:rPr>
          <w:lang w:val="fr-FR"/>
        </w:rPr>
        <w:t>enseigneme</w:t>
      </w:r>
      <w:r w:rsidR="00D07A5F">
        <w:rPr>
          <w:lang w:val="fr-FR"/>
        </w:rPr>
        <w:t>nt.  Le</w:t>
      </w:r>
      <w:r w:rsidR="001F61ED">
        <w:rPr>
          <w:lang w:val="fr-FR"/>
        </w:rPr>
        <w:t xml:space="preserve"> fait que la législation nationale ait cherché à combler les lacunes </w:t>
      </w:r>
      <w:r w:rsidR="0084294A">
        <w:rPr>
          <w:lang w:val="fr-FR"/>
        </w:rPr>
        <w:t>apparentes</w:t>
      </w:r>
      <w:r w:rsidR="00AA5429" w:rsidRPr="00AA5429">
        <w:rPr>
          <w:lang w:val="fr-FR"/>
        </w:rPr>
        <w:t xml:space="preserve"> du </w:t>
      </w:r>
      <w:proofErr w:type="spellStart"/>
      <w:r w:rsidR="00AA5429" w:rsidRPr="00AA5429">
        <w:rPr>
          <w:lang w:val="fr-FR"/>
        </w:rPr>
        <w:t>WCT</w:t>
      </w:r>
      <w:proofErr w:type="spellEnd"/>
      <w:r w:rsidR="00A05193" w:rsidRPr="00821360">
        <w:rPr>
          <w:lang w:val="fr-FR"/>
        </w:rPr>
        <w:t xml:space="preserve"> </w:t>
      </w:r>
      <w:r w:rsidR="001F61ED">
        <w:rPr>
          <w:lang w:val="fr-FR"/>
        </w:rPr>
        <w:t>et</w:t>
      </w:r>
      <w:r w:rsidR="00AA5429" w:rsidRPr="00AA5429">
        <w:rPr>
          <w:lang w:val="fr-FR"/>
        </w:rPr>
        <w:t xml:space="preserve"> du </w:t>
      </w:r>
      <w:proofErr w:type="spellStart"/>
      <w:r w:rsidR="00AA5429" w:rsidRPr="00AA5429">
        <w:rPr>
          <w:lang w:val="fr-FR"/>
        </w:rPr>
        <w:t>WPP</w:t>
      </w:r>
      <w:r w:rsidR="00A05193" w:rsidRPr="00821360">
        <w:rPr>
          <w:lang w:val="fr-FR"/>
        </w:rPr>
        <w:t>T</w:t>
      </w:r>
      <w:proofErr w:type="spellEnd"/>
      <w:r w:rsidR="001F61ED">
        <w:rPr>
          <w:lang w:val="fr-FR"/>
        </w:rPr>
        <w:t xml:space="preserve"> semble indiquer qu</w:t>
      </w:r>
      <w:r w:rsidR="00AA5429">
        <w:rPr>
          <w:lang w:val="fr-FR"/>
        </w:rPr>
        <w:t>’</w:t>
      </w:r>
      <w:r w:rsidR="001F61ED">
        <w:rPr>
          <w:lang w:val="fr-FR"/>
        </w:rPr>
        <w:t>un consensus international peut être dégagé quant à la nécessité de prévoir des éléments de flexibilité</w:t>
      </w:r>
      <w:r w:rsidR="00A05193" w:rsidRPr="00821360">
        <w:rPr>
          <w:lang w:val="fr-FR"/>
        </w:rPr>
        <w:t xml:space="preserve">, </w:t>
      </w:r>
      <w:r w:rsidR="001F61ED">
        <w:rPr>
          <w:lang w:val="fr-FR"/>
        </w:rPr>
        <w:t xml:space="preserve">des limitations et des </w:t>
      </w:r>
      <w:r w:rsidR="00A05193" w:rsidRPr="00821360">
        <w:rPr>
          <w:lang w:val="fr-FR"/>
        </w:rPr>
        <w:t>exceptions</w:t>
      </w:r>
      <w:r w:rsidR="001F61ED">
        <w:rPr>
          <w:lang w:val="fr-FR"/>
        </w:rPr>
        <w:t xml:space="preserve"> relatifs aux mesures techniques de</w:t>
      </w:r>
      <w:r w:rsidR="00A05193" w:rsidRPr="00821360">
        <w:rPr>
          <w:lang w:val="fr-FR"/>
        </w:rPr>
        <w:t xml:space="preserve"> protection </w:t>
      </w:r>
      <w:r w:rsidR="001F61ED">
        <w:rPr>
          <w:lang w:val="fr-FR"/>
        </w:rPr>
        <w:t>et à l</w:t>
      </w:r>
      <w:r w:rsidR="00AA5429">
        <w:rPr>
          <w:lang w:val="fr-FR"/>
        </w:rPr>
        <w:t>’</w:t>
      </w:r>
      <w:r w:rsidR="001F61ED">
        <w:rPr>
          <w:lang w:val="fr-FR"/>
        </w:rPr>
        <w:t>information sur le régime des droits</w:t>
      </w:r>
      <w:r w:rsidR="00A05193" w:rsidRPr="00821360">
        <w:rPr>
          <w:lang w:val="fr-FR"/>
        </w:rPr>
        <w:t>, e</w:t>
      </w:r>
      <w:r w:rsidR="001F61ED">
        <w:rPr>
          <w:lang w:val="fr-FR"/>
        </w:rPr>
        <w:t>n particulier à des fins d</w:t>
      </w:r>
      <w:r w:rsidR="00AA5429">
        <w:rPr>
          <w:lang w:val="fr-FR"/>
        </w:rPr>
        <w:t>’</w:t>
      </w:r>
      <w:r w:rsidR="001F61ED">
        <w:rPr>
          <w:lang w:val="fr-FR"/>
        </w:rPr>
        <w:t>enseigneme</w:t>
      </w:r>
      <w:r w:rsidR="00D07A5F">
        <w:rPr>
          <w:lang w:val="fr-FR"/>
        </w:rPr>
        <w:t>nt.  Un</w:t>
      </w:r>
      <w:r w:rsidR="007766EF">
        <w:rPr>
          <w:lang w:val="fr-FR"/>
        </w:rPr>
        <w:t xml:space="preserve"> nouveau rôle doit être assigné à ces éléments de flexibilité, limitations et exceptions, au moment où les éditeurs ont </w:t>
      </w:r>
      <w:r w:rsidR="0084294A">
        <w:rPr>
          <w:lang w:val="fr-FR"/>
        </w:rPr>
        <w:t xml:space="preserve">de plus en plus </w:t>
      </w:r>
      <w:r w:rsidR="007766EF">
        <w:rPr>
          <w:lang w:val="fr-FR"/>
        </w:rPr>
        <w:t>recours aux mesures techniques de protection et à l</w:t>
      </w:r>
      <w:r w:rsidR="00AA5429">
        <w:rPr>
          <w:lang w:val="fr-FR"/>
        </w:rPr>
        <w:t>’</w:t>
      </w:r>
      <w:r w:rsidR="007766EF">
        <w:rPr>
          <w:lang w:val="fr-FR"/>
        </w:rPr>
        <w:t>information sur le régime des droits, afin de rendre possible l</w:t>
      </w:r>
      <w:r w:rsidR="00AA5429">
        <w:rPr>
          <w:lang w:val="fr-FR"/>
        </w:rPr>
        <w:t>’</w:t>
      </w:r>
      <w:r w:rsidR="007766EF">
        <w:rPr>
          <w:lang w:val="fr-FR"/>
        </w:rPr>
        <w:t>utilisation des contenus à des fins d</w:t>
      </w:r>
      <w:r w:rsidR="00AA5429">
        <w:rPr>
          <w:lang w:val="fr-FR"/>
        </w:rPr>
        <w:t>’</w:t>
      </w:r>
      <w:r w:rsidR="007766EF">
        <w:rPr>
          <w:lang w:val="fr-FR"/>
        </w:rPr>
        <w:t>enseignement dans l</w:t>
      </w:r>
      <w:r w:rsidR="00AA5429">
        <w:rPr>
          <w:lang w:val="fr-FR"/>
        </w:rPr>
        <w:t>’</w:t>
      </w:r>
      <w:r w:rsidR="007766EF">
        <w:rPr>
          <w:lang w:val="fr-FR"/>
        </w:rPr>
        <w:t>environnement numérique.</w:t>
      </w:r>
    </w:p>
    <w:p w14:paraId="574EF9D7" w14:textId="6EFF0065" w:rsidR="00F71DF5" w:rsidRPr="00821360" w:rsidRDefault="00F71DF5" w:rsidP="00D52B7A">
      <w:pPr>
        <w:rPr>
          <w:lang w:val="fr-FR"/>
        </w:rPr>
      </w:pPr>
    </w:p>
    <w:p w14:paraId="23E31CC1" w14:textId="77777777" w:rsidR="00DE596C" w:rsidRPr="00821360" w:rsidRDefault="00DE596C" w:rsidP="00D52B7A">
      <w:pPr>
        <w:rPr>
          <w:lang w:val="fr-FR"/>
        </w:rPr>
      </w:pPr>
    </w:p>
    <w:p w14:paraId="4C6E19B9" w14:textId="77777777" w:rsidR="001E7538" w:rsidRPr="00821360" w:rsidRDefault="001E7538" w:rsidP="00D52B7A">
      <w:pPr>
        <w:rPr>
          <w:lang w:val="fr-FR"/>
        </w:rPr>
      </w:pPr>
    </w:p>
    <w:p w14:paraId="36DDA2BA" w14:textId="0E0AEF68" w:rsidR="00D83E54" w:rsidRPr="00821360" w:rsidRDefault="00D83E54" w:rsidP="00D52B7A">
      <w:pPr>
        <w:rPr>
          <w:lang w:val="fr-FR"/>
        </w:rPr>
      </w:pPr>
      <w:r w:rsidRPr="00821360">
        <w:rPr>
          <w:lang w:val="fr-FR"/>
        </w:rPr>
        <w:t>Daniel</w:t>
      </w:r>
      <w:r w:rsidR="00563294">
        <w:rPr>
          <w:lang w:val="fr-FR"/>
        </w:rPr>
        <w:t> </w:t>
      </w:r>
      <w:proofErr w:type="spellStart"/>
      <w:r w:rsidR="00563294">
        <w:rPr>
          <w:lang w:val="fr-FR"/>
        </w:rPr>
        <w:t>S</w:t>
      </w:r>
      <w:r w:rsidRPr="00821360">
        <w:rPr>
          <w:lang w:val="fr-FR"/>
        </w:rPr>
        <w:t>eng</w:t>
      </w:r>
      <w:proofErr w:type="spellEnd"/>
    </w:p>
    <w:p w14:paraId="6FB88F36" w14:textId="106CEAF7" w:rsidR="00D83E54" w:rsidRPr="00821360" w:rsidRDefault="00813797" w:rsidP="00D52B7A">
      <w:pPr>
        <w:rPr>
          <w:lang w:val="fr-FR"/>
        </w:rPr>
      </w:pPr>
      <w:r w:rsidRPr="00821360">
        <w:rPr>
          <w:lang w:val="fr-FR"/>
        </w:rPr>
        <w:t>Octobr</w:t>
      </w:r>
      <w:r w:rsidR="007766EF">
        <w:rPr>
          <w:lang w:val="fr-FR"/>
        </w:rPr>
        <w:t>e</w:t>
      </w:r>
      <w:r w:rsidR="00563294">
        <w:rPr>
          <w:lang w:val="fr-FR"/>
        </w:rPr>
        <w:t> </w:t>
      </w:r>
      <w:r w:rsidR="00D83E54" w:rsidRPr="00821360">
        <w:rPr>
          <w:lang w:val="fr-FR"/>
        </w:rPr>
        <w:t>2017</w:t>
      </w:r>
    </w:p>
    <w:sectPr w:rsidR="00D83E54" w:rsidRPr="00821360" w:rsidSect="00D52B7A"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65943" w14:textId="77777777" w:rsidR="001F61ED" w:rsidRDefault="001F61ED" w:rsidP="00746E45">
      <w:pPr>
        <w:spacing w:after="0" w:line="240" w:lineRule="auto"/>
      </w:pPr>
      <w:r>
        <w:separator/>
      </w:r>
    </w:p>
  </w:endnote>
  <w:endnote w:type="continuationSeparator" w:id="0">
    <w:p w14:paraId="25EFF87D" w14:textId="77777777" w:rsidR="001F61ED" w:rsidRDefault="001F61ED" w:rsidP="00746E45">
      <w:pPr>
        <w:spacing w:after="0" w:line="240" w:lineRule="auto"/>
      </w:pPr>
      <w:r>
        <w:continuationSeparator/>
      </w:r>
    </w:p>
  </w:endnote>
  <w:endnote w:type="continuationNotice" w:id="1">
    <w:p w14:paraId="43B72604" w14:textId="77777777" w:rsidR="00D07A5F" w:rsidRDefault="00D07A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DEF8D" w14:textId="77777777" w:rsidR="001F61ED" w:rsidRDefault="001F61ED" w:rsidP="00746E45">
      <w:pPr>
        <w:spacing w:after="0" w:line="240" w:lineRule="auto"/>
      </w:pPr>
      <w:r>
        <w:separator/>
      </w:r>
    </w:p>
  </w:footnote>
  <w:footnote w:type="continuationSeparator" w:id="0">
    <w:p w14:paraId="685EBA6E" w14:textId="77777777" w:rsidR="001F61ED" w:rsidRDefault="001F61ED" w:rsidP="00746E45">
      <w:pPr>
        <w:spacing w:after="0" w:line="240" w:lineRule="auto"/>
      </w:pPr>
      <w:r>
        <w:continuationSeparator/>
      </w:r>
    </w:p>
  </w:footnote>
  <w:footnote w:type="continuationNotice" w:id="1">
    <w:p w14:paraId="49897A55" w14:textId="77777777" w:rsidR="00D07A5F" w:rsidRDefault="00D07A5F">
      <w:pPr>
        <w:spacing w:after="0" w:line="240" w:lineRule="auto"/>
      </w:pPr>
    </w:p>
  </w:footnote>
  <w:footnote w:id="2">
    <w:p w14:paraId="41C3B8A2" w14:textId="5580BD78" w:rsidR="001F61ED" w:rsidRPr="00926F01" w:rsidRDefault="001F61ED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="00D52B7A">
        <w:tab/>
      </w:r>
      <w:r w:rsidRPr="00926F01">
        <w:rPr>
          <w:lang w:val="fr-FR"/>
        </w:rPr>
        <w:t xml:space="preserve">Ces dispositions </w:t>
      </w:r>
      <w:r>
        <w:rPr>
          <w:lang w:val="fr-FR"/>
        </w:rPr>
        <w:t>ont été évoquées dans la précédente étude, mais elles n</w:t>
      </w:r>
      <w:r w:rsidR="00A6149F">
        <w:rPr>
          <w:lang w:val="fr-FR"/>
        </w:rPr>
        <w:t>’</w:t>
      </w:r>
      <w:r>
        <w:rPr>
          <w:lang w:val="fr-FR"/>
        </w:rPr>
        <w:t xml:space="preserve">ont pas été </w:t>
      </w:r>
      <w:r w:rsidR="001C2715">
        <w:rPr>
          <w:lang w:val="fr-FR"/>
        </w:rPr>
        <w:t>examinées en tant que telles</w:t>
      </w:r>
      <w:r>
        <w:rPr>
          <w:lang w:val="fr-FR"/>
        </w:rPr>
        <w:t xml:space="preserve"> dans la mesure où cela sortait du cadre de l</w:t>
      </w:r>
      <w:r w:rsidR="00A6149F">
        <w:rPr>
          <w:lang w:val="fr-FR"/>
        </w:rPr>
        <w:t>’</w:t>
      </w:r>
      <w:r>
        <w:rPr>
          <w:lang w:val="fr-FR"/>
        </w:rPr>
        <w:t>étude</w:t>
      </w:r>
      <w:r w:rsidRPr="00926F01">
        <w:rPr>
          <w:lang w:val="fr-FR"/>
        </w:rPr>
        <w:t>.</w:t>
      </w:r>
    </w:p>
  </w:footnote>
  <w:footnote w:id="3">
    <w:p w14:paraId="200E0616" w14:textId="13B1E1E2" w:rsidR="001F61ED" w:rsidRPr="001A54D7" w:rsidRDefault="001F61ED">
      <w:pPr>
        <w:pStyle w:val="FootnoteText"/>
        <w:rPr>
          <w:lang w:val="fr-FR"/>
        </w:rPr>
      </w:pPr>
      <w:r w:rsidRPr="00926F01">
        <w:rPr>
          <w:rStyle w:val="FootnoteReference"/>
          <w:lang w:val="fr-FR"/>
        </w:rPr>
        <w:footnoteRef/>
      </w:r>
      <w:r w:rsidRPr="00926F01">
        <w:rPr>
          <w:lang w:val="fr-FR"/>
        </w:rPr>
        <w:t xml:space="preserve"> </w:t>
      </w:r>
      <w:r w:rsidR="00D52B7A">
        <w:rPr>
          <w:lang w:val="fr-FR"/>
        </w:rPr>
        <w:tab/>
      </w:r>
      <w:r w:rsidRPr="001A54D7">
        <w:rPr>
          <w:lang w:val="fr-FR"/>
        </w:rPr>
        <w:t xml:space="preserve">Actes de la </w:t>
      </w:r>
      <w:r>
        <w:rPr>
          <w:lang w:val="fr-FR"/>
        </w:rPr>
        <w:t xml:space="preserve">Conférence de </w:t>
      </w:r>
      <w:r w:rsidRPr="001A54D7">
        <w:rPr>
          <w:lang w:val="fr-FR"/>
        </w:rPr>
        <w:t xml:space="preserve">Stockholm, 1967, </w:t>
      </w:r>
      <w:r w:rsidR="00A6149F" w:rsidRPr="001A54D7">
        <w:rPr>
          <w:lang w:val="fr-FR"/>
        </w:rPr>
        <w:t>p</w:t>
      </w:r>
      <w:r w:rsidR="00BD324C">
        <w:rPr>
          <w:lang w:val="fr-FR"/>
        </w:rPr>
        <w:t>.</w:t>
      </w:r>
      <w:r w:rsidR="00A6149F">
        <w:rPr>
          <w:lang w:val="fr-FR"/>
        </w:rPr>
        <w:t> </w:t>
      </w:r>
      <w:r w:rsidR="00A6149F" w:rsidRPr="001A54D7">
        <w:rPr>
          <w:lang w:val="fr-FR"/>
        </w:rPr>
        <w:t>9</w:t>
      </w:r>
      <w:r>
        <w:rPr>
          <w:lang w:val="fr-FR"/>
        </w:rPr>
        <w:t>35</w:t>
      </w:r>
      <w:r w:rsidR="0065603D">
        <w:rPr>
          <w:lang w:val="fr-FR"/>
        </w:rPr>
        <w:noBreakHyphen/>
      </w:r>
      <w:r w:rsidRPr="001A54D7">
        <w:rPr>
          <w:lang w:val="fr-FR"/>
        </w:rPr>
        <w:t>9</w:t>
      </w:r>
      <w:r>
        <w:rPr>
          <w:lang w:val="fr-FR"/>
        </w:rPr>
        <w:t>36</w:t>
      </w:r>
      <w:r w:rsidRPr="001A54D7">
        <w:rPr>
          <w:lang w:val="fr-FR"/>
        </w:rPr>
        <w:t>, par</w:t>
      </w:r>
      <w:proofErr w:type="gramStart"/>
      <w:r w:rsidRPr="001A54D7">
        <w:rPr>
          <w:lang w:val="fr-FR"/>
        </w:rPr>
        <w:t>.</w:t>
      </w:r>
      <w:r w:rsidR="00D07A5F">
        <w:rPr>
          <w:lang w:val="fr-FR"/>
        </w:rPr>
        <w:t> </w:t>
      </w:r>
      <w:proofErr w:type="gramEnd"/>
      <w:r w:rsidRPr="001A54D7">
        <w:rPr>
          <w:lang w:val="fr-FR"/>
        </w:rPr>
        <w:t xml:space="preserve">1565.1 et </w:t>
      </w:r>
      <w:r>
        <w:rPr>
          <w:lang w:val="fr-FR"/>
        </w:rPr>
        <w:t>suivants</w:t>
      </w:r>
      <w:r w:rsidRPr="001A54D7">
        <w:rPr>
          <w:lang w:val="fr-FR"/>
        </w:rPr>
        <w:t xml:space="preserve"> (</w:t>
      </w:r>
      <w:r>
        <w:rPr>
          <w:lang w:val="fr-FR"/>
        </w:rPr>
        <w:t>indiquant que la Commission principale a approuvé à l</w:t>
      </w:r>
      <w:r w:rsidR="00A6149F">
        <w:rPr>
          <w:lang w:val="fr-FR"/>
        </w:rPr>
        <w:t>’</w:t>
      </w:r>
      <w:r>
        <w:rPr>
          <w:lang w:val="fr-FR"/>
        </w:rPr>
        <w:t>unanimité le par. 1) du document S/248 qui souligne, en rapport, notamment, avec l</w:t>
      </w:r>
      <w:r w:rsidR="00A6149F">
        <w:rPr>
          <w:lang w:val="fr-FR"/>
        </w:rPr>
        <w:t>’</w:t>
      </w:r>
      <w:r>
        <w:rPr>
          <w:lang w:val="fr-FR"/>
        </w:rPr>
        <w:t>article 10.1) et 2), qu</w:t>
      </w:r>
      <w:r w:rsidR="00A6149F">
        <w:rPr>
          <w:lang w:val="fr-FR"/>
        </w:rPr>
        <w:t>’</w:t>
      </w:r>
      <w:r w:rsidRPr="001A54D7">
        <w:rPr>
          <w:lang w:val="fr-FR"/>
        </w:rPr>
        <w:t>i</w:t>
      </w:r>
      <w:r>
        <w:rPr>
          <w:lang w:val="fr-FR"/>
        </w:rPr>
        <w:t>l ne fait guère de dou</w:t>
      </w:r>
      <w:r w:rsidRPr="001A54D7">
        <w:rPr>
          <w:lang w:val="fr-FR"/>
        </w:rPr>
        <w:t>t</w:t>
      </w:r>
      <w:r>
        <w:rPr>
          <w:lang w:val="fr-FR"/>
        </w:rPr>
        <w:t>e que les</w:t>
      </w:r>
      <w:r w:rsidRPr="001A54D7">
        <w:rPr>
          <w:lang w:val="fr-FR"/>
        </w:rPr>
        <w:t xml:space="preserve"> exceptions introdu</w:t>
      </w:r>
      <w:r>
        <w:rPr>
          <w:lang w:val="fr-FR"/>
        </w:rPr>
        <w:t xml:space="preserve">ites dans les dispositions en matière de droit de </w:t>
      </w:r>
      <w:r w:rsidRPr="001A54D7">
        <w:rPr>
          <w:lang w:val="fr-FR"/>
        </w:rPr>
        <w:t xml:space="preserve">reproduction </w:t>
      </w:r>
      <w:r>
        <w:rPr>
          <w:lang w:val="fr-FR"/>
        </w:rPr>
        <w:t>doivent également s</w:t>
      </w:r>
      <w:r w:rsidR="00A6149F">
        <w:rPr>
          <w:lang w:val="fr-FR"/>
        </w:rPr>
        <w:t>’</w:t>
      </w:r>
      <w:r>
        <w:rPr>
          <w:lang w:val="fr-FR"/>
        </w:rPr>
        <w:t>appliquer au droit de traduction, c</w:t>
      </w:r>
      <w:r w:rsidR="00A6149F">
        <w:rPr>
          <w:lang w:val="fr-FR"/>
        </w:rPr>
        <w:t>’</w:t>
      </w:r>
      <w:r>
        <w:rPr>
          <w:lang w:val="fr-FR"/>
        </w:rPr>
        <w:t>est</w:t>
      </w:r>
      <w:r w:rsidR="0065603D">
        <w:rPr>
          <w:lang w:val="fr-FR"/>
        </w:rPr>
        <w:noBreakHyphen/>
      </w:r>
      <w:r>
        <w:rPr>
          <w:lang w:val="fr-FR"/>
        </w:rPr>
        <w:t>à</w:t>
      </w:r>
      <w:r w:rsidR="0065603D">
        <w:rPr>
          <w:lang w:val="fr-FR"/>
        </w:rPr>
        <w:noBreakHyphen/>
      </w:r>
      <w:r>
        <w:rPr>
          <w:lang w:val="fr-FR"/>
        </w:rPr>
        <w:t>dire qu</w:t>
      </w:r>
      <w:r w:rsidR="00A6149F">
        <w:rPr>
          <w:lang w:val="fr-FR"/>
        </w:rPr>
        <w:t>’</w:t>
      </w:r>
      <w:r>
        <w:rPr>
          <w:lang w:val="fr-FR"/>
        </w:rPr>
        <w:t>elles doivent également s</w:t>
      </w:r>
      <w:r w:rsidR="00A6149F">
        <w:rPr>
          <w:lang w:val="fr-FR"/>
        </w:rPr>
        <w:t>’</w:t>
      </w:r>
      <w:r>
        <w:rPr>
          <w:lang w:val="fr-FR"/>
        </w:rPr>
        <w:t>appliquer à la version traduite de l</w:t>
      </w:r>
      <w:r w:rsidR="00A6149F">
        <w:rPr>
          <w:lang w:val="fr-FR"/>
        </w:rPr>
        <w:t>’</w:t>
      </w:r>
      <w:r>
        <w:rPr>
          <w:lang w:val="fr-FR"/>
        </w:rPr>
        <w:t>œuvre)</w:t>
      </w:r>
      <w:r w:rsidRPr="001A54D7">
        <w:rPr>
          <w:lang w:val="fr-FR"/>
        </w:rPr>
        <w:t>.</w:t>
      </w:r>
    </w:p>
  </w:footnote>
  <w:footnote w:id="4">
    <w:p w14:paraId="49B29553" w14:textId="11516D79" w:rsidR="001F61ED" w:rsidRPr="001A54D7" w:rsidRDefault="001F61ED" w:rsidP="00FA78C8">
      <w:pPr>
        <w:pStyle w:val="FootnoteText"/>
        <w:rPr>
          <w:lang w:val="fr-FR"/>
        </w:rPr>
      </w:pPr>
      <w:r w:rsidRPr="001A54D7">
        <w:rPr>
          <w:rStyle w:val="FootnoteReference"/>
          <w:lang w:val="fr-FR"/>
        </w:rPr>
        <w:footnoteRef/>
      </w:r>
      <w:r w:rsidRPr="001A54D7">
        <w:rPr>
          <w:lang w:val="fr-FR"/>
        </w:rPr>
        <w:t xml:space="preserve"> </w:t>
      </w:r>
      <w:r w:rsidR="00D52B7A">
        <w:rPr>
          <w:lang w:val="fr-FR"/>
        </w:rPr>
        <w:tab/>
      </w:r>
      <w:r w:rsidRPr="00A0416B">
        <w:rPr>
          <w:lang w:val="fr-FR"/>
        </w:rPr>
        <w:t>Actes de la Conférence de Stockholm, 1967,</w:t>
      </w:r>
      <w:r w:rsidRPr="001A54D7">
        <w:rPr>
          <w:lang w:val="fr-FR"/>
        </w:rPr>
        <w:t xml:space="preserve"> </w:t>
      </w:r>
      <w:r w:rsidR="00A6149F" w:rsidRPr="001A54D7">
        <w:rPr>
          <w:lang w:val="fr-FR"/>
        </w:rPr>
        <w:t>p</w:t>
      </w:r>
      <w:r w:rsidR="00BD324C">
        <w:rPr>
          <w:lang w:val="fr-FR"/>
        </w:rPr>
        <w:t>.</w:t>
      </w:r>
      <w:r w:rsidR="00A6149F">
        <w:rPr>
          <w:lang w:val="fr-FR"/>
        </w:rPr>
        <w:t> 9</w:t>
      </w:r>
      <w:r>
        <w:rPr>
          <w:lang w:val="fr-FR"/>
        </w:rPr>
        <w:t>35</w:t>
      </w:r>
      <w:r w:rsidR="0065603D">
        <w:rPr>
          <w:lang w:val="fr-FR"/>
        </w:rPr>
        <w:noBreakHyphen/>
      </w:r>
      <w:r>
        <w:rPr>
          <w:lang w:val="fr-FR"/>
        </w:rPr>
        <w:t>936</w:t>
      </w:r>
      <w:r w:rsidRPr="001A54D7">
        <w:rPr>
          <w:lang w:val="fr-FR"/>
        </w:rPr>
        <w:t>, par</w:t>
      </w:r>
      <w:proofErr w:type="gramStart"/>
      <w:r>
        <w:rPr>
          <w:lang w:val="fr-FR"/>
        </w:rPr>
        <w:t>.</w:t>
      </w:r>
      <w:r w:rsidR="004A290E">
        <w:rPr>
          <w:lang w:val="fr-FR"/>
        </w:rPr>
        <w:t> </w:t>
      </w:r>
      <w:proofErr w:type="gramEnd"/>
      <w:r w:rsidRPr="001A54D7">
        <w:rPr>
          <w:lang w:val="fr-FR"/>
        </w:rPr>
        <w:t>1570</w:t>
      </w:r>
      <w:r w:rsidR="0065603D">
        <w:rPr>
          <w:lang w:val="fr-FR"/>
        </w:rPr>
        <w:noBreakHyphen/>
      </w:r>
      <w:r w:rsidRPr="001A54D7">
        <w:rPr>
          <w:lang w:val="fr-FR"/>
        </w:rPr>
        <w:t>1581,</w:t>
      </w:r>
      <w:r w:rsidR="00BD324C">
        <w:rPr>
          <w:lang w:val="fr-FR"/>
        </w:rPr>
        <w:t xml:space="preserve"> p. </w:t>
      </w:r>
      <w:r w:rsidRPr="001A54D7">
        <w:rPr>
          <w:lang w:val="fr-FR"/>
        </w:rPr>
        <w:t>9</w:t>
      </w:r>
      <w:r>
        <w:rPr>
          <w:lang w:val="fr-FR"/>
        </w:rPr>
        <w:t>40</w:t>
      </w:r>
      <w:r w:rsidRPr="001A54D7">
        <w:rPr>
          <w:lang w:val="fr-FR"/>
        </w:rPr>
        <w:t>, par</w:t>
      </w:r>
      <w:proofErr w:type="gramStart"/>
      <w:r w:rsidRPr="001A54D7">
        <w:rPr>
          <w:lang w:val="fr-FR"/>
        </w:rPr>
        <w:t>.</w:t>
      </w:r>
      <w:r w:rsidR="004A290E">
        <w:rPr>
          <w:lang w:val="fr-FR"/>
        </w:rPr>
        <w:t> </w:t>
      </w:r>
      <w:proofErr w:type="gramEnd"/>
      <w:r w:rsidRPr="001A54D7">
        <w:rPr>
          <w:lang w:val="fr-FR"/>
        </w:rPr>
        <w:t>1652.2, p.</w:t>
      </w:r>
      <w:r w:rsidR="0031003D" w:rsidRPr="0031003D">
        <w:rPr>
          <w:lang w:val="fr-FR"/>
        </w:rPr>
        <w:t> </w:t>
      </w:r>
      <w:r w:rsidRPr="001A54D7">
        <w:rPr>
          <w:lang w:val="fr-FR"/>
        </w:rPr>
        <w:t>9</w:t>
      </w:r>
      <w:r>
        <w:rPr>
          <w:lang w:val="fr-FR"/>
        </w:rPr>
        <w:t>40</w:t>
      </w:r>
      <w:r w:rsidRPr="001A54D7">
        <w:rPr>
          <w:lang w:val="fr-FR"/>
        </w:rPr>
        <w:t>, par</w:t>
      </w:r>
      <w:proofErr w:type="gramStart"/>
      <w:r w:rsidRPr="001A54D7">
        <w:rPr>
          <w:lang w:val="fr-FR"/>
        </w:rPr>
        <w:t>.</w:t>
      </w:r>
      <w:r w:rsidR="004A290E">
        <w:rPr>
          <w:lang w:val="fr-FR"/>
        </w:rPr>
        <w:t> </w:t>
      </w:r>
      <w:proofErr w:type="gramEnd"/>
      <w:r w:rsidRPr="001A54D7">
        <w:rPr>
          <w:lang w:val="fr-FR"/>
        </w:rPr>
        <w:t>1662 (</w:t>
      </w:r>
      <w:r>
        <w:rPr>
          <w:lang w:val="fr-FR"/>
        </w:rPr>
        <w:t>indiquant que la Commission principale a approuvé l</w:t>
      </w:r>
      <w:r w:rsidR="00A6149F">
        <w:rPr>
          <w:lang w:val="fr-FR"/>
        </w:rPr>
        <w:t>’</w:t>
      </w:r>
      <w:r>
        <w:rPr>
          <w:lang w:val="fr-FR"/>
        </w:rPr>
        <w:t>addendum au document</w:t>
      </w:r>
      <w:r w:rsidR="00563294">
        <w:rPr>
          <w:lang w:val="fr-FR"/>
        </w:rPr>
        <w:t xml:space="preserve">  </w:t>
      </w:r>
      <w:r w:rsidRPr="001A54D7">
        <w:rPr>
          <w:lang w:val="fr-FR"/>
        </w:rPr>
        <w:t xml:space="preserve">S/269, </w:t>
      </w:r>
      <w:r>
        <w:rPr>
          <w:lang w:val="fr-FR"/>
        </w:rPr>
        <w:t>avec</w:t>
      </w:r>
      <w:r w:rsidRPr="001A54D7">
        <w:rPr>
          <w:lang w:val="fr-FR"/>
        </w:rPr>
        <w:t xml:space="preserve"> 2</w:t>
      </w:r>
      <w:r w:rsidR="00563294">
        <w:rPr>
          <w:lang w:val="fr-FR"/>
        </w:rPr>
        <w:t xml:space="preserve">  </w:t>
      </w:r>
      <w:r w:rsidRPr="001A54D7">
        <w:rPr>
          <w:lang w:val="fr-FR"/>
        </w:rPr>
        <w:t>absten</w:t>
      </w:r>
      <w:r>
        <w:rPr>
          <w:lang w:val="fr-FR"/>
        </w:rPr>
        <w:t>t</w:t>
      </w:r>
      <w:r w:rsidRPr="001A54D7">
        <w:rPr>
          <w:lang w:val="fr-FR"/>
        </w:rPr>
        <w:t>ions).</w:t>
      </w:r>
    </w:p>
  </w:footnote>
  <w:footnote w:id="5">
    <w:p w14:paraId="3C316B1D" w14:textId="19E48BEF" w:rsidR="001F61ED" w:rsidRPr="00926F01" w:rsidRDefault="001F61ED">
      <w:pPr>
        <w:pStyle w:val="FootnoteText"/>
        <w:rPr>
          <w:lang w:val="fr-FR"/>
        </w:rPr>
      </w:pPr>
      <w:r w:rsidRPr="001A54D7">
        <w:rPr>
          <w:rStyle w:val="FootnoteReference"/>
          <w:lang w:val="fr-FR"/>
        </w:rPr>
        <w:footnoteRef/>
      </w:r>
      <w:r w:rsidRPr="001A54D7">
        <w:rPr>
          <w:lang w:val="fr-FR"/>
        </w:rPr>
        <w:t xml:space="preserve"> </w:t>
      </w:r>
      <w:r w:rsidR="00D52B7A">
        <w:rPr>
          <w:lang w:val="fr-FR"/>
        </w:rPr>
        <w:tab/>
      </w:r>
      <w:r w:rsidRPr="00BE7D1A">
        <w:rPr>
          <w:lang w:val="fr-FR"/>
        </w:rPr>
        <w:t xml:space="preserve">Actes de la Conférence de Stockholm, 1967, </w:t>
      </w:r>
      <w:r w:rsidR="00A6149F" w:rsidRPr="001A54D7">
        <w:rPr>
          <w:lang w:val="fr-FR"/>
        </w:rPr>
        <w:t>p</w:t>
      </w:r>
      <w:r w:rsidR="00BD324C">
        <w:rPr>
          <w:lang w:val="fr-FR"/>
        </w:rPr>
        <w:t>.</w:t>
      </w:r>
      <w:r w:rsidR="00A6149F">
        <w:rPr>
          <w:lang w:val="fr-FR"/>
        </w:rPr>
        <w:t> </w:t>
      </w:r>
      <w:r w:rsidR="00A6149F" w:rsidRPr="001A54D7">
        <w:rPr>
          <w:lang w:val="fr-FR"/>
        </w:rPr>
        <w:t>9</w:t>
      </w:r>
      <w:r>
        <w:rPr>
          <w:lang w:val="fr-FR"/>
        </w:rPr>
        <w:t>40</w:t>
      </w:r>
      <w:r w:rsidRPr="001A54D7">
        <w:rPr>
          <w:lang w:val="fr-FR"/>
        </w:rPr>
        <w:t>, par</w:t>
      </w:r>
      <w:proofErr w:type="gramStart"/>
      <w:r w:rsidRPr="001A54D7">
        <w:rPr>
          <w:lang w:val="fr-FR"/>
        </w:rPr>
        <w:t>.</w:t>
      </w:r>
      <w:r w:rsidR="004A290E">
        <w:rPr>
          <w:lang w:val="fr-FR"/>
        </w:rPr>
        <w:t> </w:t>
      </w:r>
      <w:proofErr w:type="gramEnd"/>
      <w:r w:rsidRPr="001A54D7">
        <w:rPr>
          <w:lang w:val="fr-FR"/>
        </w:rPr>
        <w:t>1652.2, 1653.1, 1655.</w:t>
      </w:r>
    </w:p>
  </w:footnote>
  <w:footnote w:id="6">
    <w:p w14:paraId="158F1151" w14:textId="48D282BE" w:rsidR="001F61ED" w:rsidRPr="00926F01" w:rsidRDefault="001F61ED" w:rsidP="00746E45">
      <w:pPr>
        <w:pStyle w:val="FootnoteText"/>
        <w:rPr>
          <w:lang w:val="fr-FR"/>
        </w:rPr>
      </w:pPr>
      <w:r w:rsidRPr="00926F01">
        <w:rPr>
          <w:rStyle w:val="FootnoteReference"/>
          <w:lang w:val="fr-FR"/>
        </w:rPr>
        <w:footnoteRef/>
      </w:r>
      <w:r w:rsidRPr="00926F01">
        <w:rPr>
          <w:lang w:val="fr-FR"/>
        </w:rPr>
        <w:t xml:space="preserve"> </w:t>
      </w:r>
      <w:r w:rsidR="00D52B7A">
        <w:rPr>
          <w:lang w:val="fr-FR"/>
        </w:rPr>
        <w:tab/>
      </w:r>
      <w:r>
        <w:rPr>
          <w:lang w:val="fr-FR"/>
        </w:rPr>
        <w:t>Un exemple de l</w:t>
      </w:r>
      <w:r w:rsidRPr="00926F01">
        <w:rPr>
          <w:lang w:val="fr-FR"/>
        </w:rPr>
        <w:t>imitation</w:t>
      </w:r>
      <w:r>
        <w:rPr>
          <w:lang w:val="fr-FR"/>
        </w:rPr>
        <w:t xml:space="preserve"> ou d</w:t>
      </w:r>
      <w:r w:rsidR="00A6149F">
        <w:rPr>
          <w:lang w:val="fr-FR"/>
        </w:rPr>
        <w:t>’</w:t>
      </w:r>
      <w:r>
        <w:rPr>
          <w:lang w:val="fr-FR"/>
        </w:rPr>
        <w:t>exception à des fins d</w:t>
      </w:r>
      <w:r w:rsidR="00A6149F">
        <w:rPr>
          <w:lang w:val="fr-FR"/>
        </w:rPr>
        <w:t>’</w:t>
      </w:r>
      <w:r>
        <w:rPr>
          <w:lang w:val="fr-FR"/>
        </w:rPr>
        <w:t>activités pédagogiques particulières est constitué par les dispositions qui exonèrent les établissements d</w:t>
      </w:r>
      <w:r w:rsidR="00A6149F">
        <w:rPr>
          <w:lang w:val="fr-FR"/>
        </w:rPr>
        <w:t>’</w:t>
      </w:r>
      <w:r>
        <w:rPr>
          <w:lang w:val="fr-FR"/>
        </w:rPr>
        <w:t>enseignement de toute responsabilité en cas de contournement des mesures techniques de protection ou de suppression de l</w:t>
      </w:r>
      <w:r w:rsidR="00A6149F">
        <w:rPr>
          <w:lang w:val="fr-FR"/>
        </w:rPr>
        <w:t>’</w:t>
      </w:r>
      <w:r>
        <w:rPr>
          <w:lang w:val="fr-FR"/>
        </w:rPr>
        <w:t>information sur le régime des droits dans le cadre de leurs activités pédagogiques</w:t>
      </w:r>
      <w:r w:rsidRPr="00926F01">
        <w:rPr>
          <w:lang w:val="fr-FR"/>
        </w:rPr>
        <w:t>.</w:t>
      </w:r>
    </w:p>
  </w:footnote>
  <w:footnote w:id="7">
    <w:p w14:paraId="215776BD" w14:textId="4EEE81B3" w:rsidR="001F61ED" w:rsidRPr="00926F01" w:rsidRDefault="001F61ED" w:rsidP="00746E45">
      <w:pPr>
        <w:pStyle w:val="FootnoteText"/>
        <w:rPr>
          <w:lang w:val="fr-FR"/>
        </w:rPr>
      </w:pPr>
      <w:r w:rsidRPr="00926F01">
        <w:rPr>
          <w:rStyle w:val="FootnoteReference"/>
          <w:lang w:val="fr-FR"/>
        </w:rPr>
        <w:footnoteRef/>
      </w:r>
      <w:r w:rsidRPr="00926F01">
        <w:rPr>
          <w:lang w:val="fr-FR"/>
        </w:rPr>
        <w:t xml:space="preserve"> </w:t>
      </w:r>
      <w:r w:rsidR="00D52B7A">
        <w:rPr>
          <w:lang w:val="fr-FR"/>
        </w:rPr>
        <w:tab/>
      </w:r>
      <w:r>
        <w:rPr>
          <w:lang w:val="fr-FR"/>
        </w:rPr>
        <w:t xml:space="preserve">Article 15 de la </w:t>
      </w:r>
      <w:r w:rsidRPr="00926F01">
        <w:rPr>
          <w:lang w:val="fr-FR"/>
        </w:rPr>
        <w:t>Directive</w:t>
      </w:r>
      <w:r w:rsidR="00563294">
        <w:rPr>
          <w:lang w:val="fr-FR"/>
        </w:rPr>
        <w:t> 9</w:t>
      </w:r>
      <w:r w:rsidRPr="00926F01">
        <w:rPr>
          <w:lang w:val="fr-FR"/>
        </w:rPr>
        <w:t>6/9/C</w:t>
      </w:r>
      <w:r>
        <w:rPr>
          <w:lang w:val="fr-FR"/>
        </w:rPr>
        <w:t>E</w:t>
      </w:r>
      <w:r w:rsidRPr="00926F01">
        <w:rPr>
          <w:lang w:val="fr-FR"/>
        </w:rPr>
        <w:t xml:space="preserve"> </w:t>
      </w:r>
      <w:r>
        <w:rPr>
          <w:lang w:val="fr-FR"/>
        </w:rPr>
        <w:t xml:space="preserve">du Parlement européen et du Conseil du 11 mars 1996 concernant la protection juridique des bases de données.  </w:t>
      </w:r>
    </w:p>
  </w:footnote>
  <w:footnote w:id="8">
    <w:p w14:paraId="3372F4C5" w14:textId="2EF27F3A" w:rsidR="001F61ED" w:rsidRPr="00926F01" w:rsidRDefault="001F61ED" w:rsidP="00746E45">
      <w:pPr>
        <w:pStyle w:val="FootnoteText"/>
        <w:rPr>
          <w:lang w:val="fr-FR"/>
        </w:rPr>
      </w:pPr>
      <w:r w:rsidRPr="00926F01">
        <w:rPr>
          <w:rStyle w:val="FootnoteReference"/>
          <w:lang w:val="fr-FR"/>
        </w:rPr>
        <w:footnoteRef/>
      </w:r>
      <w:r w:rsidRPr="00926F01">
        <w:rPr>
          <w:lang w:val="fr-FR"/>
        </w:rPr>
        <w:t xml:space="preserve"> </w:t>
      </w:r>
      <w:r w:rsidR="00D52B7A">
        <w:rPr>
          <w:lang w:val="fr-FR"/>
        </w:rPr>
        <w:tab/>
      </w:r>
      <w:r>
        <w:rPr>
          <w:lang w:val="fr-FR"/>
        </w:rPr>
        <w:t xml:space="preserve">Article 8.2) de la </w:t>
      </w:r>
      <w:r w:rsidRPr="00926F01">
        <w:rPr>
          <w:lang w:val="fr-FR"/>
        </w:rPr>
        <w:t>Directive</w:t>
      </w:r>
      <w:r w:rsidR="00563294">
        <w:rPr>
          <w:lang w:val="fr-FR"/>
        </w:rPr>
        <w:t> 2</w:t>
      </w:r>
      <w:r w:rsidRPr="00926F01">
        <w:rPr>
          <w:lang w:val="fr-FR"/>
        </w:rPr>
        <w:t>009/24/C</w:t>
      </w:r>
      <w:r>
        <w:rPr>
          <w:lang w:val="fr-FR"/>
        </w:rPr>
        <w:t>E</w:t>
      </w:r>
      <w:r w:rsidRPr="00926F01">
        <w:rPr>
          <w:lang w:val="fr-FR"/>
        </w:rPr>
        <w:t xml:space="preserve"> </w:t>
      </w:r>
      <w:r w:rsidRPr="009D795E">
        <w:rPr>
          <w:lang w:val="fr-FR"/>
        </w:rPr>
        <w:t xml:space="preserve">du Parlement européen et du Conseil du </w:t>
      </w:r>
      <w:r w:rsidRPr="00926F01">
        <w:rPr>
          <w:lang w:val="fr-FR"/>
        </w:rPr>
        <w:t>23</w:t>
      </w:r>
      <w:r>
        <w:rPr>
          <w:lang w:val="fr-FR"/>
        </w:rPr>
        <w:t> avril </w:t>
      </w:r>
      <w:r w:rsidRPr="00926F01">
        <w:rPr>
          <w:lang w:val="fr-FR"/>
        </w:rPr>
        <w:t xml:space="preserve">2009 </w:t>
      </w:r>
      <w:r w:rsidRPr="009D795E">
        <w:rPr>
          <w:lang w:val="fr-FR"/>
        </w:rPr>
        <w:t xml:space="preserve">concernant la protection juridique des </w:t>
      </w:r>
      <w:r>
        <w:rPr>
          <w:lang w:val="fr-FR"/>
        </w:rPr>
        <w:t>programmes d</w:t>
      </w:r>
      <w:r w:rsidR="00A6149F">
        <w:rPr>
          <w:lang w:val="fr-FR"/>
        </w:rPr>
        <w:t>’</w:t>
      </w:r>
      <w:r>
        <w:rPr>
          <w:lang w:val="fr-FR"/>
        </w:rPr>
        <w:t>ordinateur</w:t>
      </w:r>
      <w:r w:rsidRPr="00926F01">
        <w:rPr>
          <w:lang w:val="fr-FR"/>
        </w:rPr>
        <w:t>.</w:t>
      </w:r>
    </w:p>
  </w:footnote>
  <w:footnote w:id="9">
    <w:p w14:paraId="3B83E49E" w14:textId="54F57D6D" w:rsidR="001F61ED" w:rsidRPr="00926F01" w:rsidRDefault="001F61ED" w:rsidP="00746E45">
      <w:pPr>
        <w:pStyle w:val="FootnoteText"/>
        <w:rPr>
          <w:lang w:val="fr-FR"/>
        </w:rPr>
      </w:pPr>
      <w:r w:rsidRPr="00926F01">
        <w:rPr>
          <w:rStyle w:val="FootnoteReference"/>
          <w:lang w:val="fr-FR"/>
        </w:rPr>
        <w:footnoteRef/>
      </w:r>
      <w:r w:rsidRPr="00926F01">
        <w:rPr>
          <w:lang w:val="fr-FR"/>
        </w:rPr>
        <w:t xml:space="preserve"> </w:t>
      </w:r>
      <w:r w:rsidR="00D52B7A">
        <w:rPr>
          <w:lang w:val="fr-FR"/>
        </w:rPr>
        <w:tab/>
      </w:r>
      <w:r>
        <w:rPr>
          <w:lang w:val="fr-FR"/>
        </w:rPr>
        <w:t>Article 8 du Traité de l</w:t>
      </w:r>
      <w:r w:rsidR="00A6149F">
        <w:rPr>
          <w:lang w:val="fr-FR"/>
        </w:rPr>
        <w:t>’</w:t>
      </w:r>
      <w:r>
        <w:rPr>
          <w:lang w:val="fr-FR"/>
        </w:rPr>
        <w:t>OMPI sur le droit d</w:t>
      </w:r>
      <w:r w:rsidR="00A6149F">
        <w:rPr>
          <w:lang w:val="fr-FR"/>
        </w:rPr>
        <w:t>’</w:t>
      </w:r>
      <w:r>
        <w:rPr>
          <w:lang w:val="fr-FR"/>
        </w:rPr>
        <w:t xml:space="preserve">auteur </w:t>
      </w:r>
      <w:r w:rsidRPr="00926F01">
        <w:rPr>
          <w:lang w:val="fr-FR"/>
        </w:rPr>
        <w:t>(</w:t>
      </w:r>
      <w:r>
        <w:rPr>
          <w:lang w:val="fr-FR"/>
        </w:rPr>
        <w:t xml:space="preserve">qui définit le </w:t>
      </w:r>
      <w:r w:rsidR="00A6149F">
        <w:rPr>
          <w:lang w:val="fr-FR"/>
        </w:rPr>
        <w:t>“d</w:t>
      </w:r>
      <w:r>
        <w:rPr>
          <w:lang w:val="fr-FR"/>
        </w:rPr>
        <w:t xml:space="preserve">roit de </w:t>
      </w:r>
      <w:r w:rsidRPr="00926F01">
        <w:rPr>
          <w:lang w:val="fr-FR"/>
        </w:rPr>
        <w:t xml:space="preserve">communication </w:t>
      </w:r>
      <w:r>
        <w:rPr>
          <w:lang w:val="fr-FR"/>
        </w:rPr>
        <w:t xml:space="preserve">au </w:t>
      </w:r>
      <w:r w:rsidRPr="00926F01">
        <w:rPr>
          <w:lang w:val="fr-FR"/>
        </w:rPr>
        <w:t>publi</w:t>
      </w:r>
      <w:r w:rsidR="00A6149F" w:rsidRPr="00926F01">
        <w:rPr>
          <w:lang w:val="fr-FR"/>
        </w:rPr>
        <w:t>c</w:t>
      </w:r>
      <w:r w:rsidR="00A6149F">
        <w:rPr>
          <w:lang w:val="fr-FR"/>
        </w:rPr>
        <w:t>”</w:t>
      </w:r>
      <w:r w:rsidRPr="00926F01">
        <w:rPr>
          <w:lang w:val="fr-FR"/>
        </w:rPr>
        <w:t xml:space="preserve"> </w:t>
      </w:r>
      <w:r>
        <w:rPr>
          <w:lang w:val="fr-FR"/>
        </w:rPr>
        <w:t xml:space="preserve">comme comprenant </w:t>
      </w:r>
      <w:r w:rsidR="00A6149F">
        <w:rPr>
          <w:lang w:val="fr-FR"/>
        </w:rPr>
        <w:t>“</w:t>
      </w:r>
      <w:r w:rsidR="00A6149F" w:rsidRPr="00A65C2B">
        <w:rPr>
          <w:lang w:val="fr-FR"/>
        </w:rPr>
        <w:t>l</w:t>
      </w:r>
      <w:r w:rsidRPr="00A65C2B">
        <w:rPr>
          <w:lang w:val="fr-FR"/>
        </w:rPr>
        <w:t>a mise à la disposition du public de leurs œuvres de manière que chacun puisse y avoir accès de l</w:t>
      </w:r>
      <w:r w:rsidR="00A6149F">
        <w:rPr>
          <w:lang w:val="fr-FR"/>
        </w:rPr>
        <w:t>’</w:t>
      </w:r>
      <w:r w:rsidRPr="00A65C2B">
        <w:rPr>
          <w:lang w:val="fr-FR"/>
        </w:rPr>
        <w:t>endroit et au moment qu</w:t>
      </w:r>
      <w:r w:rsidR="00A6149F">
        <w:rPr>
          <w:lang w:val="fr-FR"/>
        </w:rPr>
        <w:t>’</w:t>
      </w:r>
      <w:r w:rsidRPr="00A65C2B">
        <w:rPr>
          <w:lang w:val="fr-FR"/>
        </w:rPr>
        <w:t>il choisit de manière individualisé</w:t>
      </w:r>
      <w:r w:rsidR="00A6149F" w:rsidRPr="00A65C2B">
        <w:rPr>
          <w:lang w:val="fr-FR"/>
        </w:rPr>
        <w:t>e</w:t>
      </w:r>
      <w:r w:rsidR="00A6149F">
        <w:rPr>
          <w:lang w:val="fr-FR"/>
        </w:rPr>
        <w:t>”</w:t>
      </w:r>
      <w:r w:rsidRPr="00926F01">
        <w:rPr>
          <w:lang w:val="fr-FR"/>
        </w:rPr>
        <w:t xml:space="preserve">). </w:t>
      </w:r>
      <w:r w:rsidR="00D52B7A">
        <w:rPr>
          <w:lang w:val="fr-FR"/>
        </w:rPr>
        <w:t xml:space="preserve"> Voir aussi les articles 6 et </w:t>
      </w:r>
      <w:r>
        <w:rPr>
          <w:lang w:val="fr-FR"/>
        </w:rPr>
        <w:t>7 des Déclarations communes concernant le Traité de l</w:t>
      </w:r>
      <w:r w:rsidR="00A6149F">
        <w:rPr>
          <w:lang w:val="fr-FR"/>
        </w:rPr>
        <w:t>’</w:t>
      </w:r>
      <w:r>
        <w:rPr>
          <w:lang w:val="fr-FR"/>
        </w:rPr>
        <w:t>OMPI sur le droit d</w:t>
      </w:r>
      <w:r w:rsidR="00A6149F">
        <w:rPr>
          <w:lang w:val="fr-FR"/>
        </w:rPr>
        <w:t>’</w:t>
      </w:r>
      <w:r>
        <w:rPr>
          <w:lang w:val="fr-FR"/>
        </w:rPr>
        <w:t xml:space="preserve">auteur </w:t>
      </w:r>
      <w:r w:rsidRPr="00926F01">
        <w:rPr>
          <w:lang w:val="fr-FR"/>
        </w:rPr>
        <w:t>(</w:t>
      </w:r>
      <w:r>
        <w:rPr>
          <w:lang w:val="fr-FR"/>
        </w:rPr>
        <w:t xml:space="preserve">qui disposent que le droit de </w:t>
      </w:r>
      <w:r w:rsidRPr="00926F01">
        <w:rPr>
          <w:lang w:val="fr-FR"/>
        </w:rPr>
        <w:t xml:space="preserve">distribution </w:t>
      </w:r>
      <w:r>
        <w:rPr>
          <w:lang w:val="fr-FR"/>
        </w:rPr>
        <w:t xml:space="preserve">fait exclusivement référence aux </w:t>
      </w:r>
      <w:r w:rsidRPr="00A65C2B">
        <w:rPr>
          <w:lang w:val="fr-FR"/>
        </w:rPr>
        <w:t>exemplaires fixés qui peuvent être mis en circulation en tant qu</w:t>
      </w:r>
      <w:r w:rsidR="00A6149F">
        <w:rPr>
          <w:lang w:val="fr-FR"/>
        </w:rPr>
        <w:t>’</w:t>
      </w:r>
      <w:r w:rsidRPr="00A65C2B">
        <w:rPr>
          <w:lang w:val="fr-FR"/>
        </w:rPr>
        <w:t>objets tangibles</w:t>
      </w:r>
      <w:r w:rsidRPr="00926F01">
        <w:rPr>
          <w:lang w:val="fr-FR"/>
        </w:rPr>
        <w:t xml:space="preserve">). </w:t>
      </w:r>
      <w:r w:rsidR="00D52B7A">
        <w:rPr>
          <w:lang w:val="fr-FR"/>
        </w:rPr>
        <w:t xml:space="preserve"> Voir les articles 10 et </w:t>
      </w:r>
      <w:r>
        <w:rPr>
          <w:lang w:val="fr-FR"/>
        </w:rPr>
        <w:t>14 du Traité de l</w:t>
      </w:r>
      <w:r w:rsidR="00A6149F">
        <w:rPr>
          <w:lang w:val="fr-FR"/>
        </w:rPr>
        <w:t>’</w:t>
      </w:r>
      <w:r>
        <w:rPr>
          <w:lang w:val="fr-FR"/>
        </w:rPr>
        <w:t>OMPI sur les interprétations et exécutions et les phonogrammes</w:t>
      </w:r>
      <w:r w:rsidRPr="00926F01">
        <w:rPr>
          <w:lang w:val="fr-FR"/>
        </w:rPr>
        <w:t>.</w:t>
      </w:r>
    </w:p>
  </w:footnote>
  <w:footnote w:id="10">
    <w:p w14:paraId="0D57A2CE" w14:textId="68D9A1F3" w:rsidR="001F61ED" w:rsidRPr="00926F01" w:rsidRDefault="001F61ED">
      <w:pPr>
        <w:pStyle w:val="FootnoteText"/>
        <w:rPr>
          <w:lang w:val="fr-FR"/>
        </w:rPr>
      </w:pPr>
      <w:r w:rsidRPr="00926F01">
        <w:rPr>
          <w:rStyle w:val="FootnoteReference"/>
          <w:lang w:val="fr-FR"/>
        </w:rPr>
        <w:footnoteRef/>
      </w:r>
      <w:r w:rsidRPr="00926F01">
        <w:rPr>
          <w:lang w:val="fr-FR"/>
        </w:rPr>
        <w:t xml:space="preserve"> </w:t>
      </w:r>
      <w:r w:rsidR="00D52B7A">
        <w:rPr>
          <w:lang w:val="fr-FR"/>
        </w:rPr>
        <w:tab/>
      </w:r>
      <w:r>
        <w:rPr>
          <w:lang w:val="fr-FR"/>
        </w:rPr>
        <w:t>Les autres dispositions, rédigées en termes généraux, ne s</w:t>
      </w:r>
      <w:r w:rsidR="00A6149F">
        <w:rPr>
          <w:lang w:val="fr-FR"/>
        </w:rPr>
        <w:t>’</w:t>
      </w:r>
      <w:r>
        <w:rPr>
          <w:lang w:val="fr-FR"/>
        </w:rPr>
        <w:t>appliquent pas particulièrement aux mesures techniques de protection ou à l</w:t>
      </w:r>
      <w:r w:rsidR="00A6149F">
        <w:rPr>
          <w:lang w:val="fr-FR"/>
        </w:rPr>
        <w:t>’</w:t>
      </w:r>
      <w:r>
        <w:rPr>
          <w:lang w:val="fr-FR"/>
        </w:rPr>
        <w:t>information sur le régime des droits, mais elles ont pour effet de permettre la réalisation de certains types d</w:t>
      </w:r>
      <w:r w:rsidR="00A6149F">
        <w:rPr>
          <w:lang w:val="fr-FR"/>
        </w:rPr>
        <w:t>’</w:t>
      </w:r>
      <w:r>
        <w:rPr>
          <w:lang w:val="fr-FR"/>
        </w:rPr>
        <w:t>activités telles que l</w:t>
      </w:r>
      <w:r w:rsidR="00A6149F">
        <w:rPr>
          <w:lang w:val="fr-FR"/>
        </w:rPr>
        <w:t>’</w:t>
      </w:r>
      <w:r>
        <w:rPr>
          <w:lang w:val="fr-FR"/>
        </w:rPr>
        <w:t>interopé</w:t>
      </w:r>
      <w:r w:rsidRPr="00926F01">
        <w:rPr>
          <w:lang w:val="fr-FR"/>
        </w:rPr>
        <w:t>rabilit</w:t>
      </w:r>
      <w:r>
        <w:rPr>
          <w:lang w:val="fr-FR"/>
        </w:rPr>
        <w:t>é</w:t>
      </w:r>
      <w:r w:rsidRPr="00926F01">
        <w:rPr>
          <w:lang w:val="fr-FR"/>
        </w:rPr>
        <w:t xml:space="preserve">, </w:t>
      </w:r>
      <w:r>
        <w:rPr>
          <w:lang w:val="fr-FR"/>
        </w:rPr>
        <w:t xml:space="preserve">le cryptage et la recherche en matière de </w:t>
      </w:r>
      <w:r w:rsidRPr="00926F01">
        <w:rPr>
          <w:lang w:val="fr-FR"/>
        </w:rPr>
        <w:t>s</w:t>
      </w:r>
      <w:r>
        <w:rPr>
          <w:lang w:val="fr-FR"/>
        </w:rPr>
        <w:t>é</w:t>
      </w:r>
      <w:r w:rsidRPr="00926F01">
        <w:rPr>
          <w:lang w:val="fr-FR"/>
        </w:rPr>
        <w:t>curit</w:t>
      </w:r>
      <w:r>
        <w:rPr>
          <w:lang w:val="fr-FR"/>
        </w:rPr>
        <w:t>é qui n</w:t>
      </w:r>
      <w:r w:rsidR="00A6149F">
        <w:rPr>
          <w:lang w:val="fr-FR"/>
        </w:rPr>
        <w:t>’</w:t>
      </w:r>
      <w:r>
        <w:rPr>
          <w:lang w:val="fr-FR"/>
        </w:rPr>
        <w:t>auraient pas été possibles si des mesures techniques de protection ou une information sur le régime des droits avaient été applicables à l</w:t>
      </w:r>
      <w:r w:rsidR="00A6149F">
        <w:rPr>
          <w:lang w:val="fr-FR"/>
        </w:rPr>
        <w:t>’</w:t>
      </w:r>
      <w:r>
        <w:rPr>
          <w:lang w:val="fr-FR"/>
        </w:rPr>
        <w:t xml:space="preserve">œuvre.  </w:t>
      </w:r>
    </w:p>
  </w:footnote>
  <w:footnote w:id="11">
    <w:p w14:paraId="2669A2C7" w14:textId="5ED9D3A1" w:rsidR="001F61ED" w:rsidRPr="00926F01" w:rsidRDefault="001F61ED">
      <w:pPr>
        <w:pStyle w:val="FootnoteText"/>
        <w:rPr>
          <w:lang w:val="fr-FR"/>
        </w:rPr>
      </w:pPr>
      <w:r w:rsidRPr="00926F01">
        <w:rPr>
          <w:rStyle w:val="FootnoteReference"/>
          <w:lang w:val="fr-FR"/>
        </w:rPr>
        <w:footnoteRef/>
      </w:r>
      <w:r w:rsidRPr="00926F01">
        <w:rPr>
          <w:lang w:val="fr-FR"/>
        </w:rPr>
        <w:t xml:space="preserve"> </w:t>
      </w:r>
      <w:r w:rsidR="0065603D">
        <w:rPr>
          <w:lang w:val="fr-FR"/>
        </w:rPr>
        <w:tab/>
      </w:r>
      <w:r>
        <w:rPr>
          <w:lang w:val="fr-FR"/>
        </w:rPr>
        <w:t>L</w:t>
      </w:r>
      <w:r w:rsidR="00A6149F">
        <w:rPr>
          <w:lang w:val="fr-FR"/>
        </w:rPr>
        <w:t>’</w:t>
      </w:r>
      <w:r>
        <w:rPr>
          <w:lang w:val="fr-FR"/>
        </w:rPr>
        <w:t xml:space="preserve">écart type est de </w:t>
      </w:r>
      <w:r w:rsidRPr="00926F01">
        <w:rPr>
          <w:lang w:val="fr-FR"/>
        </w:rPr>
        <w:t>1</w:t>
      </w:r>
      <w:r>
        <w:rPr>
          <w:lang w:val="fr-FR"/>
        </w:rPr>
        <w:t>,</w:t>
      </w:r>
      <w:r w:rsidRPr="00926F01">
        <w:rPr>
          <w:lang w:val="fr-FR"/>
        </w:rPr>
        <w:t>33</w:t>
      </w:r>
      <w:r>
        <w:rPr>
          <w:lang w:val="fr-FR"/>
        </w:rPr>
        <w:t xml:space="preserve"> et la médiane de </w:t>
      </w:r>
      <w:r w:rsidRPr="00926F01">
        <w:rPr>
          <w:lang w:val="fr-FR"/>
        </w:rPr>
        <w:t>0.</w:t>
      </w:r>
    </w:p>
  </w:footnote>
  <w:footnote w:id="12">
    <w:p w14:paraId="6238D715" w14:textId="6598BF12" w:rsidR="001F61ED" w:rsidRPr="00926F01" w:rsidRDefault="001F61ED">
      <w:pPr>
        <w:pStyle w:val="FootnoteText"/>
        <w:rPr>
          <w:lang w:val="fr-FR"/>
        </w:rPr>
      </w:pPr>
      <w:r w:rsidRPr="00926F01">
        <w:rPr>
          <w:rStyle w:val="FootnoteReference"/>
          <w:lang w:val="fr-FR"/>
        </w:rPr>
        <w:footnoteRef/>
      </w:r>
      <w:r w:rsidRPr="00926F01">
        <w:rPr>
          <w:lang w:val="fr-FR"/>
        </w:rPr>
        <w:t xml:space="preserve"> </w:t>
      </w:r>
      <w:r w:rsidR="0065603D">
        <w:rPr>
          <w:lang w:val="fr-FR"/>
        </w:rPr>
        <w:tab/>
      </w:r>
      <w:r>
        <w:rPr>
          <w:lang w:val="fr-FR"/>
        </w:rPr>
        <w:t>L</w:t>
      </w:r>
      <w:r w:rsidR="00A6149F">
        <w:rPr>
          <w:lang w:val="fr-FR"/>
        </w:rPr>
        <w:t>’</w:t>
      </w:r>
      <w:r>
        <w:rPr>
          <w:lang w:val="fr-FR"/>
        </w:rPr>
        <w:t xml:space="preserve">écart type est de </w:t>
      </w:r>
      <w:r w:rsidRPr="00926F01">
        <w:rPr>
          <w:lang w:val="fr-FR"/>
        </w:rPr>
        <w:t>1</w:t>
      </w:r>
      <w:r>
        <w:rPr>
          <w:lang w:val="fr-FR"/>
        </w:rPr>
        <w:t>,</w:t>
      </w:r>
      <w:r w:rsidRPr="00926F01">
        <w:rPr>
          <w:lang w:val="fr-FR"/>
        </w:rPr>
        <w:t>67</w:t>
      </w:r>
      <w:r>
        <w:rPr>
          <w:lang w:val="fr-FR"/>
        </w:rPr>
        <w:t xml:space="preserve"> et la médiane de </w:t>
      </w:r>
      <w:r w:rsidRPr="00926F01">
        <w:rPr>
          <w:lang w:val="fr-FR"/>
        </w:rPr>
        <w:t>1.</w:t>
      </w:r>
    </w:p>
  </w:footnote>
  <w:footnote w:id="13">
    <w:p w14:paraId="17132FD2" w14:textId="2FE711D9" w:rsidR="001F61ED" w:rsidRPr="00926F01" w:rsidRDefault="001F61ED">
      <w:pPr>
        <w:pStyle w:val="FootnoteText"/>
        <w:rPr>
          <w:lang w:val="fr-FR"/>
        </w:rPr>
      </w:pPr>
      <w:r w:rsidRPr="00926F01">
        <w:rPr>
          <w:rStyle w:val="FootnoteReference"/>
          <w:lang w:val="fr-FR"/>
        </w:rPr>
        <w:footnoteRef/>
      </w:r>
      <w:r w:rsidRPr="00926F01">
        <w:rPr>
          <w:lang w:val="fr-FR"/>
        </w:rPr>
        <w:t xml:space="preserve"> </w:t>
      </w:r>
      <w:r w:rsidR="0065603D">
        <w:rPr>
          <w:lang w:val="fr-FR"/>
        </w:rPr>
        <w:tab/>
      </w:r>
      <w:r>
        <w:rPr>
          <w:lang w:val="fr-FR"/>
        </w:rPr>
        <w:t>Voir l</w:t>
      </w:r>
      <w:r w:rsidR="00A6149F">
        <w:rPr>
          <w:lang w:val="fr-FR"/>
        </w:rPr>
        <w:t>’</w:t>
      </w:r>
      <w:r>
        <w:rPr>
          <w:lang w:val="fr-FR"/>
        </w:rPr>
        <w:t>article </w:t>
      </w:r>
      <w:r w:rsidRPr="00926F01">
        <w:rPr>
          <w:lang w:val="fr-FR"/>
        </w:rPr>
        <w:t>II</w:t>
      </w:r>
      <w:r>
        <w:rPr>
          <w:lang w:val="fr-FR"/>
        </w:rPr>
        <w:t xml:space="preserve"> de la Convention de </w:t>
      </w:r>
      <w:r w:rsidRPr="00926F01">
        <w:rPr>
          <w:lang w:val="fr-FR"/>
        </w:rPr>
        <w:t>Berne.</w:t>
      </w:r>
    </w:p>
  </w:footnote>
  <w:footnote w:id="14">
    <w:p w14:paraId="5FE352AD" w14:textId="4EA4726B" w:rsidR="001F61ED" w:rsidRPr="00926F01" w:rsidRDefault="001F61ED">
      <w:pPr>
        <w:pStyle w:val="FootnoteText"/>
        <w:rPr>
          <w:lang w:val="fr-FR"/>
        </w:rPr>
      </w:pPr>
      <w:r w:rsidRPr="00926F01">
        <w:rPr>
          <w:rStyle w:val="FootnoteReference"/>
          <w:lang w:val="fr-FR"/>
        </w:rPr>
        <w:footnoteRef/>
      </w:r>
      <w:r w:rsidRPr="00926F01">
        <w:rPr>
          <w:lang w:val="fr-FR"/>
        </w:rPr>
        <w:t xml:space="preserve"> </w:t>
      </w:r>
      <w:r w:rsidR="0065603D">
        <w:rPr>
          <w:lang w:val="fr-FR"/>
        </w:rPr>
        <w:tab/>
      </w:r>
      <w:r>
        <w:rPr>
          <w:lang w:val="fr-FR"/>
        </w:rPr>
        <w:t>Voir, par exemple, l</w:t>
      </w:r>
      <w:r w:rsidR="00A6149F">
        <w:rPr>
          <w:lang w:val="fr-FR"/>
        </w:rPr>
        <w:t>’</w:t>
      </w:r>
      <w:r>
        <w:rPr>
          <w:lang w:val="fr-FR"/>
        </w:rPr>
        <w:t>article </w:t>
      </w:r>
      <w:r w:rsidRPr="00926F01">
        <w:rPr>
          <w:lang w:val="fr-FR"/>
        </w:rPr>
        <w:t>3</w:t>
      </w:r>
      <w:r>
        <w:rPr>
          <w:lang w:val="fr-FR"/>
        </w:rPr>
        <w:t>.</w:t>
      </w:r>
      <w:r w:rsidRPr="00926F01">
        <w:rPr>
          <w:lang w:val="fr-FR"/>
        </w:rPr>
        <w:t>3)</w:t>
      </w:r>
      <w:r>
        <w:rPr>
          <w:lang w:val="fr-FR"/>
        </w:rPr>
        <w:t xml:space="preserve"> de la Convention de </w:t>
      </w:r>
      <w:r w:rsidRPr="00926F01">
        <w:rPr>
          <w:lang w:val="fr-FR"/>
        </w:rPr>
        <w:t>Berne;</w:t>
      </w:r>
      <w:r>
        <w:rPr>
          <w:lang w:val="fr-FR"/>
        </w:rPr>
        <w:t xml:space="preserve"> </w:t>
      </w:r>
      <w:r w:rsidRPr="00926F01">
        <w:rPr>
          <w:lang w:val="fr-FR"/>
        </w:rPr>
        <w:t xml:space="preserve"> </w:t>
      </w:r>
      <w:r w:rsidRPr="00F32BE6">
        <w:rPr>
          <w:lang w:val="fr-FR"/>
        </w:rPr>
        <w:t>articles 6 et 7 des Déclarations communes concernant le Traité de l</w:t>
      </w:r>
      <w:r w:rsidR="00A6149F">
        <w:rPr>
          <w:lang w:val="fr-FR"/>
        </w:rPr>
        <w:t>’</w:t>
      </w:r>
      <w:r w:rsidRPr="00F32BE6">
        <w:rPr>
          <w:lang w:val="fr-FR"/>
        </w:rPr>
        <w:t>OMPI sur le droit d</w:t>
      </w:r>
      <w:r w:rsidR="00A6149F">
        <w:rPr>
          <w:lang w:val="fr-FR"/>
        </w:rPr>
        <w:t>’</w:t>
      </w:r>
      <w:r w:rsidRPr="00F32BE6">
        <w:rPr>
          <w:lang w:val="fr-FR"/>
        </w:rPr>
        <w:t>auteur</w:t>
      </w:r>
      <w:r w:rsidRPr="00926F01">
        <w:rPr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5942"/>
    <w:multiLevelType w:val="hybridMultilevel"/>
    <w:tmpl w:val="28B29EA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01E07"/>
    <w:multiLevelType w:val="multilevel"/>
    <w:tmpl w:val="A246F4B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firstLine="0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">
    <w:nsid w:val="7DC5347C"/>
    <w:multiLevelType w:val="hybridMultilevel"/>
    <w:tmpl w:val="43F6BCC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567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45"/>
    <w:rsid w:val="00006527"/>
    <w:rsid w:val="00011151"/>
    <w:rsid w:val="000133FF"/>
    <w:rsid w:val="00013DE8"/>
    <w:rsid w:val="0001475D"/>
    <w:rsid w:val="0002028B"/>
    <w:rsid w:val="000504F0"/>
    <w:rsid w:val="00050619"/>
    <w:rsid w:val="00054EE7"/>
    <w:rsid w:val="00055D91"/>
    <w:rsid w:val="00057F50"/>
    <w:rsid w:val="000607BB"/>
    <w:rsid w:val="00061463"/>
    <w:rsid w:val="00080B8B"/>
    <w:rsid w:val="00081965"/>
    <w:rsid w:val="00082C02"/>
    <w:rsid w:val="00084035"/>
    <w:rsid w:val="0009130B"/>
    <w:rsid w:val="00093FBD"/>
    <w:rsid w:val="0009625F"/>
    <w:rsid w:val="000A09B3"/>
    <w:rsid w:val="000A1432"/>
    <w:rsid w:val="000A2585"/>
    <w:rsid w:val="000B1BDF"/>
    <w:rsid w:val="000B3BA7"/>
    <w:rsid w:val="000B4EEB"/>
    <w:rsid w:val="000C5F82"/>
    <w:rsid w:val="000D4DB1"/>
    <w:rsid w:val="000E26C8"/>
    <w:rsid w:val="000E310E"/>
    <w:rsid w:val="000E5885"/>
    <w:rsid w:val="000E64DB"/>
    <w:rsid w:val="000F09BC"/>
    <w:rsid w:val="000F2299"/>
    <w:rsid w:val="000F50F1"/>
    <w:rsid w:val="000F5ADF"/>
    <w:rsid w:val="001004A1"/>
    <w:rsid w:val="00102C97"/>
    <w:rsid w:val="00123B37"/>
    <w:rsid w:val="00123DAA"/>
    <w:rsid w:val="001300B4"/>
    <w:rsid w:val="001321D2"/>
    <w:rsid w:val="00141ECC"/>
    <w:rsid w:val="00143DE9"/>
    <w:rsid w:val="001510E5"/>
    <w:rsid w:val="00156B89"/>
    <w:rsid w:val="00160395"/>
    <w:rsid w:val="00166B87"/>
    <w:rsid w:val="001753F2"/>
    <w:rsid w:val="00177D2B"/>
    <w:rsid w:val="00182D28"/>
    <w:rsid w:val="0018530D"/>
    <w:rsid w:val="00192F3C"/>
    <w:rsid w:val="001953F4"/>
    <w:rsid w:val="0019605A"/>
    <w:rsid w:val="001A3A34"/>
    <w:rsid w:val="001A4040"/>
    <w:rsid w:val="001A54D7"/>
    <w:rsid w:val="001A7E5D"/>
    <w:rsid w:val="001C02D2"/>
    <w:rsid w:val="001C0EFD"/>
    <w:rsid w:val="001C2715"/>
    <w:rsid w:val="001C4CFD"/>
    <w:rsid w:val="001D1220"/>
    <w:rsid w:val="001D1421"/>
    <w:rsid w:val="001D1AD8"/>
    <w:rsid w:val="001D3646"/>
    <w:rsid w:val="001D71B5"/>
    <w:rsid w:val="001E7538"/>
    <w:rsid w:val="001E7D78"/>
    <w:rsid w:val="001F2C2D"/>
    <w:rsid w:val="001F4615"/>
    <w:rsid w:val="001F4789"/>
    <w:rsid w:val="001F61ED"/>
    <w:rsid w:val="001F6CE4"/>
    <w:rsid w:val="001F71E5"/>
    <w:rsid w:val="002010BF"/>
    <w:rsid w:val="00201B3A"/>
    <w:rsid w:val="0020324D"/>
    <w:rsid w:val="0021004D"/>
    <w:rsid w:val="00216449"/>
    <w:rsid w:val="00223B35"/>
    <w:rsid w:val="002262B4"/>
    <w:rsid w:val="002275FA"/>
    <w:rsid w:val="00232933"/>
    <w:rsid w:val="00242772"/>
    <w:rsid w:val="00242E3E"/>
    <w:rsid w:val="002447C5"/>
    <w:rsid w:val="00251812"/>
    <w:rsid w:val="002538AA"/>
    <w:rsid w:val="002604AE"/>
    <w:rsid w:val="00260517"/>
    <w:rsid w:val="002606D3"/>
    <w:rsid w:val="0026388B"/>
    <w:rsid w:val="0027045C"/>
    <w:rsid w:val="00270505"/>
    <w:rsid w:val="00276663"/>
    <w:rsid w:val="00281855"/>
    <w:rsid w:val="00282994"/>
    <w:rsid w:val="002829F4"/>
    <w:rsid w:val="00291750"/>
    <w:rsid w:val="002A6124"/>
    <w:rsid w:val="002A7A36"/>
    <w:rsid w:val="002C1931"/>
    <w:rsid w:val="002C7B05"/>
    <w:rsid w:val="002C7D9F"/>
    <w:rsid w:val="002D718D"/>
    <w:rsid w:val="002E00A9"/>
    <w:rsid w:val="002E6E19"/>
    <w:rsid w:val="002E7588"/>
    <w:rsid w:val="002F092F"/>
    <w:rsid w:val="002F76CA"/>
    <w:rsid w:val="002F78A8"/>
    <w:rsid w:val="00300606"/>
    <w:rsid w:val="0031003D"/>
    <w:rsid w:val="0031337C"/>
    <w:rsid w:val="00317D67"/>
    <w:rsid w:val="003212B2"/>
    <w:rsid w:val="00326A71"/>
    <w:rsid w:val="003319CB"/>
    <w:rsid w:val="00332EC3"/>
    <w:rsid w:val="00333282"/>
    <w:rsid w:val="00336695"/>
    <w:rsid w:val="0033748A"/>
    <w:rsid w:val="00344567"/>
    <w:rsid w:val="00346553"/>
    <w:rsid w:val="003535A8"/>
    <w:rsid w:val="0035499C"/>
    <w:rsid w:val="00355057"/>
    <w:rsid w:val="00355B80"/>
    <w:rsid w:val="00356A09"/>
    <w:rsid w:val="00356F53"/>
    <w:rsid w:val="003620B9"/>
    <w:rsid w:val="00367E7A"/>
    <w:rsid w:val="00370FC2"/>
    <w:rsid w:val="0039148F"/>
    <w:rsid w:val="003B070B"/>
    <w:rsid w:val="003B1E80"/>
    <w:rsid w:val="003B73F3"/>
    <w:rsid w:val="003C40AD"/>
    <w:rsid w:val="003C55A7"/>
    <w:rsid w:val="003C79B5"/>
    <w:rsid w:val="003D0F77"/>
    <w:rsid w:val="003D181A"/>
    <w:rsid w:val="003D2778"/>
    <w:rsid w:val="003D7CB3"/>
    <w:rsid w:val="003E24E4"/>
    <w:rsid w:val="003E7088"/>
    <w:rsid w:val="003F0A6A"/>
    <w:rsid w:val="003F2B8F"/>
    <w:rsid w:val="00405CF2"/>
    <w:rsid w:val="00414E28"/>
    <w:rsid w:val="00415C5D"/>
    <w:rsid w:val="00424BD5"/>
    <w:rsid w:val="004250D5"/>
    <w:rsid w:val="00426C69"/>
    <w:rsid w:val="00426E50"/>
    <w:rsid w:val="00437038"/>
    <w:rsid w:val="00444F78"/>
    <w:rsid w:val="004511DB"/>
    <w:rsid w:val="00451AB9"/>
    <w:rsid w:val="0046136F"/>
    <w:rsid w:val="00465433"/>
    <w:rsid w:val="00483628"/>
    <w:rsid w:val="00486F0C"/>
    <w:rsid w:val="004920F7"/>
    <w:rsid w:val="00492FF9"/>
    <w:rsid w:val="00494451"/>
    <w:rsid w:val="00497DA4"/>
    <w:rsid w:val="004A0861"/>
    <w:rsid w:val="004A290E"/>
    <w:rsid w:val="004A5CEC"/>
    <w:rsid w:val="004C1F8C"/>
    <w:rsid w:val="004C4E1C"/>
    <w:rsid w:val="004D02CD"/>
    <w:rsid w:val="004D0834"/>
    <w:rsid w:val="004D4F52"/>
    <w:rsid w:val="004E0460"/>
    <w:rsid w:val="004E5CF9"/>
    <w:rsid w:val="004F67B4"/>
    <w:rsid w:val="004F7750"/>
    <w:rsid w:val="005003F7"/>
    <w:rsid w:val="00501C1D"/>
    <w:rsid w:val="00503EA7"/>
    <w:rsid w:val="005137A6"/>
    <w:rsid w:val="00517D16"/>
    <w:rsid w:val="00520072"/>
    <w:rsid w:val="00526DC0"/>
    <w:rsid w:val="005336AC"/>
    <w:rsid w:val="005410C9"/>
    <w:rsid w:val="0054452B"/>
    <w:rsid w:val="005473DD"/>
    <w:rsid w:val="00547BD8"/>
    <w:rsid w:val="00555366"/>
    <w:rsid w:val="00562A79"/>
    <w:rsid w:val="00563294"/>
    <w:rsid w:val="00572A82"/>
    <w:rsid w:val="005740BA"/>
    <w:rsid w:val="0057494D"/>
    <w:rsid w:val="00576F62"/>
    <w:rsid w:val="00582617"/>
    <w:rsid w:val="00585786"/>
    <w:rsid w:val="00587242"/>
    <w:rsid w:val="00591FD0"/>
    <w:rsid w:val="005A3282"/>
    <w:rsid w:val="005A7EEC"/>
    <w:rsid w:val="005B34C6"/>
    <w:rsid w:val="005B5D37"/>
    <w:rsid w:val="005C1133"/>
    <w:rsid w:val="005C4BA1"/>
    <w:rsid w:val="005C4D15"/>
    <w:rsid w:val="005D1A63"/>
    <w:rsid w:val="005D2DEB"/>
    <w:rsid w:val="005E2FC6"/>
    <w:rsid w:val="005E373D"/>
    <w:rsid w:val="005E57C5"/>
    <w:rsid w:val="00601870"/>
    <w:rsid w:val="00606345"/>
    <w:rsid w:val="00607515"/>
    <w:rsid w:val="00617B65"/>
    <w:rsid w:val="00632339"/>
    <w:rsid w:val="006340A2"/>
    <w:rsid w:val="00634368"/>
    <w:rsid w:val="00635BBA"/>
    <w:rsid w:val="00646C62"/>
    <w:rsid w:val="00647D28"/>
    <w:rsid w:val="00647D7C"/>
    <w:rsid w:val="006504E9"/>
    <w:rsid w:val="006506BC"/>
    <w:rsid w:val="00651996"/>
    <w:rsid w:val="0065423B"/>
    <w:rsid w:val="0065603D"/>
    <w:rsid w:val="00667230"/>
    <w:rsid w:val="0067123E"/>
    <w:rsid w:val="006716C6"/>
    <w:rsid w:val="0067363D"/>
    <w:rsid w:val="00677AD7"/>
    <w:rsid w:val="0068293B"/>
    <w:rsid w:val="00683C1B"/>
    <w:rsid w:val="0068408A"/>
    <w:rsid w:val="006866F7"/>
    <w:rsid w:val="00687B72"/>
    <w:rsid w:val="0069040B"/>
    <w:rsid w:val="006910FD"/>
    <w:rsid w:val="00693DEE"/>
    <w:rsid w:val="00694547"/>
    <w:rsid w:val="006A36FC"/>
    <w:rsid w:val="006A7AD7"/>
    <w:rsid w:val="006B38BC"/>
    <w:rsid w:val="006B6E2C"/>
    <w:rsid w:val="006C2AAC"/>
    <w:rsid w:val="006C5D74"/>
    <w:rsid w:val="006D43DB"/>
    <w:rsid w:val="006E028C"/>
    <w:rsid w:val="006E595E"/>
    <w:rsid w:val="006E6AB9"/>
    <w:rsid w:val="006F2705"/>
    <w:rsid w:val="006F28E1"/>
    <w:rsid w:val="007077F9"/>
    <w:rsid w:val="00722B1D"/>
    <w:rsid w:val="007246F3"/>
    <w:rsid w:val="00733F26"/>
    <w:rsid w:val="007400D8"/>
    <w:rsid w:val="00740155"/>
    <w:rsid w:val="00746276"/>
    <w:rsid w:val="00746E45"/>
    <w:rsid w:val="00753640"/>
    <w:rsid w:val="00756A7D"/>
    <w:rsid w:val="00771ECA"/>
    <w:rsid w:val="00773B23"/>
    <w:rsid w:val="007766EF"/>
    <w:rsid w:val="007815F8"/>
    <w:rsid w:val="00784C11"/>
    <w:rsid w:val="00787836"/>
    <w:rsid w:val="0079058B"/>
    <w:rsid w:val="00794F5F"/>
    <w:rsid w:val="007A04C5"/>
    <w:rsid w:val="007A1A66"/>
    <w:rsid w:val="007B08DB"/>
    <w:rsid w:val="007B1132"/>
    <w:rsid w:val="007C3BF3"/>
    <w:rsid w:val="007C4E58"/>
    <w:rsid w:val="007C7D9D"/>
    <w:rsid w:val="007D245E"/>
    <w:rsid w:val="007D6D36"/>
    <w:rsid w:val="007D71EA"/>
    <w:rsid w:val="007E1676"/>
    <w:rsid w:val="007E6B2D"/>
    <w:rsid w:val="007F131D"/>
    <w:rsid w:val="007F289B"/>
    <w:rsid w:val="00800FE6"/>
    <w:rsid w:val="00803529"/>
    <w:rsid w:val="00805A8A"/>
    <w:rsid w:val="00813797"/>
    <w:rsid w:val="0081646E"/>
    <w:rsid w:val="00817A25"/>
    <w:rsid w:val="00821360"/>
    <w:rsid w:val="008215CC"/>
    <w:rsid w:val="00824C29"/>
    <w:rsid w:val="00830237"/>
    <w:rsid w:val="00830A07"/>
    <w:rsid w:val="00836D2F"/>
    <w:rsid w:val="008376CD"/>
    <w:rsid w:val="0084294A"/>
    <w:rsid w:val="00846EC0"/>
    <w:rsid w:val="0084723D"/>
    <w:rsid w:val="00847AA7"/>
    <w:rsid w:val="00853476"/>
    <w:rsid w:val="00854F20"/>
    <w:rsid w:val="00860D87"/>
    <w:rsid w:val="00862470"/>
    <w:rsid w:val="00862D6F"/>
    <w:rsid w:val="008642B2"/>
    <w:rsid w:val="00864B46"/>
    <w:rsid w:val="0086607D"/>
    <w:rsid w:val="00866FF3"/>
    <w:rsid w:val="0087160F"/>
    <w:rsid w:val="00875030"/>
    <w:rsid w:val="008836F5"/>
    <w:rsid w:val="008877D9"/>
    <w:rsid w:val="00887C76"/>
    <w:rsid w:val="00892609"/>
    <w:rsid w:val="008B1CF7"/>
    <w:rsid w:val="008B3086"/>
    <w:rsid w:val="008B7CD3"/>
    <w:rsid w:val="008C17C4"/>
    <w:rsid w:val="008C2055"/>
    <w:rsid w:val="008C5C0F"/>
    <w:rsid w:val="008D171E"/>
    <w:rsid w:val="008D392F"/>
    <w:rsid w:val="008D5223"/>
    <w:rsid w:val="008D6AF8"/>
    <w:rsid w:val="008D7159"/>
    <w:rsid w:val="008E0B28"/>
    <w:rsid w:val="008E14C9"/>
    <w:rsid w:val="008F1160"/>
    <w:rsid w:val="008F7ED5"/>
    <w:rsid w:val="00900FEE"/>
    <w:rsid w:val="0090454B"/>
    <w:rsid w:val="00905E9E"/>
    <w:rsid w:val="009108CB"/>
    <w:rsid w:val="0091464E"/>
    <w:rsid w:val="00920174"/>
    <w:rsid w:val="0092520D"/>
    <w:rsid w:val="00926F01"/>
    <w:rsid w:val="00927D4A"/>
    <w:rsid w:val="00932839"/>
    <w:rsid w:val="009335FB"/>
    <w:rsid w:val="00934175"/>
    <w:rsid w:val="009356D1"/>
    <w:rsid w:val="00943042"/>
    <w:rsid w:val="00951C73"/>
    <w:rsid w:val="00963B27"/>
    <w:rsid w:val="00963E5B"/>
    <w:rsid w:val="00966B48"/>
    <w:rsid w:val="009710F2"/>
    <w:rsid w:val="00975442"/>
    <w:rsid w:val="00976FDA"/>
    <w:rsid w:val="00980F5C"/>
    <w:rsid w:val="009851E0"/>
    <w:rsid w:val="009909E6"/>
    <w:rsid w:val="0099644B"/>
    <w:rsid w:val="00996EAC"/>
    <w:rsid w:val="00996EBA"/>
    <w:rsid w:val="009A1E2F"/>
    <w:rsid w:val="009A5A08"/>
    <w:rsid w:val="009B0929"/>
    <w:rsid w:val="009B3632"/>
    <w:rsid w:val="009D23D5"/>
    <w:rsid w:val="009D299B"/>
    <w:rsid w:val="009D795E"/>
    <w:rsid w:val="009E4CB5"/>
    <w:rsid w:val="009E6887"/>
    <w:rsid w:val="009F2149"/>
    <w:rsid w:val="00A01BAE"/>
    <w:rsid w:val="00A0368E"/>
    <w:rsid w:val="00A0416B"/>
    <w:rsid w:val="00A05193"/>
    <w:rsid w:val="00A13F08"/>
    <w:rsid w:val="00A203AC"/>
    <w:rsid w:val="00A23BD3"/>
    <w:rsid w:val="00A30E95"/>
    <w:rsid w:val="00A33102"/>
    <w:rsid w:val="00A35311"/>
    <w:rsid w:val="00A35986"/>
    <w:rsid w:val="00A3618C"/>
    <w:rsid w:val="00A361CA"/>
    <w:rsid w:val="00A37B40"/>
    <w:rsid w:val="00A43BEC"/>
    <w:rsid w:val="00A454E4"/>
    <w:rsid w:val="00A47282"/>
    <w:rsid w:val="00A50755"/>
    <w:rsid w:val="00A50C0E"/>
    <w:rsid w:val="00A53539"/>
    <w:rsid w:val="00A54B1F"/>
    <w:rsid w:val="00A577FE"/>
    <w:rsid w:val="00A57B36"/>
    <w:rsid w:val="00A6149F"/>
    <w:rsid w:val="00A6233A"/>
    <w:rsid w:val="00A6241F"/>
    <w:rsid w:val="00A65C2B"/>
    <w:rsid w:val="00A66111"/>
    <w:rsid w:val="00A67FBE"/>
    <w:rsid w:val="00A734B0"/>
    <w:rsid w:val="00A830CF"/>
    <w:rsid w:val="00A842F3"/>
    <w:rsid w:val="00A940C9"/>
    <w:rsid w:val="00A979A0"/>
    <w:rsid w:val="00AA0EEC"/>
    <w:rsid w:val="00AA356B"/>
    <w:rsid w:val="00AA3F9D"/>
    <w:rsid w:val="00AA41E7"/>
    <w:rsid w:val="00AA5429"/>
    <w:rsid w:val="00AB3FC2"/>
    <w:rsid w:val="00AB7642"/>
    <w:rsid w:val="00AC15DB"/>
    <w:rsid w:val="00AC6C12"/>
    <w:rsid w:val="00AD2C64"/>
    <w:rsid w:val="00AE57F4"/>
    <w:rsid w:val="00AF0402"/>
    <w:rsid w:val="00AF11E2"/>
    <w:rsid w:val="00B05874"/>
    <w:rsid w:val="00B05AF5"/>
    <w:rsid w:val="00B06811"/>
    <w:rsid w:val="00B1015C"/>
    <w:rsid w:val="00B1243F"/>
    <w:rsid w:val="00B156BF"/>
    <w:rsid w:val="00B15F03"/>
    <w:rsid w:val="00B16130"/>
    <w:rsid w:val="00B22B6B"/>
    <w:rsid w:val="00B24013"/>
    <w:rsid w:val="00B3415A"/>
    <w:rsid w:val="00B46648"/>
    <w:rsid w:val="00B530B2"/>
    <w:rsid w:val="00B55337"/>
    <w:rsid w:val="00B601A6"/>
    <w:rsid w:val="00B62701"/>
    <w:rsid w:val="00B62999"/>
    <w:rsid w:val="00B632E5"/>
    <w:rsid w:val="00B70BD0"/>
    <w:rsid w:val="00B710E5"/>
    <w:rsid w:val="00B812C2"/>
    <w:rsid w:val="00B84907"/>
    <w:rsid w:val="00B94399"/>
    <w:rsid w:val="00B951EA"/>
    <w:rsid w:val="00BA61C5"/>
    <w:rsid w:val="00BA79EF"/>
    <w:rsid w:val="00BB56A4"/>
    <w:rsid w:val="00BB7A20"/>
    <w:rsid w:val="00BB7E60"/>
    <w:rsid w:val="00BC6AC3"/>
    <w:rsid w:val="00BD2D8C"/>
    <w:rsid w:val="00BD324C"/>
    <w:rsid w:val="00BD5011"/>
    <w:rsid w:val="00BD7129"/>
    <w:rsid w:val="00BE010B"/>
    <w:rsid w:val="00BE1E6A"/>
    <w:rsid w:val="00BE2D53"/>
    <w:rsid w:val="00BE7D1A"/>
    <w:rsid w:val="00BF0BA2"/>
    <w:rsid w:val="00BF1FAB"/>
    <w:rsid w:val="00BF2C24"/>
    <w:rsid w:val="00BF7B5E"/>
    <w:rsid w:val="00C16B5A"/>
    <w:rsid w:val="00C17AD6"/>
    <w:rsid w:val="00C205A4"/>
    <w:rsid w:val="00C22C06"/>
    <w:rsid w:val="00C329BC"/>
    <w:rsid w:val="00C40543"/>
    <w:rsid w:val="00C421D4"/>
    <w:rsid w:val="00C42A61"/>
    <w:rsid w:val="00C47CB2"/>
    <w:rsid w:val="00C55BB4"/>
    <w:rsid w:val="00C63081"/>
    <w:rsid w:val="00C6478F"/>
    <w:rsid w:val="00C64799"/>
    <w:rsid w:val="00C65CF8"/>
    <w:rsid w:val="00C70D63"/>
    <w:rsid w:val="00C71C51"/>
    <w:rsid w:val="00C73224"/>
    <w:rsid w:val="00C83101"/>
    <w:rsid w:val="00C84DF3"/>
    <w:rsid w:val="00C87BB9"/>
    <w:rsid w:val="00CA1360"/>
    <w:rsid w:val="00CA4A57"/>
    <w:rsid w:val="00CB0602"/>
    <w:rsid w:val="00CB184F"/>
    <w:rsid w:val="00CB6EC1"/>
    <w:rsid w:val="00CC0AD1"/>
    <w:rsid w:val="00CC5AAD"/>
    <w:rsid w:val="00CC634E"/>
    <w:rsid w:val="00CD1A17"/>
    <w:rsid w:val="00CD7CEB"/>
    <w:rsid w:val="00CD7D64"/>
    <w:rsid w:val="00CE7F60"/>
    <w:rsid w:val="00CF0C38"/>
    <w:rsid w:val="00CF20CB"/>
    <w:rsid w:val="00CF525E"/>
    <w:rsid w:val="00D01527"/>
    <w:rsid w:val="00D07A5F"/>
    <w:rsid w:val="00D2303E"/>
    <w:rsid w:val="00D26060"/>
    <w:rsid w:val="00D26931"/>
    <w:rsid w:val="00D34300"/>
    <w:rsid w:val="00D36368"/>
    <w:rsid w:val="00D42B8F"/>
    <w:rsid w:val="00D50DA2"/>
    <w:rsid w:val="00D52B7A"/>
    <w:rsid w:val="00D64177"/>
    <w:rsid w:val="00D76383"/>
    <w:rsid w:val="00D811FB"/>
    <w:rsid w:val="00D83BE7"/>
    <w:rsid w:val="00D83E54"/>
    <w:rsid w:val="00D91890"/>
    <w:rsid w:val="00D918A5"/>
    <w:rsid w:val="00D930F9"/>
    <w:rsid w:val="00D93394"/>
    <w:rsid w:val="00D967EB"/>
    <w:rsid w:val="00D96DD1"/>
    <w:rsid w:val="00DA2B08"/>
    <w:rsid w:val="00DA415E"/>
    <w:rsid w:val="00DA5367"/>
    <w:rsid w:val="00DB0B3A"/>
    <w:rsid w:val="00DB3F15"/>
    <w:rsid w:val="00DB5698"/>
    <w:rsid w:val="00DB6747"/>
    <w:rsid w:val="00DC369B"/>
    <w:rsid w:val="00DC7739"/>
    <w:rsid w:val="00DD48C5"/>
    <w:rsid w:val="00DE1E1F"/>
    <w:rsid w:val="00DE2969"/>
    <w:rsid w:val="00DE5927"/>
    <w:rsid w:val="00DE596C"/>
    <w:rsid w:val="00DF0173"/>
    <w:rsid w:val="00DF0504"/>
    <w:rsid w:val="00DF39F7"/>
    <w:rsid w:val="00DF4B45"/>
    <w:rsid w:val="00DF750A"/>
    <w:rsid w:val="00E05489"/>
    <w:rsid w:val="00E05560"/>
    <w:rsid w:val="00E06EE9"/>
    <w:rsid w:val="00E15EA9"/>
    <w:rsid w:val="00E16683"/>
    <w:rsid w:val="00E16F55"/>
    <w:rsid w:val="00E314A2"/>
    <w:rsid w:val="00E35734"/>
    <w:rsid w:val="00E369AF"/>
    <w:rsid w:val="00E36D95"/>
    <w:rsid w:val="00E37B22"/>
    <w:rsid w:val="00E41E2B"/>
    <w:rsid w:val="00E4641F"/>
    <w:rsid w:val="00E5087A"/>
    <w:rsid w:val="00E6057D"/>
    <w:rsid w:val="00E7753B"/>
    <w:rsid w:val="00E80366"/>
    <w:rsid w:val="00E83343"/>
    <w:rsid w:val="00E93A55"/>
    <w:rsid w:val="00E97ED8"/>
    <w:rsid w:val="00EA4A65"/>
    <w:rsid w:val="00EA4D01"/>
    <w:rsid w:val="00EB12BC"/>
    <w:rsid w:val="00EC2E83"/>
    <w:rsid w:val="00EC6AE8"/>
    <w:rsid w:val="00ED01B2"/>
    <w:rsid w:val="00ED7AF4"/>
    <w:rsid w:val="00EE5579"/>
    <w:rsid w:val="00EF3C70"/>
    <w:rsid w:val="00EF770B"/>
    <w:rsid w:val="00EF7D42"/>
    <w:rsid w:val="00F02691"/>
    <w:rsid w:val="00F10B49"/>
    <w:rsid w:val="00F162CE"/>
    <w:rsid w:val="00F16BBF"/>
    <w:rsid w:val="00F20738"/>
    <w:rsid w:val="00F22BB2"/>
    <w:rsid w:val="00F27B9F"/>
    <w:rsid w:val="00F32BE6"/>
    <w:rsid w:val="00F45CEE"/>
    <w:rsid w:val="00F54D7B"/>
    <w:rsid w:val="00F570A9"/>
    <w:rsid w:val="00F638C6"/>
    <w:rsid w:val="00F64F87"/>
    <w:rsid w:val="00F672BF"/>
    <w:rsid w:val="00F71DF5"/>
    <w:rsid w:val="00F76521"/>
    <w:rsid w:val="00F80D4D"/>
    <w:rsid w:val="00F81B83"/>
    <w:rsid w:val="00F82AE9"/>
    <w:rsid w:val="00F841C9"/>
    <w:rsid w:val="00F85DB2"/>
    <w:rsid w:val="00F87363"/>
    <w:rsid w:val="00F87556"/>
    <w:rsid w:val="00F954C3"/>
    <w:rsid w:val="00F97AE9"/>
    <w:rsid w:val="00FA78C8"/>
    <w:rsid w:val="00FB61B9"/>
    <w:rsid w:val="00FB6695"/>
    <w:rsid w:val="00FB6A22"/>
    <w:rsid w:val="00FC752E"/>
    <w:rsid w:val="00FD72AE"/>
    <w:rsid w:val="00FE3B92"/>
    <w:rsid w:val="00FE41FA"/>
    <w:rsid w:val="00FE54B3"/>
    <w:rsid w:val="00FF0064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5295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45"/>
    <w:pPr>
      <w:jc w:val="both"/>
    </w:pPr>
    <w:rPr>
      <w:rFonts w:ascii="Arial" w:eastAsia="SimSu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E45"/>
    <w:pPr>
      <w:keepNext/>
      <w:keepLines/>
      <w:pageBreakBefore/>
      <w:numPr>
        <w:numId w:val="1"/>
      </w:numPr>
      <w:spacing w:before="240" w:after="120"/>
      <w:jc w:val="center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Provision"/>
    <w:link w:val="Heading2Char"/>
    <w:uiPriority w:val="9"/>
    <w:unhideWhenUsed/>
    <w:qFormat/>
    <w:rsid w:val="00746E45"/>
    <w:pPr>
      <w:keepNext/>
      <w:keepLines/>
      <w:numPr>
        <w:ilvl w:val="1"/>
        <w:numId w:val="1"/>
      </w:numPr>
      <w:spacing w:before="240" w:after="120"/>
      <w:outlineLvl w:val="1"/>
    </w:pPr>
    <w:rPr>
      <w:rFonts w:eastAsiaTheme="majorEastAsia" w:cstheme="majorBidi"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E4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6E4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6E4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E4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E4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E4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E45"/>
    <w:rPr>
      <w:rFonts w:ascii="Arial" w:eastAsiaTheme="majorEastAsia" w:hAnsi="Arial" w:cstheme="majorBidi"/>
      <w:b/>
      <w:color w:val="2E74B5" w:themeColor="accent1" w:themeShade="BF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46E45"/>
    <w:rPr>
      <w:rFonts w:ascii="Arial" w:eastAsiaTheme="majorEastAsia" w:hAnsi="Arial" w:cstheme="majorBidi"/>
      <w:szCs w:val="26"/>
      <w:u w:val="single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E45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746E45"/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746E45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E45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E4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E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ListParagraph">
    <w:name w:val="List Paragraph"/>
    <w:basedOn w:val="Normal"/>
    <w:uiPriority w:val="34"/>
    <w:qFormat/>
    <w:rsid w:val="00746E45"/>
    <w:pPr>
      <w:ind w:left="720"/>
    </w:pPr>
  </w:style>
  <w:style w:type="paragraph" w:customStyle="1" w:styleId="Provision">
    <w:name w:val="Provision"/>
    <w:basedOn w:val="Normal"/>
    <w:qFormat/>
    <w:rsid w:val="00746E45"/>
    <w:pPr>
      <w:spacing w:before="60" w:after="120" w:line="240" w:lineRule="auto"/>
      <w:ind w:left="720"/>
    </w:pPr>
    <w:rPr>
      <w:sz w:val="20"/>
    </w:rPr>
  </w:style>
  <w:style w:type="table" w:styleId="TableGrid">
    <w:name w:val="Table Grid"/>
    <w:basedOn w:val="TableNormal"/>
    <w:uiPriority w:val="59"/>
    <w:rsid w:val="00746E45"/>
    <w:pPr>
      <w:spacing w:after="0" w:line="240" w:lineRule="auto"/>
    </w:pPr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46E45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6E45"/>
    <w:rPr>
      <w:rFonts w:ascii="Arial" w:eastAsia="SimSun" w:hAnsi="Arial"/>
      <w:sz w:val="18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46E45"/>
    <w:rPr>
      <w:vertAlign w:val="superscript"/>
    </w:rPr>
  </w:style>
  <w:style w:type="table" w:customStyle="1" w:styleId="GridTable5Dark-Accent51">
    <w:name w:val="Grid Table 5 Dark - Accent 51"/>
    <w:basedOn w:val="TableNormal"/>
    <w:uiPriority w:val="50"/>
    <w:rsid w:val="00746E45"/>
    <w:pPr>
      <w:spacing w:after="0" w:line="240" w:lineRule="auto"/>
    </w:pPr>
    <w:rPr>
      <w:rFonts w:eastAsia="SimSun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9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99"/>
    <w:rPr>
      <w:rFonts w:ascii="Tahoma" w:eastAsia="SimSun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A4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040"/>
    <w:rPr>
      <w:rFonts w:ascii="Arial" w:eastAsia="SimSun" w:hAnsi="Arial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040"/>
    <w:rPr>
      <w:rFonts w:ascii="Arial" w:eastAsia="SimSun" w:hAnsi="Arial"/>
      <w:b/>
      <w:bCs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47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D7C"/>
    <w:rPr>
      <w:rFonts w:ascii="Arial" w:eastAsia="SimSun" w:hAnsi="Aria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7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D7C"/>
    <w:rPr>
      <w:rFonts w:ascii="Arial" w:eastAsia="SimSun" w:hAnsi="Arial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92609"/>
    <w:pPr>
      <w:spacing w:after="200" w:line="240" w:lineRule="auto"/>
    </w:pPr>
    <w:rPr>
      <w:i/>
      <w:iCs/>
      <w:color w:val="44546A" w:themeColor="text2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784C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45"/>
    <w:pPr>
      <w:jc w:val="both"/>
    </w:pPr>
    <w:rPr>
      <w:rFonts w:ascii="Arial" w:eastAsia="SimSu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E45"/>
    <w:pPr>
      <w:keepNext/>
      <w:keepLines/>
      <w:pageBreakBefore/>
      <w:numPr>
        <w:numId w:val="1"/>
      </w:numPr>
      <w:spacing w:before="240" w:after="120"/>
      <w:jc w:val="center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Provision"/>
    <w:link w:val="Heading2Char"/>
    <w:uiPriority w:val="9"/>
    <w:unhideWhenUsed/>
    <w:qFormat/>
    <w:rsid w:val="00746E45"/>
    <w:pPr>
      <w:keepNext/>
      <w:keepLines/>
      <w:numPr>
        <w:ilvl w:val="1"/>
        <w:numId w:val="1"/>
      </w:numPr>
      <w:spacing w:before="240" w:after="120"/>
      <w:outlineLvl w:val="1"/>
    </w:pPr>
    <w:rPr>
      <w:rFonts w:eastAsiaTheme="majorEastAsia" w:cstheme="majorBidi"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E4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6E4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6E4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E4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E4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E4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E45"/>
    <w:rPr>
      <w:rFonts w:ascii="Arial" w:eastAsiaTheme="majorEastAsia" w:hAnsi="Arial" w:cstheme="majorBidi"/>
      <w:b/>
      <w:color w:val="2E74B5" w:themeColor="accent1" w:themeShade="BF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46E45"/>
    <w:rPr>
      <w:rFonts w:ascii="Arial" w:eastAsiaTheme="majorEastAsia" w:hAnsi="Arial" w:cstheme="majorBidi"/>
      <w:szCs w:val="26"/>
      <w:u w:val="single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E45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746E45"/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746E45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E45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E4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E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ListParagraph">
    <w:name w:val="List Paragraph"/>
    <w:basedOn w:val="Normal"/>
    <w:uiPriority w:val="34"/>
    <w:qFormat/>
    <w:rsid w:val="00746E45"/>
    <w:pPr>
      <w:ind w:left="720"/>
    </w:pPr>
  </w:style>
  <w:style w:type="paragraph" w:customStyle="1" w:styleId="Provision">
    <w:name w:val="Provision"/>
    <w:basedOn w:val="Normal"/>
    <w:qFormat/>
    <w:rsid w:val="00746E45"/>
    <w:pPr>
      <w:spacing w:before="60" w:after="120" w:line="240" w:lineRule="auto"/>
      <w:ind w:left="720"/>
    </w:pPr>
    <w:rPr>
      <w:sz w:val="20"/>
    </w:rPr>
  </w:style>
  <w:style w:type="table" w:styleId="TableGrid">
    <w:name w:val="Table Grid"/>
    <w:basedOn w:val="TableNormal"/>
    <w:uiPriority w:val="59"/>
    <w:rsid w:val="00746E45"/>
    <w:pPr>
      <w:spacing w:after="0" w:line="240" w:lineRule="auto"/>
    </w:pPr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46E45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6E45"/>
    <w:rPr>
      <w:rFonts w:ascii="Arial" w:eastAsia="SimSun" w:hAnsi="Arial"/>
      <w:sz w:val="18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46E45"/>
    <w:rPr>
      <w:vertAlign w:val="superscript"/>
    </w:rPr>
  </w:style>
  <w:style w:type="table" w:customStyle="1" w:styleId="GridTable5Dark-Accent51">
    <w:name w:val="Grid Table 5 Dark - Accent 51"/>
    <w:basedOn w:val="TableNormal"/>
    <w:uiPriority w:val="50"/>
    <w:rsid w:val="00746E45"/>
    <w:pPr>
      <w:spacing w:after="0" w:line="240" w:lineRule="auto"/>
    </w:pPr>
    <w:rPr>
      <w:rFonts w:eastAsia="SimSun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9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99"/>
    <w:rPr>
      <w:rFonts w:ascii="Tahoma" w:eastAsia="SimSun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A4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040"/>
    <w:rPr>
      <w:rFonts w:ascii="Arial" w:eastAsia="SimSun" w:hAnsi="Arial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040"/>
    <w:rPr>
      <w:rFonts w:ascii="Arial" w:eastAsia="SimSun" w:hAnsi="Arial"/>
      <w:b/>
      <w:bCs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47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D7C"/>
    <w:rPr>
      <w:rFonts w:ascii="Arial" w:eastAsia="SimSun" w:hAnsi="Aria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7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D7C"/>
    <w:rPr>
      <w:rFonts w:ascii="Arial" w:eastAsia="SimSun" w:hAnsi="Arial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92609"/>
    <w:pPr>
      <w:spacing w:after="200" w:line="240" w:lineRule="auto"/>
    </w:pPr>
    <w:rPr>
      <w:i/>
      <w:iCs/>
      <w:color w:val="44546A" w:themeColor="text2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784C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5E6C-9E43-4ABA-9324-146861D4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5281</Words>
  <Characters>29948</Characters>
  <Application>Microsoft Office Word</Application>
  <DocSecurity>0</DocSecurity>
  <Lines>434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ST/cr/ko</cp:keywords>
  <cp:lastModifiedBy/>
  <cp:revision>1</cp:revision>
  <dcterms:created xsi:type="dcterms:W3CDTF">2017-11-13T15:27:00Z</dcterms:created>
  <dcterms:modified xsi:type="dcterms:W3CDTF">2017-11-14T14:06:00Z</dcterms:modified>
</cp:coreProperties>
</file>