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B1090C">
      <w:pP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C61AD5" w:rsidP="007C3BD8">
      <w:pPr>
        <w:pBdr>
          <w:top w:val="single" w:sz="4" w:space="9" w:color="auto"/>
        </w:pBdr>
        <w:jc w:val="right"/>
        <w:rPr>
          <w:rFonts w:ascii="Arial Black" w:hAnsi="Arial Black"/>
          <w:caps/>
          <w:sz w:val="15"/>
        </w:rPr>
      </w:pPr>
      <w:r>
        <w:rPr>
          <w:rFonts w:ascii="Arial Black" w:hAnsi="Arial Black"/>
          <w:caps/>
          <w:sz w:val="15"/>
        </w:rPr>
        <w:t>SCCR/40/</w:t>
      </w:r>
      <w:bookmarkStart w:id="1" w:name="Code"/>
      <w:r w:rsidR="00D608CC">
        <w:rPr>
          <w:rFonts w:ascii="Arial Black" w:hAnsi="Arial Black"/>
          <w:caps/>
          <w:sz w:val="15"/>
        </w:rPr>
        <w:t>3</w:t>
      </w:r>
      <w:r w:rsidR="004F41B7">
        <w:rPr>
          <w:rFonts w:ascii="Arial Black" w:hAnsi="Arial Black"/>
          <w:caps/>
          <w:sz w:val="15"/>
        </w:rPr>
        <w:t> Rev</w:t>
      </w:r>
      <w:r w:rsidR="007714D6">
        <w:rPr>
          <w:rFonts w:ascii="Arial Black" w:hAnsi="Arial Black"/>
          <w:caps/>
          <w:sz w:val="15"/>
        </w:rPr>
        <w:t>.</w:t>
      </w:r>
      <w:r w:rsidR="00F15B3A">
        <w:rPr>
          <w:rFonts w:ascii="Arial Black" w:hAnsi="Arial Black"/>
          <w:caps/>
          <w:sz w:val="15"/>
        </w:rPr>
        <w:t xml:space="preserve"> 2</w:t>
      </w:r>
    </w:p>
    <w:bookmarkEnd w:id="1"/>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Original"/>
      <w:r w:rsidR="00D608CC">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3" w:name="Date"/>
      <w:r w:rsidR="00702AE3">
        <w:rPr>
          <w:rFonts w:ascii="Arial Black" w:hAnsi="Arial Black"/>
          <w:caps/>
          <w:sz w:val="15"/>
        </w:rPr>
        <w:t>13 novembre</w:t>
      </w:r>
      <w:r w:rsidR="00D608CC">
        <w:rPr>
          <w:rFonts w:ascii="Arial Black" w:hAnsi="Arial Black"/>
          <w:caps/>
          <w:sz w:val="15"/>
        </w:rPr>
        <w:t xml:space="preserve"> 2020</w:t>
      </w:r>
    </w:p>
    <w:bookmarkEnd w:id="3"/>
    <w:p w:rsidR="003845C1" w:rsidRPr="00ED2673" w:rsidRDefault="00C61AD5" w:rsidP="00ED2673">
      <w:pPr>
        <w:pStyle w:val="Title"/>
      </w:pPr>
      <w:r w:rsidRPr="00ED2673">
        <w:t>Comité permanent du droit d</w:t>
      </w:r>
      <w:r w:rsidR="00D608CC" w:rsidRPr="00ED2673">
        <w:t>’</w:t>
      </w:r>
      <w:r w:rsidRPr="00ED2673">
        <w:t>auteur et des droits connexes</w:t>
      </w:r>
    </w:p>
    <w:p w:rsidR="00C61AD5" w:rsidRDefault="00C61AD5" w:rsidP="00C61AD5">
      <w:pPr>
        <w:outlineLvl w:val="1"/>
        <w:rPr>
          <w:b/>
          <w:sz w:val="24"/>
          <w:szCs w:val="24"/>
        </w:rPr>
      </w:pPr>
      <w:r w:rsidRPr="00C61AD5">
        <w:rPr>
          <w:b/>
          <w:sz w:val="24"/>
          <w:szCs w:val="24"/>
        </w:rPr>
        <w:t>Quarantième session</w:t>
      </w:r>
    </w:p>
    <w:p w:rsidR="008B2CC1" w:rsidRPr="003845C1" w:rsidRDefault="00C61AD5" w:rsidP="00ED2673">
      <w:pPr>
        <w:spacing w:after="720"/>
        <w:outlineLvl w:val="1"/>
        <w:rPr>
          <w:b/>
          <w:sz w:val="24"/>
          <w:szCs w:val="24"/>
        </w:rPr>
      </w:pPr>
      <w:r w:rsidRPr="00C61AD5">
        <w:rPr>
          <w:b/>
          <w:sz w:val="24"/>
          <w:szCs w:val="24"/>
        </w:rPr>
        <w:t xml:space="preserve">Genève, </w:t>
      </w:r>
      <w:r w:rsidR="007426A6">
        <w:rPr>
          <w:b/>
          <w:sz w:val="24"/>
          <w:szCs w:val="24"/>
        </w:rPr>
        <w:t>16</w:t>
      </w:r>
      <w:r w:rsidRPr="00C61AD5">
        <w:rPr>
          <w:b/>
          <w:sz w:val="24"/>
          <w:szCs w:val="24"/>
        </w:rPr>
        <w:t xml:space="preserve"> – </w:t>
      </w:r>
      <w:r w:rsidR="007426A6">
        <w:rPr>
          <w:b/>
          <w:sz w:val="24"/>
          <w:szCs w:val="24"/>
        </w:rPr>
        <w:t>2</w:t>
      </w:r>
      <w:r w:rsidR="004054A9">
        <w:rPr>
          <w:b/>
          <w:sz w:val="24"/>
          <w:szCs w:val="24"/>
        </w:rPr>
        <w:t>0</w:t>
      </w:r>
      <w:r w:rsidR="007426A6">
        <w:rPr>
          <w:b/>
          <w:sz w:val="24"/>
          <w:szCs w:val="24"/>
        </w:rPr>
        <w:t xml:space="preserve"> novembre</w:t>
      </w:r>
      <w:r w:rsidRPr="00C61AD5">
        <w:rPr>
          <w:b/>
          <w:sz w:val="24"/>
          <w:szCs w:val="24"/>
        </w:rPr>
        <w:t xml:space="preserve"> 2020</w:t>
      </w:r>
    </w:p>
    <w:p w:rsidR="00D608CC" w:rsidRPr="00CB4A59" w:rsidRDefault="00EF60F0" w:rsidP="00D608CC">
      <w:pPr>
        <w:spacing w:after="360"/>
        <w:outlineLvl w:val="0"/>
        <w:rPr>
          <w:caps/>
          <w:sz w:val="24"/>
          <w:lang w:val="fr-FR"/>
        </w:rPr>
      </w:pPr>
      <w:bookmarkStart w:id="4" w:name="TitleOfDoc"/>
      <w:bookmarkStart w:id="5" w:name="Prepared"/>
      <w:r w:rsidRPr="00CB4A59">
        <w:rPr>
          <w:caps/>
          <w:sz w:val="24"/>
          <w:lang w:val="fr-FR"/>
        </w:rPr>
        <w:t xml:space="preserve">Proposition </w:t>
      </w:r>
      <w:r w:rsidR="00D608CC" w:rsidRPr="00CB4A59">
        <w:rPr>
          <w:caps/>
          <w:sz w:val="24"/>
          <w:lang w:val="fr-FR"/>
        </w:rPr>
        <w:t>concernant l’inscription d’une étude sur le droit de prêt public à l’ordre du jour et dans les travaux futurs du Comité permanent du droit d’auteur et des droits connexes de l’</w:t>
      </w:r>
      <w:r w:rsidRPr="00CB4A59">
        <w:rPr>
          <w:caps/>
          <w:sz w:val="24"/>
          <w:lang w:val="fr-FR"/>
        </w:rPr>
        <w:t>Organisation</w:t>
      </w:r>
      <w:r w:rsidR="00D608CC" w:rsidRPr="00CB4A59">
        <w:rPr>
          <w:caps/>
          <w:sz w:val="24"/>
          <w:lang w:val="fr-FR"/>
        </w:rPr>
        <w:t xml:space="preserve"> </w:t>
      </w:r>
      <w:r w:rsidRPr="00CB4A59">
        <w:rPr>
          <w:caps/>
          <w:sz w:val="24"/>
          <w:lang w:val="fr-FR"/>
        </w:rPr>
        <w:t xml:space="preserve">Mondiale </w:t>
      </w:r>
      <w:r w:rsidR="00D608CC" w:rsidRPr="00CB4A59">
        <w:rPr>
          <w:caps/>
          <w:sz w:val="24"/>
          <w:lang w:val="fr-FR"/>
        </w:rPr>
        <w:t xml:space="preserve">de la </w:t>
      </w:r>
      <w:r w:rsidRPr="00CB4A59">
        <w:rPr>
          <w:caps/>
          <w:sz w:val="24"/>
          <w:lang w:val="fr-FR"/>
        </w:rPr>
        <w:t xml:space="preserve">Propriété Intellectuelle </w:t>
      </w:r>
      <w:r w:rsidR="00D608CC" w:rsidRPr="00CB4A59">
        <w:rPr>
          <w:caps/>
          <w:sz w:val="24"/>
          <w:lang w:val="fr-FR"/>
        </w:rPr>
        <w:t>(OMPI)</w:t>
      </w:r>
    </w:p>
    <w:bookmarkEnd w:id="4"/>
    <w:p w:rsidR="00D608CC" w:rsidRPr="00CB35EC" w:rsidRDefault="00ED2673" w:rsidP="00D608CC">
      <w:pPr>
        <w:spacing w:after="1040"/>
        <w:outlineLvl w:val="0"/>
        <w:rPr>
          <w:i/>
          <w:sz w:val="24"/>
          <w:lang w:val="fr-FR"/>
        </w:rPr>
      </w:pPr>
      <w:r>
        <w:rPr>
          <w:i/>
          <w:sz w:val="24"/>
          <w:lang w:val="fr-FR"/>
        </w:rPr>
        <w:t>établi</w:t>
      </w:r>
      <w:r w:rsidR="00930D63">
        <w:rPr>
          <w:i/>
          <w:sz w:val="24"/>
          <w:lang w:val="fr-FR"/>
        </w:rPr>
        <w:t>e</w:t>
      </w:r>
      <w:r w:rsidR="00D608CC" w:rsidRPr="00CB35EC">
        <w:rPr>
          <w:i/>
          <w:sz w:val="24"/>
          <w:lang w:val="fr-FR"/>
        </w:rPr>
        <w:t xml:space="preserve"> par l</w:t>
      </w:r>
      <w:r>
        <w:rPr>
          <w:i/>
          <w:sz w:val="24"/>
          <w:lang w:val="fr-FR"/>
        </w:rPr>
        <w:t>es</w:t>
      </w:r>
      <w:r w:rsidR="00D608CC" w:rsidRPr="00CB35EC">
        <w:rPr>
          <w:i/>
          <w:sz w:val="24"/>
          <w:lang w:val="fr-FR"/>
        </w:rPr>
        <w:t xml:space="preserve"> </w:t>
      </w:r>
      <w:r w:rsidR="007714D6">
        <w:rPr>
          <w:i/>
          <w:sz w:val="24"/>
          <w:lang w:val="fr-FR"/>
        </w:rPr>
        <w:t>République</w:t>
      </w:r>
      <w:r>
        <w:rPr>
          <w:i/>
          <w:sz w:val="24"/>
          <w:lang w:val="fr-FR"/>
        </w:rPr>
        <w:t>s</w:t>
      </w:r>
      <w:r w:rsidR="00D608CC" w:rsidRPr="00CB35EC">
        <w:rPr>
          <w:i/>
          <w:sz w:val="24"/>
          <w:lang w:val="fr-FR"/>
        </w:rPr>
        <w:t xml:space="preserve"> de </w:t>
      </w:r>
      <w:r>
        <w:rPr>
          <w:i/>
          <w:sz w:val="24"/>
          <w:lang w:val="fr-FR"/>
        </w:rPr>
        <w:t xml:space="preserve">la </w:t>
      </w:r>
      <w:r w:rsidR="00D608CC" w:rsidRPr="00CB35EC">
        <w:rPr>
          <w:i/>
          <w:sz w:val="24"/>
          <w:lang w:val="fr-FR"/>
        </w:rPr>
        <w:t>Sierra Leone</w:t>
      </w:r>
      <w:r w:rsidR="00702AE3">
        <w:rPr>
          <w:i/>
          <w:sz w:val="24"/>
          <w:lang w:val="fr-FR"/>
        </w:rPr>
        <w:t xml:space="preserve">, </w:t>
      </w:r>
      <w:r>
        <w:rPr>
          <w:i/>
          <w:sz w:val="24"/>
          <w:lang w:val="fr-FR"/>
        </w:rPr>
        <w:t>du</w:t>
      </w:r>
      <w:r w:rsidR="007714D6">
        <w:rPr>
          <w:i/>
          <w:sz w:val="24"/>
          <w:lang w:val="fr-FR"/>
        </w:rPr>
        <w:t xml:space="preserve"> Panama</w:t>
      </w:r>
      <w:r>
        <w:rPr>
          <w:i/>
          <w:sz w:val="24"/>
          <w:lang w:val="fr-FR"/>
        </w:rPr>
        <w:t xml:space="preserve"> et du</w:t>
      </w:r>
      <w:r w:rsidR="00702AE3">
        <w:rPr>
          <w:i/>
          <w:sz w:val="24"/>
          <w:lang w:val="fr-FR"/>
        </w:rPr>
        <w:t xml:space="preserve"> Malawi</w:t>
      </w:r>
    </w:p>
    <w:p w:rsidR="00EB1979" w:rsidRDefault="00D608CC" w:rsidP="00EB1979">
      <w:pPr>
        <w:spacing w:after="180" w:line="276" w:lineRule="auto"/>
        <w:rPr>
          <w:bCs/>
          <w:szCs w:val="22"/>
          <w:lang w:val="fr-FR"/>
        </w:rPr>
      </w:pPr>
      <w:r w:rsidRPr="00CB35EC">
        <w:rPr>
          <w:caps/>
          <w:sz w:val="24"/>
          <w:lang w:val="fr-FR"/>
        </w:rPr>
        <w:br w:type="page"/>
      </w:r>
      <w:r>
        <w:rPr>
          <w:bCs/>
          <w:szCs w:val="22"/>
          <w:lang w:val="fr-FR"/>
        </w:rPr>
        <w:lastRenderedPageBreak/>
        <w:t>Au cours</w:t>
      </w:r>
      <w:r w:rsidRPr="00CB35EC">
        <w:rPr>
          <w:bCs/>
          <w:szCs w:val="22"/>
          <w:lang w:val="fr-FR"/>
        </w:rPr>
        <w:t xml:space="preserve"> de la trente</w:t>
      </w:r>
      <w:r w:rsidR="00ED2673">
        <w:rPr>
          <w:bCs/>
          <w:szCs w:val="22"/>
          <w:lang w:val="fr-FR"/>
        </w:rPr>
        <w:noBreakHyphen/>
      </w:r>
      <w:r w:rsidRPr="00CB35EC">
        <w:rPr>
          <w:bCs/>
          <w:szCs w:val="22"/>
          <w:lang w:val="fr-FR"/>
        </w:rPr>
        <w:t>neuv</w:t>
      </w:r>
      <w:r>
        <w:rPr>
          <w:bCs/>
          <w:szCs w:val="22"/>
          <w:lang w:val="fr-FR"/>
        </w:rPr>
        <w:t>ième session</w:t>
      </w:r>
      <w:r w:rsidRPr="00CB35EC">
        <w:rPr>
          <w:bCs/>
          <w:szCs w:val="22"/>
          <w:lang w:val="fr-FR"/>
        </w:rPr>
        <w:t xml:space="preserve"> du</w:t>
      </w:r>
      <w:r>
        <w:rPr>
          <w:bCs/>
          <w:szCs w:val="22"/>
          <w:lang w:val="fr-FR"/>
        </w:rPr>
        <w:t> </w:t>
      </w:r>
      <w:r w:rsidRPr="00CB35EC">
        <w:rPr>
          <w:bCs/>
          <w:szCs w:val="22"/>
          <w:lang w:val="fr-FR"/>
        </w:rPr>
        <w:t>SCCR, la Sierra Leone a proposé que l</w:t>
      </w:r>
      <w:r>
        <w:rPr>
          <w:bCs/>
          <w:szCs w:val="22"/>
          <w:lang w:val="fr-FR"/>
        </w:rPr>
        <w:t>’</w:t>
      </w:r>
      <w:r w:rsidRPr="00CB35EC">
        <w:rPr>
          <w:bCs/>
          <w:szCs w:val="22"/>
          <w:lang w:val="fr-FR"/>
        </w:rPr>
        <w:t>OMPI fasse réaliser une étude sur les systèmes de droit de prêt public dans le monde, les avantages qu</w:t>
      </w:r>
      <w:r>
        <w:rPr>
          <w:bCs/>
          <w:szCs w:val="22"/>
          <w:lang w:val="fr-FR"/>
        </w:rPr>
        <w:t>’</w:t>
      </w:r>
      <w:r w:rsidRPr="00CB35EC">
        <w:rPr>
          <w:bCs/>
          <w:szCs w:val="22"/>
          <w:lang w:val="fr-FR"/>
        </w:rPr>
        <w:t>ils apportent aux créateurs et la manière d</w:t>
      </w:r>
      <w:r>
        <w:rPr>
          <w:bCs/>
          <w:szCs w:val="22"/>
          <w:lang w:val="fr-FR"/>
        </w:rPr>
        <w:t>’</w:t>
      </w:r>
      <w:r w:rsidRPr="00CB35EC">
        <w:rPr>
          <w:bCs/>
          <w:szCs w:val="22"/>
          <w:lang w:val="fr-FR"/>
        </w:rPr>
        <w:t>en assurer le fonctionnement</w:t>
      </w:r>
      <w:r>
        <w:rPr>
          <w:bCs/>
          <w:szCs w:val="22"/>
          <w:lang w:val="fr-FR"/>
        </w:rPr>
        <w:t xml:space="preserve">.  </w:t>
      </w:r>
      <w:r w:rsidRPr="00CB35EC">
        <w:rPr>
          <w:bCs/>
          <w:szCs w:val="22"/>
          <w:lang w:val="fr-FR"/>
        </w:rPr>
        <w:t>Cette demande a reçu un accueil positif de la part de nombreux États membres et observateurs</w:t>
      </w:r>
      <w:r>
        <w:rPr>
          <w:bCs/>
          <w:szCs w:val="22"/>
          <w:lang w:val="fr-FR"/>
        </w:rPr>
        <w:t>.  Dans son projet de rapport, l</w:t>
      </w:r>
      <w:r w:rsidRPr="00CB35EC">
        <w:rPr>
          <w:bCs/>
          <w:szCs w:val="22"/>
          <w:lang w:val="fr-FR"/>
        </w:rPr>
        <w:t>e président du</w:t>
      </w:r>
      <w:r>
        <w:rPr>
          <w:bCs/>
          <w:szCs w:val="22"/>
          <w:lang w:val="fr-FR"/>
        </w:rPr>
        <w:t> </w:t>
      </w:r>
      <w:r w:rsidRPr="00CB35EC">
        <w:rPr>
          <w:bCs/>
          <w:szCs w:val="22"/>
          <w:lang w:val="fr-FR"/>
        </w:rPr>
        <w:t>SCCR a indiqué que la question du droit de prêt public avait été soulevée en vue d</w:t>
      </w:r>
      <w:r>
        <w:rPr>
          <w:bCs/>
          <w:szCs w:val="22"/>
          <w:lang w:val="fr-FR"/>
        </w:rPr>
        <w:t>’</w:t>
      </w:r>
      <w:r w:rsidRPr="00CB35EC">
        <w:rPr>
          <w:bCs/>
          <w:szCs w:val="22"/>
          <w:lang w:val="fr-FR"/>
        </w:rPr>
        <w:t>une éventuelle inscription à l</w:t>
      </w:r>
      <w:r>
        <w:rPr>
          <w:bCs/>
          <w:szCs w:val="22"/>
          <w:lang w:val="fr-FR"/>
        </w:rPr>
        <w:t>’</w:t>
      </w:r>
      <w:r w:rsidRPr="00CB35EC">
        <w:rPr>
          <w:bCs/>
          <w:szCs w:val="22"/>
          <w:lang w:val="fr-FR"/>
        </w:rPr>
        <w:t>ordre du jour, et que le comité était favorable à ce qu</w:t>
      </w:r>
      <w:r>
        <w:rPr>
          <w:bCs/>
          <w:szCs w:val="22"/>
          <w:lang w:val="fr-FR"/>
        </w:rPr>
        <w:t>’</w:t>
      </w:r>
      <w:r w:rsidRPr="00CB35EC">
        <w:rPr>
          <w:bCs/>
          <w:szCs w:val="22"/>
          <w:lang w:val="fr-FR"/>
        </w:rPr>
        <w:t>une proposition officielle lui soit présentée la concernant, lors d</w:t>
      </w:r>
      <w:r>
        <w:rPr>
          <w:bCs/>
          <w:szCs w:val="22"/>
          <w:lang w:val="fr-FR"/>
        </w:rPr>
        <w:t>’</w:t>
      </w:r>
      <w:r w:rsidRPr="00CB35EC">
        <w:rPr>
          <w:bCs/>
          <w:szCs w:val="22"/>
          <w:lang w:val="fr-FR"/>
        </w:rPr>
        <w:t>une prochaine réunion</w:t>
      </w:r>
      <w:r>
        <w:rPr>
          <w:bCs/>
          <w:szCs w:val="22"/>
          <w:lang w:val="fr-FR"/>
        </w:rPr>
        <w:t xml:space="preserve">.  </w:t>
      </w:r>
      <w:r w:rsidR="00702AE3">
        <w:rPr>
          <w:bCs/>
          <w:szCs w:val="22"/>
          <w:lang w:val="fr-FR"/>
        </w:rPr>
        <w:t xml:space="preserve">La Sierra Leone, </w:t>
      </w:r>
      <w:r w:rsidR="007714D6">
        <w:rPr>
          <w:bCs/>
          <w:szCs w:val="22"/>
          <w:lang w:val="fr-FR"/>
        </w:rPr>
        <w:t>le Panama</w:t>
      </w:r>
      <w:r w:rsidR="00702AE3">
        <w:rPr>
          <w:bCs/>
          <w:szCs w:val="22"/>
          <w:lang w:val="fr-FR"/>
        </w:rPr>
        <w:t xml:space="preserve"> et le Malawi</w:t>
      </w:r>
      <w:r w:rsidR="007714D6">
        <w:rPr>
          <w:bCs/>
          <w:szCs w:val="22"/>
          <w:lang w:val="fr-FR"/>
        </w:rPr>
        <w:t xml:space="preserve"> </w:t>
      </w:r>
      <w:r w:rsidRPr="00CB35EC">
        <w:rPr>
          <w:bCs/>
          <w:szCs w:val="22"/>
          <w:lang w:val="fr-FR"/>
        </w:rPr>
        <w:t>soumet</w:t>
      </w:r>
      <w:r w:rsidR="007714D6">
        <w:rPr>
          <w:bCs/>
          <w:szCs w:val="22"/>
          <w:lang w:val="fr-FR"/>
        </w:rPr>
        <w:t>tent</w:t>
      </w:r>
      <w:r w:rsidRPr="00CB35EC">
        <w:rPr>
          <w:bCs/>
          <w:szCs w:val="22"/>
          <w:lang w:val="fr-FR"/>
        </w:rPr>
        <w:t xml:space="preserve"> donc la présente proposition, par laquelle </w:t>
      </w:r>
      <w:r w:rsidR="007714D6">
        <w:rPr>
          <w:bCs/>
          <w:szCs w:val="22"/>
          <w:lang w:val="fr-FR"/>
        </w:rPr>
        <w:t>ils</w:t>
      </w:r>
      <w:r w:rsidRPr="00CB35EC">
        <w:rPr>
          <w:bCs/>
          <w:szCs w:val="22"/>
          <w:lang w:val="fr-FR"/>
        </w:rPr>
        <w:t xml:space="preserve"> demande</w:t>
      </w:r>
      <w:r w:rsidR="007714D6">
        <w:rPr>
          <w:bCs/>
          <w:szCs w:val="22"/>
          <w:lang w:val="fr-FR"/>
        </w:rPr>
        <w:t>nt</w:t>
      </w:r>
      <w:r w:rsidRPr="00CB35EC">
        <w:rPr>
          <w:bCs/>
          <w:szCs w:val="22"/>
          <w:lang w:val="fr-FR"/>
        </w:rPr>
        <w:t xml:space="preserve"> officiellement que soit inscrite à l</w:t>
      </w:r>
      <w:r>
        <w:rPr>
          <w:bCs/>
          <w:szCs w:val="22"/>
          <w:lang w:val="fr-FR"/>
        </w:rPr>
        <w:t>’</w:t>
      </w:r>
      <w:r w:rsidRPr="00CB35EC">
        <w:rPr>
          <w:bCs/>
          <w:szCs w:val="22"/>
          <w:lang w:val="fr-FR"/>
        </w:rPr>
        <w:t>ordre du jour et dans les travaux futurs du</w:t>
      </w:r>
      <w:r>
        <w:rPr>
          <w:bCs/>
          <w:szCs w:val="22"/>
          <w:lang w:val="fr-FR"/>
        </w:rPr>
        <w:t> </w:t>
      </w:r>
      <w:r w:rsidRPr="00CB35EC">
        <w:rPr>
          <w:bCs/>
          <w:szCs w:val="22"/>
          <w:lang w:val="fr-FR"/>
        </w:rPr>
        <w:t>SCCR la réalisation sous les auspices de l</w:t>
      </w:r>
      <w:r>
        <w:rPr>
          <w:bCs/>
          <w:szCs w:val="22"/>
          <w:lang w:val="fr-FR"/>
        </w:rPr>
        <w:t>’</w:t>
      </w:r>
      <w:r w:rsidRPr="00CB35EC">
        <w:rPr>
          <w:bCs/>
          <w:szCs w:val="22"/>
          <w:lang w:val="fr-FR"/>
        </w:rPr>
        <w:t>OMPI d</w:t>
      </w:r>
      <w:r>
        <w:rPr>
          <w:bCs/>
          <w:szCs w:val="22"/>
          <w:lang w:val="fr-FR"/>
        </w:rPr>
        <w:t>’</w:t>
      </w:r>
      <w:r w:rsidRPr="00CB35EC">
        <w:rPr>
          <w:bCs/>
          <w:szCs w:val="22"/>
          <w:lang w:val="fr-FR"/>
        </w:rPr>
        <w:t>une étude visant à fournir des informations plus détaillées sur les différentes possibilités de mise en place d</w:t>
      </w:r>
      <w:r>
        <w:rPr>
          <w:bCs/>
          <w:szCs w:val="22"/>
          <w:lang w:val="fr-FR"/>
        </w:rPr>
        <w:t>’</w:t>
      </w:r>
      <w:r w:rsidRPr="00CB35EC">
        <w:rPr>
          <w:bCs/>
          <w:szCs w:val="22"/>
          <w:lang w:val="fr-FR"/>
        </w:rPr>
        <w:t>un système de droit de prêt public, les limitations de ce dernier et les moyens d</w:t>
      </w:r>
      <w:r>
        <w:rPr>
          <w:bCs/>
          <w:szCs w:val="22"/>
          <w:lang w:val="fr-FR"/>
        </w:rPr>
        <w:t>’</w:t>
      </w:r>
      <w:r w:rsidRPr="00CB35EC">
        <w:rPr>
          <w:bCs/>
          <w:szCs w:val="22"/>
          <w:lang w:val="fr-FR"/>
        </w:rPr>
        <w:t>y remédier, ainsi que les solutions qui s</w:t>
      </w:r>
      <w:r>
        <w:rPr>
          <w:bCs/>
          <w:szCs w:val="22"/>
          <w:lang w:val="fr-FR"/>
        </w:rPr>
        <w:t>’</w:t>
      </w:r>
      <w:r w:rsidRPr="00CB35EC">
        <w:rPr>
          <w:bCs/>
          <w:szCs w:val="22"/>
          <w:lang w:val="fr-FR"/>
        </w:rPr>
        <w:t>offrent à nous pour accéder à l</w:t>
      </w:r>
      <w:r>
        <w:rPr>
          <w:bCs/>
          <w:szCs w:val="22"/>
          <w:lang w:val="fr-FR"/>
        </w:rPr>
        <w:t>’</w:t>
      </w:r>
      <w:r w:rsidRPr="00CB35EC">
        <w:rPr>
          <w:bCs/>
          <w:szCs w:val="22"/>
          <w:lang w:val="fr-FR"/>
        </w:rPr>
        <w:t xml:space="preserve">aide et au renforcement des capacités qui nous seront nécessaires pour </w:t>
      </w:r>
      <w:r>
        <w:rPr>
          <w:bCs/>
          <w:szCs w:val="22"/>
          <w:lang w:val="fr-FR"/>
        </w:rPr>
        <w:t>donner corps à</w:t>
      </w:r>
      <w:r w:rsidRPr="00CB35EC">
        <w:rPr>
          <w:bCs/>
          <w:szCs w:val="22"/>
          <w:lang w:val="fr-FR"/>
        </w:rPr>
        <w:t xml:space="preserve"> un tel système.</w:t>
      </w:r>
    </w:p>
    <w:p w:rsidR="00EB1979" w:rsidRDefault="00D608CC" w:rsidP="00EB1979">
      <w:pPr>
        <w:spacing w:after="180" w:line="276" w:lineRule="auto"/>
        <w:rPr>
          <w:bCs/>
          <w:szCs w:val="22"/>
          <w:lang w:val="fr-FR"/>
        </w:rPr>
      </w:pPr>
      <w:r w:rsidRPr="00CB35EC">
        <w:rPr>
          <w:bCs/>
          <w:szCs w:val="22"/>
          <w:lang w:val="fr-FR"/>
        </w:rPr>
        <w:t>Le droit de prêt public est une prérogative de l</w:t>
      </w:r>
      <w:r>
        <w:rPr>
          <w:bCs/>
          <w:szCs w:val="22"/>
          <w:lang w:val="fr-FR"/>
        </w:rPr>
        <w:t>’</w:t>
      </w:r>
      <w:r w:rsidRPr="00CB35EC">
        <w:rPr>
          <w:bCs/>
          <w:szCs w:val="22"/>
          <w:lang w:val="fr-FR"/>
        </w:rPr>
        <w:t>auteur, qui est prévue dans les traités internationaux de l</w:t>
      </w:r>
      <w:r>
        <w:rPr>
          <w:bCs/>
          <w:szCs w:val="22"/>
          <w:lang w:val="fr-FR"/>
        </w:rPr>
        <w:t>’</w:t>
      </w:r>
      <w:r w:rsidRPr="00CB35EC">
        <w:rPr>
          <w:bCs/>
          <w:szCs w:val="22"/>
          <w:lang w:val="fr-FR"/>
        </w:rPr>
        <w:t>OMPI</w:t>
      </w:r>
      <w:r>
        <w:rPr>
          <w:bCs/>
          <w:szCs w:val="22"/>
          <w:lang w:val="fr-FR"/>
        </w:rPr>
        <w:t xml:space="preserve">.  </w:t>
      </w:r>
      <w:r w:rsidRPr="00CB35EC">
        <w:rPr>
          <w:bCs/>
          <w:szCs w:val="22"/>
          <w:lang w:val="fr-FR"/>
        </w:rPr>
        <w:t>Il constitue pour les gouvernements un moyen simple et peu onéreux de soutenir les auteurs, les artistes visuels et les autres titulaires de droits de tous les domaines, genres littéraires et profils culturels et linguistiques, et en même temps, de reconnaître la valeur de la contribution sociale que constitue le prêt de leurs ouvrages par les bibliothèques</w:t>
      </w:r>
      <w:r>
        <w:rPr>
          <w:bCs/>
          <w:szCs w:val="22"/>
          <w:lang w:val="fr-FR"/>
        </w:rPr>
        <w:t xml:space="preserve">.  </w:t>
      </w:r>
      <w:r w:rsidRPr="00CB35EC">
        <w:rPr>
          <w:bCs/>
          <w:szCs w:val="22"/>
          <w:lang w:val="fr-FR"/>
        </w:rPr>
        <w:t xml:space="preserve">Les sommes versées au titre du droit de prêt public peuvent </w:t>
      </w:r>
      <w:r>
        <w:rPr>
          <w:bCs/>
          <w:szCs w:val="22"/>
          <w:lang w:val="fr-FR"/>
        </w:rPr>
        <w:t>grandement dynamiser</w:t>
      </w:r>
      <w:r w:rsidRPr="00CB35EC">
        <w:rPr>
          <w:bCs/>
          <w:szCs w:val="22"/>
          <w:lang w:val="fr-FR"/>
        </w:rPr>
        <w:t xml:space="preserve"> nos industries de la création</w:t>
      </w:r>
      <w:r>
        <w:rPr>
          <w:bCs/>
          <w:szCs w:val="22"/>
          <w:lang w:val="fr-FR"/>
        </w:rPr>
        <w:t xml:space="preserve">.  </w:t>
      </w:r>
      <w:r w:rsidRPr="00CB35EC">
        <w:rPr>
          <w:bCs/>
          <w:szCs w:val="22"/>
          <w:lang w:val="fr-FR"/>
        </w:rPr>
        <w:t>Le principe défendu par le droit de prêt public est celui selon lequel toute utilisation doit donner lieu à compensation, conformément à la Déclaration universelle des droits de l</w:t>
      </w:r>
      <w:r>
        <w:rPr>
          <w:bCs/>
          <w:szCs w:val="22"/>
          <w:lang w:val="fr-FR"/>
        </w:rPr>
        <w:t>’</w:t>
      </w:r>
      <w:r w:rsidRPr="00CB35EC">
        <w:rPr>
          <w:bCs/>
          <w:szCs w:val="22"/>
          <w:lang w:val="fr-FR"/>
        </w:rPr>
        <w:t>homme, en vertu de laquelle les auteurs ont le droit d</w:t>
      </w:r>
      <w:r>
        <w:rPr>
          <w:bCs/>
          <w:szCs w:val="22"/>
          <w:lang w:val="fr-FR"/>
        </w:rPr>
        <w:t>’</w:t>
      </w:r>
      <w:r w:rsidRPr="00CB35EC">
        <w:rPr>
          <w:bCs/>
          <w:szCs w:val="22"/>
          <w:lang w:val="fr-FR"/>
        </w:rPr>
        <w:t>être rémunérés pour toute utilisation de leurs œuvres.</w:t>
      </w:r>
    </w:p>
    <w:p w:rsidR="00EB1979" w:rsidRDefault="00D608CC" w:rsidP="00EB1979">
      <w:pPr>
        <w:spacing w:after="180" w:line="276" w:lineRule="auto"/>
        <w:rPr>
          <w:bCs/>
          <w:szCs w:val="22"/>
          <w:lang w:val="fr-FR"/>
        </w:rPr>
      </w:pPr>
      <w:r w:rsidRPr="00CB35EC">
        <w:rPr>
          <w:bCs/>
          <w:szCs w:val="22"/>
          <w:lang w:val="fr-FR"/>
        </w:rPr>
        <w:t>À l</w:t>
      </w:r>
      <w:r>
        <w:rPr>
          <w:bCs/>
          <w:szCs w:val="22"/>
          <w:lang w:val="fr-FR"/>
        </w:rPr>
        <w:t>’</w:t>
      </w:r>
      <w:r w:rsidRPr="00CB35EC">
        <w:rPr>
          <w:bCs/>
          <w:szCs w:val="22"/>
          <w:lang w:val="fr-FR"/>
        </w:rPr>
        <w:t>heure actuelle, les pays qui ont un système de droit de prêt public sont au nombre de 35.  Un grand nombre d</w:t>
      </w:r>
      <w:r>
        <w:rPr>
          <w:bCs/>
          <w:szCs w:val="22"/>
          <w:lang w:val="fr-FR"/>
        </w:rPr>
        <w:t>’</w:t>
      </w:r>
      <w:r w:rsidRPr="00CB35EC">
        <w:rPr>
          <w:bCs/>
          <w:szCs w:val="22"/>
          <w:lang w:val="fr-FR"/>
        </w:rPr>
        <w:t>entre eux sont en Europe, les États membres de l</w:t>
      </w:r>
      <w:r>
        <w:rPr>
          <w:bCs/>
          <w:szCs w:val="22"/>
          <w:lang w:val="fr-FR"/>
        </w:rPr>
        <w:t>’</w:t>
      </w:r>
      <w:r w:rsidRPr="00CB35EC">
        <w:rPr>
          <w:bCs/>
          <w:szCs w:val="22"/>
          <w:lang w:val="fr-FR"/>
        </w:rPr>
        <w:t>Union européenne étant légalement tenus de reconnaître le droit de prêt public depuis</w:t>
      </w:r>
      <w:r>
        <w:rPr>
          <w:bCs/>
          <w:szCs w:val="22"/>
          <w:lang w:val="fr-FR"/>
        </w:rPr>
        <w:t> </w:t>
      </w:r>
      <w:r w:rsidRPr="00CB35EC">
        <w:rPr>
          <w:bCs/>
          <w:szCs w:val="22"/>
          <w:lang w:val="fr-FR"/>
        </w:rPr>
        <w:t>1992, mais des travaux sont en cours en vue de la mise en place de systèmes de droit de prêt public dans un nombre croissant de pays aussi divers que l</w:t>
      </w:r>
      <w:r>
        <w:rPr>
          <w:bCs/>
          <w:szCs w:val="22"/>
          <w:lang w:val="fr-FR"/>
        </w:rPr>
        <w:t>’</w:t>
      </w:r>
      <w:r w:rsidRPr="00CB35EC">
        <w:rPr>
          <w:bCs/>
          <w:szCs w:val="22"/>
          <w:lang w:val="fr-FR"/>
        </w:rPr>
        <w:t>Afrique du Sud, les États</w:t>
      </w:r>
      <w:r w:rsidR="00ED2673">
        <w:rPr>
          <w:bCs/>
          <w:szCs w:val="22"/>
          <w:lang w:val="fr-FR"/>
        </w:rPr>
        <w:noBreakHyphen/>
      </w:r>
      <w:r w:rsidRPr="00CB35EC">
        <w:rPr>
          <w:bCs/>
          <w:szCs w:val="22"/>
          <w:lang w:val="fr-FR"/>
        </w:rPr>
        <w:t>Unis d</w:t>
      </w:r>
      <w:r>
        <w:rPr>
          <w:bCs/>
          <w:szCs w:val="22"/>
          <w:lang w:val="fr-FR"/>
        </w:rPr>
        <w:t>’</w:t>
      </w:r>
      <w:r w:rsidRPr="00CB35EC">
        <w:rPr>
          <w:bCs/>
          <w:szCs w:val="22"/>
          <w:lang w:val="fr-FR"/>
        </w:rPr>
        <w:t xml:space="preserve">Amérique, </w:t>
      </w:r>
      <w:r w:rsidR="007714D6">
        <w:rPr>
          <w:bCs/>
          <w:szCs w:val="22"/>
          <w:lang w:val="fr-FR"/>
        </w:rPr>
        <w:t>le Malawi et la Turquie</w:t>
      </w:r>
      <w:r w:rsidRPr="00CB35EC">
        <w:rPr>
          <w:bCs/>
          <w:szCs w:val="22"/>
          <w:lang w:val="fr-FR"/>
        </w:rPr>
        <w:t>.</w:t>
      </w:r>
    </w:p>
    <w:p w:rsidR="00EB1979" w:rsidRPr="00E87664" w:rsidRDefault="00D608CC" w:rsidP="00704C5C">
      <w:pPr>
        <w:pStyle w:val="ONUMFS"/>
        <w:numPr>
          <w:ilvl w:val="0"/>
          <w:numId w:val="0"/>
        </w:numPr>
        <w:rPr>
          <w:bCs/>
          <w:szCs w:val="22"/>
          <w:lang w:val="fr-FR"/>
        </w:rPr>
      </w:pPr>
      <w:r w:rsidRPr="00E87664">
        <w:rPr>
          <w:bCs/>
          <w:szCs w:val="22"/>
          <w:lang w:val="fr-FR"/>
        </w:rPr>
        <w:t>La mise en œuvre d’un système de droit de prêt public peut être adaptée facilement à la situation particulière de chaque pays, mais il existe pour l’instant trois approches établies à cet égard.</w:t>
      </w:r>
    </w:p>
    <w:p w:rsidR="00EB1979" w:rsidRDefault="00D608CC" w:rsidP="00EB1979">
      <w:pPr>
        <w:spacing w:after="180" w:line="276" w:lineRule="auto"/>
        <w:rPr>
          <w:bCs/>
          <w:szCs w:val="22"/>
          <w:lang w:val="fr-FR"/>
        </w:rPr>
      </w:pPr>
      <w:r w:rsidRPr="00CB35EC">
        <w:rPr>
          <w:bCs/>
          <w:szCs w:val="22"/>
          <w:lang w:val="fr-FR"/>
        </w:rPr>
        <w:t>Tout d</w:t>
      </w:r>
      <w:r>
        <w:rPr>
          <w:bCs/>
          <w:szCs w:val="22"/>
          <w:lang w:val="fr-FR"/>
        </w:rPr>
        <w:t>’</w:t>
      </w:r>
      <w:r w:rsidRPr="00CB35EC">
        <w:rPr>
          <w:bCs/>
          <w:szCs w:val="22"/>
          <w:lang w:val="fr-FR"/>
        </w:rPr>
        <w:t>abord, le droit de prêt public peut être institué comme un droit exclusif découlant de la législation sur le droit d</w:t>
      </w:r>
      <w:r>
        <w:rPr>
          <w:bCs/>
          <w:szCs w:val="22"/>
          <w:lang w:val="fr-FR"/>
        </w:rPr>
        <w:t>’</w:t>
      </w:r>
      <w:r w:rsidRPr="00CB35EC">
        <w:rPr>
          <w:bCs/>
          <w:szCs w:val="22"/>
          <w:lang w:val="fr-FR"/>
        </w:rPr>
        <w:t>auteur et régissant une utilisation parmi d</w:t>
      </w:r>
      <w:r>
        <w:rPr>
          <w:bCs/>
          <w:szCs w:val="22"/>
          <w:lang w:val="fr-FR"/>
        </w:rPr>
        <w:t>’</w:t>
      </w:r>
      <w:r w:rsidRPr="00CB35EC">
        <w:rPr>
          <w:bCs/>
          <w:szCs w:val="22"/>
          <w:lang w:val="fr-FR"/>
        </w:rPr>
        <w:t>autres des œuvres des auteurs</w:t>
      </w:r>
      <w:r>
        <w:rPr>
          <w:bCs/>
          <w:szCs w:val="22"/>
          <w:lang w:val="fr-FR"/>
        </w:rPr>
        <w:t xml:space="preserve">.  </w:t>
      </w:r>
      <w:r w:rsidRPr="00CB35EC">
        <w:rPr>
          <w:bCs/>
          <w:szCs w:val="22"/>
          <w:lang w:val="fr-FR"/>
        </w:rPr>
        <w:t>Ce lien avec le droit d</w:t>
      </w:r>
      <w:r>
        <w:rPr>
          <w:bCs/>
          <w:szCs w:val="22"/>
          <w:lang w:val="fr-FR"/>
        </w:rPr>
        <w:t>’</w:t>
      </w:r>
      <w:r w:rsidRPr="00CB35EC">
        <w:rPr>
          <w:bCs/>
          <w:szCs w:val="22"/>
          <w:lang w:val="fr-FR"/>
        </w:rPr>
        <w:t>auteur n</w:t>
      </w:r>
      <w:r>
        <w:rPr>
          <w:bCs/>
          <w:szCs w:val="22"/>
          <w:lang w:val="fr-FR"/>
        </w:rPr>
        <w:t>’</w:t>
      </w:r>
      <w:r w:rsidRPr="00CB35EC">
        <w:rPr>
          <w:bCs/>
          <w:szCs w:val="22"/>
          <w:lang w:val="fr-FR"/>
        </w:rPr>
        <w:t>est toutefois pas obligatoire, et peut entraîner une obligation de versement de rémunérations aux auteurs de pays étrangers, en vertu du principe du traitement national</w:t>
      </w:r>
      <w:r>
        <w:rPr>
          <w:bCs/>
          <w:szCs w:val="22"/>
          <w:lang w:val="fr-FR"/>
        </w:rPr>
        <w:t xml:space="preserve">.  </w:t>
      </w:r>
      <w:r w:rsidRPr="00CB35EC">
        <w:rPr>
          <w:bCs/>
          <w:szCs w:val="22"/>
          <w:lang w:val="fr-FR"/>
        </w:rPr>
        <w:t>Deuxièmement, un système de droit de prêt public peut avoir son propre régime juridique</w:t>
      </w:r>
      <w:r>
        <w:rPr>
          <w:bCs/>
          <w:szCs w:val="22"/>
          <w:lang w:val="fr-FR"/>
        </w:rPr>
        <w:t xml:space="preserve">.  </w:t>
      </w:r>
      <w:r w:rsidRPr="00CB35EC">
        <w:rPr>
          <w:bCs/>
          <w:szCs w:val="22"/>
          <w:lang w:val="fr-FR"/>
        </w:rPr>
        <w:t>On peut citer, à cet égard, l</w:t>
      </w:r>
      <w:r>
        <w:rPr>
          <w:bCs/>
          <w:szCs w:val="22"/>
          <w:lang w:val="fr-FR"/>
        </w:rPr>
        <w:t>’</w:t>
      </w:r>
      <w:r w:rsidRPr="00CB35EC">
        <w:rPr>
          <w:bCs/>
          <w:szCs w:val="22"/>
          <w:lang w:val="fr-FR"/>
        </w:rPr>
        <w:t>exemple du Royaume</w:t>
      </w:r>
      <w:r w:rsidR="00ED2673">
        <w:rPr>
          <w:bCs/>
          <w:szCs w:val="22"/>
          <w:lang w:val="fr-FR"/>
        </w:rPr>
        <w:noBreakHyphen/>
      </w:r>
      <w:r w:rsidRPr="00CB35EC">
        <w:rPr>
          <w:bCs/>
          <w:szCs w:val="22"/>
          <w:lang w:val="fr-FR"/>
        </w:rPr>
        <w:t>Uni, où les auteurs ont célébré l</w:t>
      </w:r>
      <w:r>
        <w:rPr>
          <w:bCs/>
          <w:szCs w:val="22"/>
          <w:lang w:val="fr-FR"/>
        </w:rPr>
        <w:t>’</w:t>
      </w:r>
      <w:r w:rsidRPr="00CB35EC">
        <w:rPr>
          <w:bCs/>
          <w:szCs w:val="22"/>
          <w:lang w:val="fr-FR"/>
        </w:rPr>
        <w:t>an dernier le 40</w:t>
      </w:r>
      <w:r w:rsidRPr="00CB35EC">
        <w:rPr>
          <w:bCs/>
          <w:szCs w:val="22"/>
          <w:vertAlign w:val="superscript"/>
          <w:lang w:val="fr-FR"/>
        </w:rPr>
        <w:t>e</w:t>
      </w:r>
      <w:r w:rsidRPr="00CB35EC">
        <w:rPr>
          <w:bCs/>
          <w:szCs w:val="22"/>
          <w:lang w:val="fr-FR"/>
        </w:rPr>
        <w:t xml:space="preserve"> anniversaire de la loi de</w:t>
      </w:r>
      <w:r>
        <w:rPr>
          <w:bCs/>
          <w:szCs w:val="22"/>
          <w:lang w:val="fr-FR"/>
        </w:rPr>
        <w:t> </w:t>
      </w:r>
      <w:r w:rsidRPr="00CB35EC">
        <w:rPr>
          <w:bCs/>
          <w:szCs w:val="22"/>
          <w:lang w:val="fr-FR"/>
        </w:rPr>
        <w:t>1979 sur le droit de prêt public</w:t>
      </w:r>
      <w:r>
        <w:rPr>
          <w:bCs/>
          <w:szCs w:val="22"/>
          <w:lang w:val="fr-FR"/>
        </w:rPr>
        <w:t xml:space="preserve">.  </w:t>
      </w:r>
      <w:r w:rsidRPr="00CB35EC">
        <w:rPr>
          <w:bCs/>
          <w:szCs w:val="22"/>
          <w:lang w:val="fr-FR"/>
        </w:rPr>
        <w:t>En troisième lieu, le droit de prêt public peut être intégré à la structure de soutien de la culture et de la langue d</w:t>
      </w:r>
      <w:r>
        <w:rPr>
          <w:bCs/>
          <w:szCs w:val="22"/>
          <w:lang w:val="fr-FR"/>
        </w:rPr>
        <w:t>’</w:t>
      </w:r>
      <w:r w:rsidRPr="00CB35EC">
        <w:rPr>
          <w:bCs/>
          <w:szCs w:val="22"/>
          <w:lang w:val="fr-FR"/>
        </w:rPr>
        <w:t>un pays</w:t>
      </w:r>
      <w:r>
        <w:rPr>
          <w:bCs/>
          <w:szCs w:val="22"/>
          <w:lang w:val="fr-FR"/>
        </w:rPr>
        <w:t xml:space="preserve">.  </w:t>
      </w:r>
      <w:r w:rsidRPr="00CB35EC">
        <w:rPr>
          <w:bCs/>
          <w:szCs w:val="22"/>
          <w:lang w:val="fr-FR"/>
        </w:rPr>
        <w:t>C</w:t>
      </w:r>
      <w:r>
        <w:rPr>
          <w:bCs/>
          <w:szCs w:val="22"/>
          <w:lang w:val="fr-FR"/>
        </w:rPr>
        <w:t>’</w:t>
      </w:r>
      <w:r w:rsidRPr="00CB35EC">
        <w:rPr>
          <w:bCs/>
          <w:szCs w:val="22"/>
          <w:lang w:val="fr-FR"/>
        </w:rPr>
        <w:t>est notamment le cas dans plusieurs pays d</w:t>
      </w:r>
      <w:r>
        <w:rPr>
          <w:bCs/>
          <w:szCs w:val="22"/>
          <w:lang w:val="fr-FR"/>
        </w:rPr>
        <w:t>’</w:t>
      </w:r>
      <w:r w:rsidRPr="00CB35EC">
        <w:rPr>
          <w:bCs/>
          <w:szCs w:val="22"/>
          <w:lang w:val="fr-FR"/>
        </w:rPr>
        <w:t>Europe (par exemple le Danemark, la Norvège et la Suède), où la rémunération du prêt public est réservée aux auteurs qui écrivent dans la ou les langues nationales.  L</w:t>
      </w:r>
      <w:r>
        <w:rPr>
          <w:bCs/>
          <w:szCs w:val="22"/>
          <w:lang w:val="fr-FR"/>
        </w:rPr>
        <w:t>’</w:t>
      </w:r>
      <w:r w:rsidRPr="00CB35EC">
        <w:rPr>
          <w:bCs/>
          <w:szCs w:val="22"/>
          <w:lang w:val="fr-FR"/>
        </w:rPr>
        <w:t>Australie et le Canada ont également des systèmes de droit de prêt public conçus pour soutenir les auteurs qui sont citoyens de leur pays</w:t>
      </w:r>
      <w:r>
        <w:rPr>
          <w:bCs/>
          <w:szCs w:val="22"/>
          <w:lang w:val="fr-FR"/>
        </w:rPr>
        <w:t xml:space="preserve">.  </w:t>
      </w:r>
      <w:r w:rsidRPr="00CB35EC">
        <w:rPr>
          <w:bCs/>
          <w:szCs w:val="22"/>
          <w:lang w:val="fr-FR"/>
        </w:rPr>
        <w:t>Cela</w:t>
      </w:r>
      <w:r w:rsidR="00F06619">
        <w:rPr>
          <w:bCs/>
          <w:szCs w:val="22"/>
          <w:lang w:val="fr-FR"/>
        </w:rPr>
        <w:t> </w:t>
      </w:r>
      <w:r w:rsidRPr="00CB35EC">
        <w:rPr>
          <w:bCs/>
          <w:szCs w:val="22"/>
          <w:lang w:val="fr-FR"/>
        </w:rPr>
        <w:t>contribue fortement à encourager l</w:t>
      </w:r>
      <w:r>
        <w:rPr>
          <w:bCs/>
          <w:szCs w:val="22"/>
          <w:lang w:val="fr-FR"/>
        </w:rPr>
        <w:t>’</w:t>
      </w:r>
      <w:r w:rsidRPr="00CB35EC">
        <w:rPr>
          <w:bCs/>
          <w:szCs w:val="22"/>
          <w:lang w:val="fr-FR"/>
        </w:rPr>
        <w:t xml:space="preserve">écriture dans les langues locales par des écrivains </w:t>
      </w:r>
      <w:r w:rsidRPr="00CB35EC">
        <w:rPr>
          <w:bCs/>
          <w:szCs w:val="22"/>
          <w:lang w:val="fr-FR"/>
        </w:rPr>
        <w:lastRenderedPageBreak/>
        <w:t>locaux</w:t>
      </w:r>
      <w:r>
        <w:rPr>
          <w:bCs/>
          <w:szCs w:val="22"/>
          <w:lang w:val="fr-FR"/>
        </w:rPr>
        <w:t xml:space="preserve">.  </w:t>
      </w:r>
      <w:r w:rsidRPr="00CB35EC">
        <w:rPr>
          <w:bCs/>
          <w:szCs w:val="22"/>
          <w:lang w:val="fr-FR"/>
        </w:rPr>
        <w:t>En plus d</w:t>
      </w:r>
      <w:r>
        <w:rPr>
          <w:bCs/>
          <w:szCs w:val="22"/>
          <w:lang w:val="fr-FR"/>
        </w:rPr>
        <w:t>’avoir un</w:t>
      </w:r>
      <w:r w:rsidRPr="00CB35EC">
        <w:rPr>
          <w:bCs/>
          <w:szCs w:val="22"/>
          <w:lang w:val="fr-FR"/>
        </w:rPr>
        <w:t xml:space="preserve"> rôle d</w:t>
      </w:r>
      <w:r>
        <w:rPr>
          <w:bCs/>
          <w:szCs w:val="22"/>
          <w:lang w:val="fr-FR"/>
        </w:rPr>
        <w:t>’</w:t>
      </w:r>
      <w:r w:rsidRPr="00CB35EC">
        <w:rPr>
          <w:bCs/>
          <w:szCs w:val="22"/>
          <w:lang w:val="fr-FR"/>
        </w:rPr>
        <w:t xml:space="preserve">éducation et de distraction, la créativité </w:t>
      </w:r>
      <w:r>
        <w:rPr>
          <w:bCs/>
          <w:szCs w:val="22"/>
          <w:lang w:val="fr-FR"/>
        </w:rPr>
        <w:t>ainsi déployée</w:t>
      </w:r>
      <w:r w:rsidRPr="00CB35EC">
        <w:rPr>
          <w:bCs/>
          <w:szCs w:val="22"/>
          <w:lang w:val="fr-FR"/>
        </w:rPr>
        <w:t xml:space="preserve"> favorise la diversité linguistique et culturelle, ainsi que le développement économique.</w:t>
      </w:r>
    </w:p>
    <w:p w:rsidR="00EB1979" w:rsidRDefault="00D608CC" w:rsidP="00EB1979">
      <w:pPr>
        <w:spacing w:after="180"/>
        <w:rPr>
          <w:bCs/>
          <w:szCs w:val="22"/>
          <w:lang w:val="fr-FR"/>
        </w:rPr>
      </w:pPr>
      <w:r w:rsidRPr="00CB35EC">
        <w:rPr>
          <w:bCs/>
          <w:szCs w:val="22"/>
          <w:lang w:val="fr-FR"/>
        </w:rPr>
        <w:t>La gouvernance des systèmes de droit de prêt public peut être assurée de deux</w:t>
      </w:r>
      <w:r>
        <w:rPr>
          <w:bCs/>
          <w:szCs w:val="22"/>
          <w:lang w:val="fr-FR"/>
        </w:rPr>
        <w:t> </w:t>
      </w:r>
      <w:r w:rsidRPr="00CB35EC">
        <w:rPr>
          <w:bCs/>
          <w:szCs w:val="22"/>
          <w:lang w:val="fr-FR"/>
        </w:rPr>
        <w:t>manières</w:t>
      </w:r>
      <w:r>
        <w:rPr>
          <w:bCs/>
          <w:szCs w:val="22"/>
          <w:lang w:val="fr-FR"/>
        </w:rPr>
        <w:t> :</w:t>
      </w:r>
    </w:p>
    <w:p w:rsidR="00D608CC" w:rsidRDefault="00D608CC" w:rsidP="00ED2673">
      <w:pPr>
        <w:numPr>
          <w:ilvl w:val="0"/>
          <w:numId w:val="7"/>
        </w:numPr>
        <w:spacing w:after="180" w:line="276" w:lineRule="auto"/>
        <w:ind w:left="1134" w:hanging="567"/>
        <w:rPr>
          <w:bCs/>
          <w:szCs w:val="22"/>
          <w:lang w:val="fr-FR"/>
        </w:rPr>
      </w:pPr>
      <w:r w:rsidRPr="00CB35EC">
        <w:rPr>
          <w:bCs/>
          <w:szCs w:val="22"/>
          <w:lang w:val="fr-FR"/>
        </w:rPr>
        <w:t>par une organisation de gestion collective ou un autre organisme de gestion de droits, parallèlement à d</w:t>
      </w:r>
      <w:r>
        <w:rPr>
          <w:bCs/>
          <w:szCs w:val="22"/>
          <w:lang w:val="fr-FR"/>
        </w:rPr>
        <w:t>’</w:t>
      </w:r>
      <w:r w:rsidRPr="00CB35EC">
        <w:rPr>
          <w:bCs/>
          <w:szCs w:val="22"/>
          <w:lang w:val="fr-FR"/>
        </w:rPr>
        <w:t>autres droits nécessitant une autorisation, comme le droit de photocopie;</w:t>
      </w:r>
    </w:p>
    <w:p w:rsidR="00D608CC" w:rsidRPr="00CB35EC" w:rsidRDefault="00D608CC" w:rsidP="00ED2673">
      <w:pPr>
        <w:numPr>
          <w:ilvl w:val="0"/>
          <w:numId w:val="7"/>
        </w:numPr>
        <w:spacing w:after="180" w:line="276" w:lineRule="auto"/>
        <w:ind w:left="1134" w:hanging="567"/>
        <w:rPr>
          <w:bCs/>
          <w:szCs w:val="22"/>
          <w:lang w:val="fr-FR"/>
        </w:rPr>
      </w:pPr>
      <w:r w:rsidRPr="00CB35EC">
        <w:rPr>
          <w:bCs/>
          <w:szCs w:val="22"/>
          <w:lang w:val="fr-FR"/>
        </w:rPr>
        <w:t>par un organe gouvernemental, lorsqu</w:t>
      </w:r>
      <w:r>
        <w:rPr>
          <w:bCs/>
          <w:szCs w:val="22"/>
          <w:lang w:val="fr-FR"/>
        </w:rPr>
        <w:t>’</w:t>
      </w:r>
      <w:r w:rsidRPr="00CB35EC">
        <w:rPr>
          <w:bCs/>
          <w:szCs w:val="22"/>
          <w:lang w:val="fr-FR"/>
        </w:rPr>
        <w:t>ils sont régis par une législation spécifique.</w:t>
      </w:r>
    </w:p>
    <w:p w:rsidR="00EB1979" w:rsidRDefault="00D608CC" w:rsidP="00EB1979">
      <w:pPr>
        <w:spacing w:after="180" w:line="276" w:lineRule="auto"/>
        <w:rPr>
          <w:bCs/>
          <w:szCs w:val="22"/>
          <w:lang w:val="fr-FR"/>
        </w:rPr>
      </w:pPr>
      <w:r w:rsidRPr="00CB35EC">
        <w:rPr>
          <w:bCs/>
          <w:szCs w:val="22"/>
          <w:lang w:val="fr-FR"/>
        </w:rPr>
        <w:t>Selon les pratiques recommandées au niveau international, les paiements au titre du droit de prêt public sont financés directement par l</w:t>
      </w:r>
      <w:r>
        <w:rPr>
          <w:bCs/>
          <w:szCs w:val="22"/>
          <w:lang w:val="fr-FR"/>
        </w:rPr>
        <w:t>’</w:t>
      </w:r>
      <w:r w:rsidRPr="00CB35EC">
        <w:rPr>
          <w:bCs/>
          <w:szCs w:val="22"/>
          <w:lang w:val="fr-FR"/>
        </w:rPr>
        <w:t>État, sans incidence sur les budgets des bibliothèques publiques</w:t>
      </w:r>
      <w:r>
        <w:rPr>
          <w:bCs/>
          <w:szCs w:val="22"/>
          <w:lang w:val="fr-FR"/>
        </w:rPr>
        <w:t xml:space="preserve">.  </w:t>
      </w:r>
      <w:r w:rsidRPr="00CB35EC">
        <w:rPr>
          <w:bCs/>
          <w:szCs w:val="22"/>
          <w:lang w:val="fr-FR"/>
        </w:rPr>
        <w:t>Dans les pays en développement, en particulier, ces paiements ne compromettent pas le financement destiné à d</w:t>
      </w:r>
      <w:r>
        <w:rPr>
          <w:bCs/>
          <w:szCs w:val="22"/>
          <w:lang w:val="fr-FR"/>
        </w:rPr>
        <w:t>’</w:t>
      </w:r>
      <w:r w:rsidRPr="00CB35EC">
        <w:rPr>
          <w:bCs/>
          <w:szCs w:val="22"/>
          <w:lang w:val="fr-FR"/>
        </w:rPr>
        <w:t>autres ressources culturelles essentielles, telles que les bibliothèques</w:t>
      </w:r>
      <w:r>
        <w:rPr>
          <w:bCs/>
          <w:szCs w:val="22"/>
          <w:lang w:val="fr-FR"/>
        </w:rPr>
        <w:t xml:space="preserve">.  </w:t>
      </w:r>
      <w:r w:rsidRPr="00CB35EC">
        <w:rPr>
          <w:bCs/>
          <w:szCs w:val="22"/>
          <w:lang w:val="fr-FR"/>
        </w:rPr>
        <w:t>Dans les pays où ils sont établis, les systèmes de droit de prêt public sont des partenaires naturels des bibliothèques, et entretiennent une étroite collaboration avec ces dernières</w:t>
      </w:r>
      <w:r>
        <w:rPr>
          <w:bCs/>
          <w:szCs w:val="22"/>
          <w:lang w:val="fr-FR"/>
        </w:rPr>
        <w:t xml:space="preserve">.  </w:t>
      </w:r>
      <w:r w:rsidRPr="00CB35EC">
        <w:rPr>
          <w:bCs/>
          <w:szCs w:val="22"/>
          <w:lang w:val="fr-FR"/>
        </w:rPr>
        <w:t>Le calcul des sommes versées au titre du droit de prêt public s</w:t>
      </w:r>
      <w:r>
        <w:rPr>
          <w:bCs/>
          <w:szCs w:val="22"/>
          <w:lang w:val="fr-FR"/>
        </w:rPr>
        <w:t>’</w:t>
      </w:r>
      <w:r w:rsidRPr="00CB35EC">
        <w:rPr>
          <w:bCs/>
          <w:szCs w:val="22"/>
          <w:lang w:val="fr-FR"/>
        </w:rPr>
        <w:t>effectue le plus souvent selon le nombre de fois où les œuvres sont prêtées par les bibliothèques ou le nombre d</w:t>
      </w:r>
      <w:r>
        <w:rPr>
          <w:bCs/>
          <w:szCs w:val="22"/>
          <w:lang w:val="fr-FR"/>
        </w:rPr>
        <w:t>’</w:t>
      </w:r>
      <w:r w:rsidRPr="00CB35EC">
        <w:rPr>
          <w:bCs/>
          <w:szCs w:val="22"/>
          <w:lang w:val="fr-FR"/>
        </w:rPr>
        <w:t>exemplaires détenu</w:t>
      </w:r>
      <w:r>
        <w:rPr>
          <w:bCs/>
          <w:szCs w:val="22"/>
          <w:lang w:val="fr-FR"/>
        </w:rPr>
        <w:t xml:space="preserve">.  </w:t>
      </w:r>
      <w:r w:rsidRPr="00CB35EC">
        <w:rPr>
          <w:bCs/>
          <w:szCs w:val="22"/>
          <w:lang w:val="fr-FR"/>
        </w:rPr>
        <w:t>Dans les pays qui n</w:t>
      </w:r>
      <w:r>
        <w:rPr>
          <w:bCs/>
          <w:szCs w:val="22"/>
          <w:lang w:val="fr-FR"/>
        </w:rPr>
        <w:t>’</w:t>
      </w:r>
      <w:r w:rsidRPr="00CB35EC">
        <w:rPr>
          <w:bCs/>
          <w:szCs w:val="22"/>
          <w:lang w:val="fr-FR"/>
        </w:rPr>
        <w:t>ont pas de système en place pour mesurer le nombre de prêts, le financement du droit de prêt public peut s</w:t>
      </w:r>
      <w:r>
        <w:rPr>
          <w:bCs/>
          <w:szCs w:val="22"/>
          <w:lang w:val="fr-FR"/>
        </w:rPr>
        <w:t>’</w:t>
      </w:r>
      <w:r w:rsidRPr="00CB35EC">
        <w:rPr>
          <w:bCs/>
          <w:szCs w:val="22"/>
          <w:lang w:val="fr-FR"/>
        </w:rPr>
        <w:t>effectuer sous forme de subventions ou de bourses et autres aides versées aux auteurs pour contribuer à la concrétisation de leurs projets d</w:t>
      </w:r>
      <w:r>
        <w:rPr>
          <w:bCs/>
          <w:szCs w:val="22"/>
          <w:lang w:val="fr-FR"/>
        </w:rPr>
        <w:t>’</w:t>
      </w:r>
      <w:r w:rsidRPr="00CB35EC">
        <w:rPr>
          <w:bCs/>
          <w:szCs w:val="22"/>
          <w:lang w:val="fr-FR"/>
        </w:rPr>
        <w:t>écriture</w:t>
      </w:r>
      <w:r>
        <w:rPr>
          <w:bCs/>
          <w:szCs w:val="22"/>
          <w:lang w:val="fr-FR"/>
        </w:rPr>
        <w:t xml:space="preserve">.  </w:t>
      </w:r>
      <w:r w:rsidRPr="00CB35EC">
        <w:rPr>
          <w:bCs/>
          <w:szCs w:val="22"/>
          <w:lang w:val="fr-FR"/>
        </w:rPr>
        <w:t>Le droit de prêt public peut également être affecté au financement de régimes de retraite pour les auteurs, ce qui est notamment le cas en France et en Allemagne</w:t>
      </w:r>
      <w:r>
        <w:rPr>
          <w:bCs/>
          <w:szCs w:val="22"/>
          <w:lang w:val="fr-FR"/>
        </w:rPr>
        <w:t xml:space="preserve">.  </w:t>
      </w:r>
      <w:r w:rsidRPr="00CB35EC">
        <w:rPr>
          <w:bCs/>
          <w:szCs w:val="22"/>
          <w:lang w:val="fr-FR"/>
        </w:rPr>
        <w:t>Outre les écrivains, d</w:t>
      </w:r>
      <w:r>
        <w:rPr>
          <w:bCs/>
          <w:szCs w:val="22"/>
          <w:lang w:val="fr-FR"/>
        </w:rPr>
        <w:t>’</w:t>
      </w:r>
      <w:r w:rsidRPr="00CB35EC">
        <w:rPr>
          <w:bCs/>
          <w:szCs w:val="22"/>
          <w:lang w:val="fr-FR"/>
        </w:rPr>
        <w:t>autres personnes qui contribuent à la réalisation des livres peuvent avoir droit à une rémunération au titre du droit de prêt public, par exemple les artistes des arts visuels, les traducteurs, les réviseurs et les photographes;  dans plusieurs pays, cette rémunération est partagée entre les éditeurs et les auteurs.</w:t>
      </w:r>
    </w:p>
    <w:p w:rsidR="00EB1979" w:rsidRDefault="00D608CC" w:rsidP="00EB1979">
      <w:pPr>
        <w:spacing w:after="180" w:line="276" w:lineRule="auto"/>
        <w:rPr>
          <w:b/>
          <w:szCs w:val="22"/>
          <w:u w:val="single"/>
          <w:lang w:val="fr-FR"/>
        </w:rPr>
      </w:pPr>
      <w:r w:rsidRPr="00CB35EC">
        <w:rPr>
          <w:b/>
          <w:szCs w:val="22"/>
          <w:u w:val="single"/>
          <w:lang w:val="fr-FR"/>
        </w:rPr>
        <w:t>Raisons justifiant l</w:t>
      </w:r>
      <w:r>
        <w:rPr>
          <w:b/>
          <w:szCs w:val="22"/>
          <w:u w:val="single"/>
          <w:lang w:val="fr-FR"/>
        </w:rPr>
        <w:t>’</w:t>
      </w:r>
      <w:r w:rsidRPr="00CB35EC">
        <w:rPr>
          <w:b/>
          <w:szCs w:val="22"/>
          <w:u w:val="single"/>
          <w:lang w:val="fr-FR"/>
        </w:rPr>
        <w:t>inscription d</w:t>
      </w:r>
      <w:r>
        <w:rPr>
          <w:b/>
          <w:szCs w:val="22"/>
          <w:u w:val="single"/>
          <w:lang w:val="fr-FR"/>
        </w:rPr>
        <w:t>’</w:t>
      </w:r>
      <w:r w:rsidRPr="00CB35EC">
        <w:rPr>
          <w:b/>
          <w:szCs w:val="22"/>
          <w:u w:val="single"/>
          <w:lang w:val="fr-FR"/>
        </w:rPr>
        <w:t>une étude sur le droit de prêt public à l</w:t>
      </w:r>
      <w:r>
        <w:rPr>
          <w:b/>
          <w:szCs w:val="22"/>
          <w:u w:val="single"/>
          <w:lang w:val="fr-FR"/>
        </w:rPr>
        <w:t>’</w:t>
      </w:r>
      <w:r w:rsidRPr="00CB35EC">
        <w:rPr>
          <w:b/>
          <w:szCs w:val="22"/>
          <w:u w:val="single"/>
          <w:lang w:val="fr-FR"/>
        </w:rPr>
        <w:t>ordre du jour et dans le programme de travail du comité</w:t>
      </w:r>
    </w:p>
    <w:p w:rsidR="00EB1979" w:rsidRDefault="00D608CC" w:rsidP="00EB1979">
      <w:pPr>
        <w:spacing w:after="180" w:line="276" w:lineRule="auto"/>
        <w:rPr>
          <w:bCs/>
          <w:szCs w:val="22"/>
          <w:lang w:val="fr-FR"/>
        </w:rPr>
      </w:pPr>
      <w:r w:rsidRPr="00CB35EC">
        <w:rPr>
          <w:bCs/>
          <w:szCs w:val="22"/>
          <w:lang w:val="fr-FR"/>
        </w:rPr>
        <w:t>Partout dans le monde, des pays manifestent un immense intérêt pour le potentiel du droit de prêt à assurer la subsistance et la créativité des auteurs, ainsi qu</w:t>
      </w:r>
      <w:r>
        <w:rPr>
          <w:bCs/>
          <w:szCs w:val="22"/>
          <w:lang w:val="fr-FR"/>
        </w:rPr>
        <w:t>’</w:t>
      </w:r>
      <w:r w:rsidRPr="00CB35EC">
        <w:rPr>
          <w:bCs/>
          <w:szCs w:val="22"/>
          <w:lang w:val="fr-FR"/>
        </w:rPr>
        <w:t>un vif désir d</w:t>
      </w:r>
      <w:r>
        <w:rPr>
          <w:bCs/>
          <w:szCs w:val="22"/>
          <w:lang w:val="fr-FR"/>
        </w:rPr>
        <w:t>’</w:t>
      </w:r>
      <w:r w:rsidRPr="00CB35EC">
        <w:rPr>
          <w:bCs/>
          <w:szCs w:val="22"/>
          <w:lang w:val="fr-FR"/>
        </w:rPr>
        <w:t>apprendre de quelle manière il peut être adapté aux besoins de chaque nation</w:t>
      </w:r>
      <w:r>
        <w:rPr>
          <w:bCs/>
          <w:szCs w:val="22"/>
          <w:lang w:val="fr-FR"/>
        </w:rPr>
        <w:t xml:space="preserve">.  </w:t>
      </w:r>
      <w:r w:rsidRPr="00CB35EC">
        <w:rPr>
          <w:bCs/>
          <w:szCs w:val="22"/>
          <w:lang w:val="fr-FR"/>
        </w:rPr>
        <w:t>Cette étude permettra à ces pays de déterminer quel est le type de système de droit de prêt public qui convient le mieux à leur situation et quelles sont les ressources vers lesquelles ils devraient se tourner pour bénéficier du soutien et de l</w:t>
      </w:r>
      <w:r>
        <w:rPr>
          <w:bCs/>
          <w:szCs w:val="22"/>
          <w:lang w:val="fr-FR"/>
        </w:rPr>
        <w:t>’</w:t>
      </w:r>
      <w:r w:rsidRPr="00CB35EC">
        <w:rPr>
          <w:bCs/>
          <w:szCs w:val="22"/>
          <w:lang w:val="fr-FR"/>
        </w:rPr>
        <w:t>expertise nécessaires à la mise en place d</w:t>
      </w:r>
      <w:r>
        <w:rPr>
          <w:bCs/>
          <w:szCs w:val="22"/>
          <w:lang w:val="fr-FR"/>
        </w:rPr>
        <w:t>’</w:t>
      </w:r>
      <w:r w:rsidRPr="00CB35EC">
        <w:rPr>
          <w:bCs/>
          <w:szCs w:val="22"/>
          <w:lang w:val="fr-FR"/>
        </w:rPr>
        <w:t>un tel système.</w:t>
      </w:r>
    </w:p>
    <w:p w:rsidR="00EB1979" w:rsidRDefault="00D608CC" w:rsidP="00ED2673">
      <w:pPr>
        <w:spacing w:after="180"/>
        <w:rPr>
          <w:bCs/>
          <w:szCs w:val="22"/>
          <w:lang w:val="fr-FR"/>
        </w:rPr>
      </w:pPr>
      <w:r w:rsidRPr="00CB35EC">
        <w:rPr>
          <w:bCs/>
          <w:szCs w:val="22"/>
          <w:lang w:val="fr-FR"/>
        </w:rPr>
        <w:t>Une telle étude pourrait également examiner les questions suivantes</w:t>
      </w:r>
      <w:r>
        <w:rPr>
          <w:bCs/>
          <w:szCs w:val="22"/>
          <w:lang w:val="fr-FR"/>
        </w:rPr>
        <w:t> :</w:t>
      </w:r>
    </w:p>
    <w:p w:rsidR="00D608CC" w:rsidRDefault="00D608CC" w:rsidP="00ED2673">
      <w:pPr>
        <w:pStyle w:val="ListParagraph"/>
        <w:numPr>
          <w:ilvl w:val="0"/>
          <w:numId w:val="8"/>
        </w:numPr>
        <w:spacing w:after="180"/>
        <w:ind w:left="1134" w:hanging="567"/>
        <w:rPr>
          <w:rFonts w:ascii="Arial" w:hAnsi="Arial" w:cs="Arial"/>
          <w:bCs/>
          <w:lang w:val="fr-FR"/>
        </w:rPr>
      </w:pPr>
      <w:r w:rsidRPr="00CB35EC">
        <w:rPr>
          <w:rFonts w:ascii="Arial" w:hAnsi="Arial" w:cs="Arial"/>
          <w:bCs/>
          <w:lang w:val="fr-FR"/>
        </w:rPr>
        <w:t>fonctionnement des différentes formes de systèmes de droit de prêt public et recensement d</w:t>
      </w:r>
      <w:r>
        <w:rPr>
          <w:rFonts w:ascii="Arial" w:hAnsi="Arial" w:cs="Arial"/>
          <w:bCs/>
          <w:lang w:val="fr-FR"/>
        </w:rPr>
        <w:t>’</w:t>
      </w:r>
      <w:r w:rsidRPr="00CB35EC">
        <w:rPr>
          <w:rFonts w:ascii="Arial" w:hAnsi="Arial" w:cs="Arial"/>
          <w:bCs/>
          <w:lang w:val="fr-FR"/>
        </w:rPr>
        <w:t>informations détaillées sur leur fondement juridique et leur mode de financement, de gouvernance et d</w:t>
      </w:r>
      <w:r>
        <w:rPr>
          <w:rFonts w:ascii="Arial" w:hAnsi="Arial" w:cs="Arial"/>
          <w:bCs/>
          <w:lang w:val="fr-FR"/>
        </w:rPr>
        <w:t>’</w:t>
      </w:r>
      <w:r w:rsidRPr="00CB35EC">
        <w:rPr>
          <w:rFonts w:ascii="Arial" w:hAnsi="Arial" w:cs="Arial"/>
          <w:bCs/>
          <w:lang w:val="fr-FR"/>
        </w:rPr>
        <w:t>administration, ainsi que sur les enseignements découlant de l</w:t>
      </w:r>
      <w:r>
        <w:rPr>
          <w:rFonts w:ascii="Arial" w:hAnsi="Arial" w:cs="Arial"/>
          <w:bCs/>
          <w:lang w:val="fr-FR"/>
        </w:rPr>
        <w:t>eur mode de mise</w:t>
      </w:r>
      <w:r w:rsidRPr="00CB35EC">
        <w:rPr>
          <w:rFonts w:ascii="Arial" w:hAnsi="Arial" w:cs="Arial"/>
          <w:bCs/>
          <w:lang w:val="fr-FR"/>
        </w:rPr>
        <w:t xml:space="preserve"> en œuvre;</w:t>
      </w:r>
    </w:p>
    <w:p w:rsidR="00D608CC" w:rsidRDefault="00D608CC" w:rsidP="00ED2673">
      <w:pPr>
        <w:pStyle w:val="ListParagraph"/>
        <w:numPr>
          <w:ilvl w:val="0"/>
          <w:numId w:val="8"/>
        </w:numPr>
        <w:spacing w:after="180"/>
        <w:ind w:left="1134" w:hanging="567"/>
        <w:rPr>
          <w:rFonts w:ascii="Arial" w:hAnsi="Arial" w:cs="Arial"/>
          <w:bCs/>
          <w:lang w:val="fr-FR"/>
        </w:rPr>
      </w:pPr>
      <w:r w:rsidRPr="00CB35EC">
        <w:rPr>
          <w:rFonts w:ascii="Arial" w:hAnsi="Arial" w:cs="Arial"/>
          <w:bCs/>
          <w:lang w:val="fr-FR"/>
        </w:rPr>
        <w:t>recensement des avantages des systèmes de droit de prêt public pour les auteurs et autres titulaires de droits;</w:t>
      </w:r>
    </w:p>
    <w:p w:rsidR="00D608CC" w:rsidRPr="00CB35EC" w:rsidRDefault="00D608CC" w:rsidP="00ED2673">
      <w:pPr>
        <w:pStyle w:val="ListParagraph"/>
        <w:numPr>
          <w:ilvl w:val="0"/>
          <w:numId w:val="8"/>
        </w:numPr>
        <w:spacing w:after="180"/>
        <w:ind w:left="1134" w:hanging="567"/>
        <w:rPr>
          <w:rFonts w:ascii="Arial" w:hAnsi="Arial" w:cs="Arial"/>
          <w:bCs/>
          <w:lang w:val="fr-FR"/>
        </w:rPr>
      </w:pPr>
      <w:r w:rsidRPr="00CB35EC">
        <w:rPr>
          <w:rFonts w:ascii="Arial" w:hAnsi="Arial" w:cs="Arial"/>
          <w:bCs/>
          <w:lang w:val="fr-FR"/>
        </w:rPr>
        <w:t>recensement des difficultés à prévoir lors de la mise en place d</w:t>
      </w:r>
      <w:r>
        <w:rPr>
          <w:rFonts w:ascii="Arial" w:hAnsi="Arial" w:cs="Arial"/>
          <w:bCs/>
          <w:lang w:val="fr-FR"/>
        </w:rPr>
        <w:t>’</w:t>
      </w:r>
      <w:r w:rsidRPr="00CB35EC">
        <w:rPr>
          <w:rFonts w:ascii="Arial" w:hAnsi="Arial" w:cs="Arial"/>
          <w:bCs/>
          <w:lang w:val="fr-FR"/>
        </w:rPr>
        <w:t>un système de droit de prêt public dans un pays en développement;</w:t>
      </w:r>
    </w:p>
    <w:p w:rsidR="00D608CC" w:rsidRDefault="00D608CC" w:rsidP="00ED2673">
      <w:pPr>
        <w:pStyle w:val="ListParagraph"/>
        <w:numPr>
          <w:ilvl w:val="0"/>
          <w:numId w:val="8"/>
        </w:numPr>
        <w:spacing w:after="180"/>
        <w:ind w:left="1134" w:hanging="567"/>
        <w:rPr>
          <w:rFonts w:ascii="Arial" w:hAnsi="Arial" w:cs="Arial"/>
          <w:bCs/>
          <w:lang w:val="fr-FR"/>
        </w:rPr>
      </w:pPr>
      <w:r w:rsidRPr="00CB35EC">
        <w:rPr>
          <w:rFonts w:ascii="Arial" w:hAnsi="Arial" w:cs="Arial"/>
          <w:bCs/>
          <w:lang w:val="fr-FR"/>
        </w:rPr>
        <w:t>évaluation, sur la base d</w:t>
      </w:r>
      <w:r>
        <w:rPr>
          <w:rFonts w:ascii="Arial" w:hAnsi="Arial" w:cs="Arial"/>
          <w:bCs/>
          <w:lang w:val="fr-FR"/>
        </w:rPr>
        <w:t>’</w:t>
      </w:r>
      <w:r w:rsidRPr="00CB35EC">
        <w:rPr>
          <w:rFonts w:ascii="Arial" w:hAnsi="Arial" w:cs="Arial"/>
          <w:bCs/>
          <w:lang w:val="fr-FR"/>
        </w:rPr>
        <w:t>études de cas, des avantages que présente un système de droit de prêt public pour les politiques d</w:t>
      </w:r>
      <w:r>
        <w:rPr>
          <w:rFonts w:ascii="Arial" w:hAnsi="Arial" w:cs="Arial"/>
          <w:bCs/>
          <w:lang w:val="fr-FR"/>
        </w:rPr>
        <w:t>’</w:t>
      </w:r>
      <w:r w:rsidRPr="00CB35EC">
        <w:rPr>
          <w:rFonts w:ascii="Arial" w:hAnsi="Arial" w:cs="Arial"/>
          <w:bCs/>
          <w:lang w:val="fr-FR"/>
        </w:rPr>
        <w:t>aide culturelle et linguistique d</w:t>
      </w:r>
      <w:r>
        <w:rPr>
          <w:rFonts w:ascii="Arial" w:hAnsi="Arial" w:cs="Arial"/>
          <w:bCs/>
          <w:lang w:val="fr-FR"/>
        </w:rPr>
        <w:t>’</w:t>
      </w:r>
      <w:r w:rsidRPr="00CB35EC">
        <w:rPr>
          <w:rFonts w:ascii="Arial" w:hAnsi="Arial" w:cs="Arial"/>
          <w:bCs/>
          <w:lang w:val="fr-FR"/>
        </w:rPr>
        <w:t>une nation;</w:t>
      </w:r>
    </w:p>
    <w:p w:rsidR="00D608CC" w:rsidRDefault="00D608CC" w:rsidP="00ED2673">
      <w:pPr>
        <w:pStyle w:val="ListParagraph"/>
        <w:numPr>
          <w:ilvl w:val="0"/>
          <w:numId w:val="8"/>
        </w:numPr>
        <w:spacing w:after="180"/>
        <w:ind w:left="1134" w:hanging="567"/>
        <w:rPr>
          <w:rFonts w:ascii="Arial" w:hAnsi="Arial" w:cs="Arial"/>
          <w:bCs/>
          <w:lang w:val="fr-FR"/>
        </w:rPr>
      </w:pPr>
      <w:r w:rsidRPr="00CB35EC">
        <w:rPr>
          <w:rFonts w:ascii="Arial" w:hAnsi="Arial" w:cs="Arial"/>
          <w:bCs/>
          <w:lang w:val="fr-FR"/>
        </w:rPr>
        <w:lastRenderedPageBreak/>
        <w:t>recensement des besoins d</w:t>
      </w:r>
      <w:r>
        <w:rPr>
          <w:rFonts w:ascii="Arial" w:hAnsi="Arial" w:cs="Arial"/>
          <w:bCs/>
          <w:lang w:val="fr-FR"/>
        </w:rPr>
        <w:t>’</w:t>
      </w:r>
      <w:r w:rsidRPr="00CB35EC">
        <w:rPr>
          <w:rFonts w:ascii="Arial" w:hAnsi="Arial" w:cs="Arial"/>
          <w:bCs/>
          <w:lang w:val="fr-FR"/>
        </w:rPr>
        <w:t>aide et de renforcement des capacités des pays en développement lors de la mise en place d</w:t>
      </w:r>
      <w:r>
        <w:rPr>
          <w:rFonts w:ascii="Arial" w:hAnsi="Arial" w:cs="Arial"/>
          <w:bCs/>
          <w:lang w:val="fr-FR"/>
        </w:rPr>
        <w:t>’</w:t>
      </w:r>
      <w:r w:rsidRPr="00CB35EC">
        <w:rPr>
          <w:rFonts w:ascii="Arial" w:hAnsi="Arial" w:cs="Arial"/>
          <w:bCs/>
          <w:lang w:val="fr-FR"/>
        </w:rPr>
        <w:t>un premier système de droit de prêt public;</w:t>
      </w:r>
    </w:p>
    <w:p w:rsidR="00D608CC" w:rsidRDefault="00D608CC" w:rsidP="00ED2673">
      <w:pPr>
        <w:pStyle w:val="ListParagraph"/>
        <w:numPr>
          <w:ilvl w:val="0"/>
          <w:numId w:val="8"/>
        </w:numPr>
        <w:spacing w:after="180"/>
        <w:ind w:left="1134" w:hanging="567"/>
        <w:rPr>
          <w:rFonts w:ascii="Arial" w:hAnsi="Arial" w:cs="Arial"/>
          <w:bCs/>
          <w:lang w:val="fr-FR"/>
        </w:rPr>
      </w:pPr>
      <w:r w:rsidRPr="00CB35EC">
        <w:rPr>
          <w:rFonts w:ascii="Arial" w:hAnsi="Arial" w:cs="Arial"/>
          <w:bCs/>
          <w:lang w:val="fr-FR"/>
        </w:rPr>
        <w:t>recensement des pratiques recommandées pour la collaboration avec d</w:t>
      </w:r>
      <w:r>
        <w:rPr>
          <w:rFonts w:ascii="Arial" w:hAnsi="Arial" w:cs="Arial"/>
          <w:bCs/>
          <w:lang w:val="fr-FR"/>
        </w:rPr>
        <w:t>’</w:t>
      </w:r>
      <w:r w:rsidRPr="00CB35EC">
        <w:rPr>
          <w:rFonts w:ascii="Arial" w:hAnsi="Arial" w:cs="Arial"/>
          <w:bCs/>
          <w:lang w:val="fr-FR"/>
        </w:rPr>
        <w:t>autres organismes culture</w:t>
      </w:r>
      <w:r>
        <w:rPr>
          <w:rFonts w:ascii="Arial" w:hAnsi="Arial" w:cs="Arial"/>
          <w:bCs/>
          <w:lang w:val="fr-FR"/>
        </w:rPr>
        <w:t>l</w:t>
      </w:r>
      <w:r w:rsidRPr="00CB35EC">
        <w:rPr>
          <w:rFonts w:ascii="Arial" w:hAnsi="Arial" w:cs="Arial"/>
          <w:bCs/>
          <w:lang w:val="fr-FR"/>
        </w:rPr>
        <w:t>s tels que des bibliothèques œuvrant dans le même domaine;</w:t>
      </w:r>
    </w:p>
    <w:p w:rsidR="00EB1979" w:rsidRDefault="00D608CC" w:rsidP="00ED2673">
      <w:pPr>
        <w:pStyle w:val="ListParagraph"/>
        <w:numPr>
          <w:ilvl w:val="0"/>
          <w:numId w:val="8"/>
        </w:numPr>
        <w:spacing w:after="180"/>
        <w:ind w:left="1134" w:hanging="567"/>
        <w:rPr>
          <w:rFonts w:ascii="Arial" w:hAnsi="Arial" w:cs="Arial"/>
          <w:bCs/>
          <w:lang w:val="fr-FR"/>
        </w:rPr>
      </w:pPr>
      <w:r w:rsidRPr="00CB35EC">
        <w:rPr>
          <w:rFonts w:ascii="Arial" w:hAnsi="Arial" w:cs="Arial"/>
          <w:bCs/>
          <w:lang w:val="fr-FR"/>
        </w:rPr>
        <w:t>recensement des besoins particuliers des différents groupes de titulaires de droits lors de la mise en place d</w:t>
      </w:r>
      <w:r>
        <w:rPr>
          <w:rFonts w:ascii="Arial" w:hAnsi="Arial" w:cs="Arial"/>
          <w:bCs/>
          <w:lang w:val="fr-FR"/>
        </w:rPr>
        <w:t>’</w:t>
      </w:r>
      <w:r w:rsidRPr="00CB35EC">
        <w:rPr>
          <w:rFonts w:ascii="Arial" w:hAnsi="Arial" w:cs="Arial"/>
          <w:bCs/>
          <w:lang w:val="fr-FR"/>
        </w:rPr>
        <w:t>un système de droit de prêt public.</w:t>
      </w:r>
    </w:p>
    <w:p w:rsidR="0087672E" w:rsidRPr="00725420" w:rsidRDefault="00D608CC" w:rsidP="0027299B">
      <w:pPr>
        <w:spacing w:before="840" w:after="180"/>
        <w:ind w:left="5534"/>
        <w:rPr>
          <w:caps/>
          <w:szCs w:val="22"/>
          <w:lang w:val="fr-FR"/>
        </w:rPr>
      </w:pPr>
      <w:r w:rsidRPr="00CB35EC">
        <w:rPr>
          <w:caps/>
          <w:szCs w:val="22"/>
          <w:lang w:val="fr-FR"/>
        </w:rPr>
        <w:t>[</w:t>
      </w:r>
      <w:r w:rsidRPr="00CB35EC">
        <w:rPr>
          <w:szCs w:val="22"/>
          <w:lang w:val="fr-FR"/>
        </w:rPr>
        <w:t>Fin du document]</w:t>
      </w:r>
      <w:bookmarkEnd w:id="5"/>
    </w:p>
    <w:sectPr w:rsidR="0087672E" w:rsidRPr="00725420" w:rsidSect="00D608C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71B" w:rsidRDefault="0054071B">
      <w:r>
        <w:separator/>
      </w:r>
    </w:p>
  </w:endnote>
  <w:endnote w:type="continuationSeparator" w:id="0">
    <w:p w:rsidR="0054071B" w:rsidRPr="009D30E6" w:rsidRDefault="0054071B" w:rsidP="00D45252">
      <w:pPr>
        <w:rPr>
          <w:sz w:val="17"/>
          <w:szCs w:val="17"/>
        </w:rPr>
      </w:pPr>
      <w:r w:rsidRPr="009D30E6">
        <w:rPr>
          <w:sz w:val="17"/>
          <w:szCs w:val="17"/>
        </w:rPr>
        <w:separator/>
      </w:r>
    </w:p>
    <w:p w:rsidR="0054071B" w:rsidRPr="009D30E6" w:rsidRDefault="0054071B" w:rsidP="00D45252">
      <w:pPr>
        <w:spacing w:after="60"/>
        <w:rPr>
          <w:sz w:val="17"/>
          <w:szCs w:val="17"/>
        </w:rPr>
      </w:pPr>
      <w:r w:rsidRPr="009D30E6">
        <w:rPr>
          <w:sz w:val="17"/>
          <w:szCs w:val="17"/>
        </w:rPr>
        <w:t>[Suite de la note de la page précédente]</w:t>
      </w:r>
    </w:p>
  </w:endnote>
  <w:endnote w:type="continuationNotice" w:id="1">
    <w:p w:rsidR="0054071B" w:rsidRPr="009D30E6" w:rsidRDefault="0054071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71B" w:rsidRDefault="0054071B">
      <w:r>
        <w:separator/>
      </w:r>
    </w:p>
  </w:footnote>
  <w:footnote w:type="continuationSeparator" w:id="0">
    <w:p w:rsidR="0054071B" w:rsidRDefault="0054071B" w:rsidP="007461F1">
      <w:r>
        <w:separator/>
      </w:r>
    </w:p>
    <w:p w:rsidR="0054071B" w:rsidRPr="009D30E6" w:rsidRDefault="0054071B" w:rsidP="007461F1">
      <w:pPr>
        <w:spacing w:after="60"/>
        <w:rPr>
          <w:sz w:val="17"/>
          <w:szCs w:val="17"/>
        </w:rPr>
      </w:pPr>
      <w:r w:rsidRPr="009D30E6">
        <w:rPr>
          <w:sz w:val="17"/>
          <w:szCs w:val="17"/>
        </w:rPr>
        <w:t>[Suite de la note de la page précédente]</w:t>
      </w:r>
    </w:p>
  </w:footnote>
  <w:footnote w:type="continuationNotice" w:id="1">
    <w:p w:rsidR="0054071B" w:rsidRPr="009D30E6" w:rsidRDefault="0054071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C61AD5" w:rsidRDefault="00D608CC" w:rsidP="00477D6B">
    <w:pPr>
      <w:jc w:val="right"/>
      <w:rPr>
        <w:caps/>
      </w:rPr>
    </w:pPr>
    <w:bookmarkStart w:id="6" w:name="Code2"/>
    <w:r>
      <w:rPr>
        <w:caps/>
      </w:rPr>
      <w:t>SCCR/40/3</w:t>
    </w:r>
    <w:r w:rsidR="00ED2673">
      <w:rPr>
        <w:caps/>
      </w:rPr>
      <w:t> </w:t>
    </w:r>
    <w:r w:rsidR="007714D6">
      <w:rPr>
        <w:caps/>
      </w:rPr>
      <w:t>R</w:t>
    </w:r>
    <w:r w:rsidR="007714D6" w:rsidRPr="007714D6">
      <w:t>ev</w:t>
    </w:r>
    <w:r w:rsidR="007714D6">
      <w:rPr>
        <w:caps/>
      </w:rPr>
      <w:t>.</w:t>
    </w:r>
    <w:r w:rsidR="00702AE3">
      <w:rPr>
        <w:caps/>
      </w:rPr>
      <w:t>2</w:t>
    </w:r>
  </w:p>
  <w:bookmarkEnd w:id="6"/>
  <w:p w:rsidR="00EB1979" w:rsidRDefault="00F16975" w:rsidP="00477D6B">
    <w:pPr>
      <w:jc w:val="right"/>
    </w:pPr>
    <w:r>
      <w:t>page</w:t>
    </w:r>
    <w:r w:rsidR="00EF60F0">
      <w:t> </w:t>
    </w:r>
    <w:r>
      <w:fldChar w:fldCharType="begin"/>
    </w:r>
    <w:r>
      <w:instrText xml:space="preserve"> PAGE  \* MERGEFORMAT </w:instrText>
    </w:r>
    <w:r>
      <w:fldChar w:fldCharType="separate"/>
    </w:r>
    <w:r w:rsidR="007771F2">
      <w:rPr>
        <w:noProof/>
      </w:rPr>
      <w:t>2</w:t>
    </w:r>
    <w:r>
      <w:fldChar w:fldCharType="end"/>
    </w:r>
  </w:p>
  <w:p w:rsidR="00574036" w:rsidRDefault="00574036" w:rsidP="00477D6B">
    <w:pPr>
      <w:jc w:val="right"/>
    </w:pPr>
  </w:p>
  <w:p w:rsidR="00F06619" w:rsidRDefault="00F0661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26730"/>
    <w:multiLevelType w:val="hybridMultilevel"/>
    <w:tmpl w:val="A9B880B6"/>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1C0880"/>
    <w:multiLevelType w:val="hybridMultilevel"/>
    <w:tmpl w:val="C0F041E0"/>
    <w:lvl w:ilvl="0" w:tplc="0409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CC"/>
    <w:rsid w:val="00011B7D"/>
    <w:rsid w:val="00075432"/>
    <w:rsid w:val="0009458A"/>
    <w:rsid w:val="000962CE"/>
    <w:rsid w:val="000F5E56"/>
    <w:rsid w:val="001362EE"/>
    <w:rsid w:val="001832A6"/>
    <w:rsid w:val="00195C6E"/>
    <w:rsid w:val="001B266A"/>
    <w:rsid w:val="001B488E"/>
    <w:rsid w:val="001C6508"/>
    <w:rsid w:val="001D3D56"/>
    <w:rsid w:val="00240654"/>
    <w:rsid w:val="002634C4"/>
    <w:rsid w:val="0027299B"/>
    <w:rsid w:val="002956DE"/>
    <w:rsid w:val="002E4D1A"/>
    <w:rsid w:val="002F16BC"/>
    <w:rsid w:val="002F4E68"/>
    <w:rsid w:val="00322C0B"/>
    <w:rsid w:val="00381798"/>
    <w:rsid w:val="003845C1"/>
    <w:rsid w:val="003A67A3"/>
    <w:rsid w:val="004008A2"/>
    <w:rsid w:val="004025DF"/>
    <w:rsid w:val="0040540C"/>
    <w:rsid w:val="004054A9"/>
    <w:rsid w:val="00423E3E"/>
    <w:rsid w:val="00427AF4"/>
    <w:rsid w:val="004647DA"/>
    <w:rsid w:val="00477D6B"/>
    <w:rsid w:val="004D6471"/>
    <w:rsid w:val="004F41B7"/>
    <w:rsid w:val="0051455D"/>
    <w:rsid w:val="00525B63"/>
    <w:rsid w:val="00525E59"/>
    <w:rsid w:val="0054071B"/>
    <w:rsid w:val="00541348"/>
    <w:rsid w:val="005421DD"/>
    <w:rsid w:val="00554FA5"/>
    <w:rsid w:val="00567A4C"/>
    <w:rsid w:val="00574036"/>
    <w:rsid w:val="00595F07"/>
    <w:rsid w:val="005E6516"/>
    <w:rsid w:val="00605827"/>
    <w:rsid w:val="00616671"/>
    <w:rsid w:val="00686596"/>
    <w:rsid w:val="006B0DB5"/>
    <w:rsid w:val="00702AE3"/>
    <w:rsid w:val="00704C5C"/>
    <w:rsid w:val="00725420"/>
    <w:rsid w:val="007426A6"/>
    <w:rsid w:val="007461F1"/>
    <w:rsid w:val="007714D6"/>
    <w:rsid w:val="007771F2"/>
    <w:rsid w:val="00790FF5"/>
    <w:rsid w:val="007C3BD8"/>
    <w:rsid w:val="007D6961"/>
    <w:rsid w:val="007F07CB"/>
    <w:rsid w:val="008063EF"/>
    <w:rsid w:val="00810CEF"/>
    <w:rsid w:val="0081208D"/>
    <w:rsid w:val="00873D0F"/>
    <w:rsid w:val="0087672E"/>
    <w:rsid w:val="008B2CC1"/>
    <w:rsid w:val="008E585B"/>
    <w:rsid w:val="008E7930"/>
    <w:rsid w:val="0090731E"/>
    <w:rsid w:val="00930D63"/>
    <w:rsid w:val="00966A22"/>
    <w:rsid w:val="00974CD6"/>
    <w:rsid w:val="009C219E"/>
    <w:rsid w:val="009D30E6"/>
    <w:rsid w:val="009E3F6F"/>
    <w:rsid w:val="009F499F"/>
    <w:rsid w:val="00A11D74"/>
    <w:rsid w:val="00AC0AE4"/>
    <w:rsid w:val="00AD61DB"/>
    <w:rsid w:val="00AF416E"/>
    <w:rsid w:val="00B1090C"/>
    <w:rsid w:val="00B30820"/>
    <w:rsid w:val="00B35AF5"/>
    <w:rsid w:val="00BE0BE0"/>
    <w:rsid w:val="00C61AD5"/>
    <w:rsid w:val="00C664C8"/>
    <w:rsid w:val="00CB4A59"/>
    <w:rsid w:val="00CF0460"/>
    <w:rsid w:val="00D43E0F"/>
    <w:rsid w:val="00D45252"/>
    <w:rsid w:val="00D608CC"/>
    <w:rsid w:val="00D71B4D"/>
    <w:rsid w:val="00D75C1E"/>
    <w:rsid w:val="00D93D55"/>
    <w:rsid w:val="00DB1C48"/>
    <w:rsid w:val="00DD4917"/>
    <w:rsid w:val="00DD6A16"/>
    <w:rsid w:val="00DD71E0"/>
    <w:rsid w:val="00E0091A"/>
    <w:rsid w:val="00E04642"/>
    <w:rsid w:val="00E203AA"/>
    <w:rsid w:val="00E5217A"/>
    <w:rsid w:val="00E527A5"/>
    <w:rsid w:val="00E5508F"/>
    <w:rsid w:val="00E76456"/>
    <w:rsid w:val="00E87664"/>
    <w:rsid w:val="00EB1979"/>
    <w:rsid w:val="00ED2673"/>
    <w:rsid w:val="00EE71CB"/>
    <w:rsid w:val="00EF60F0"/>
    <w:rsid w:val="00F06619"/>
    <w:rsid w:val="00F15B3A"/>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6E3DAD2-267A-4816-B927-FC213605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D608CC"/>
    <w:pPr>
      <w:spacing w:after="200" w:line="276" w:lineRule="auto"/>
      <w:ind w:left="720"/>
      <w:contextualSpacing/>
    </w:pPr>
    <w:rPr>
      <w:rFonts w:asciiTheme="minorHAnsi" w:eastAsiaTheme="minorHAnsi" w:hAnsiTheme="minorHAnsi" w:cstheme="minorBidi"/>
      <w:szCs w:val="22"/>
      <w:lang w:val="en-GB" w:eastAsia="en-US"/>
    </w:rPr>
  </w:style>
  <w:style w:type="paragraph" w:styleId="Title">
    <w:name w:val="Title"/>
    <w:basedOn w:val="Heading1"/>
    <w:next w:val="Normal"/>
    <w:link w:val="TitleChar"/>
    <w:qFormat/>
    <w:rsid w:val="00ED2673"/>
    <w:pPr>
      <w:spacing w:before="0" w:after="480"/>
    </w:pPr>
    <w:rPr>
      <w:caps w:val="0"/>
      <w:sz w:val="28"/>
    </w:rPr>
  </w:style>
  <w:style w:type="character" w:customStyle="1" w:styleId="TitleChar">
    <w:name w:val="Title Char"/>
    <w:basedOn w:val="DefaultParagraphFont"/>
    <w:link w:val="Title"/>
    <w:rsid w:val="00ED2673"/>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DB4E-B1D6-4FAC-8755-B29AB4C3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(F)</Template>
  <TotalTime>1</TotalTime>
  <Pages>4</Pages>
  <Words>1393</Words>
  <Characters>7175</Characters>
  <Application>Microsoft Office Word</Application>
  <DocSecurity>0</DocSecurity>
  <Lines>109</Lines>
  <Paragraphs>28</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ROURE Cécile</dc:creator>
  <cp:keywords>FOR OFFICIAL USE ONLY</cp:keywords>
  <cp:lastModifiedBy>HAIZEL Francesca</cp:lastModifiedBy>
  <cp:revision>2</cp:revision>
  <cp:lastPrinted>2011-05-19T12:37:00Z</cp:lastPrinted>
  <dcterms:created xsi:type="dcterms:W3CDTF">2020-11-17T11:42:00Z</dcterms:created>
  <dcterms:modified xsi:type="dcterms:W3CDTF">2020-11-17T11:42:00Z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