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5C9F" w14:textId="32CAB327" w:rsidR="008B2CC1" w:rsidRPr="0095324D" w:rsidRDefault="00D23C74" w:rsidP="008B14EA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3FFF75E0" wp14:editId="4659EB2A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4EA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6B3DF39C" wp14:editId="2547B856">
                <wp:extent cx="5935980" cy="0"/>
                <wp:effectExtent l="0" t="0" r="26670" b="19050"/>
                <wp:docPr id="3" name="Straight Connector 3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0D1633F" id="Straight Connector 3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4EA140F" w14:textId="7B8ACE23" w:rsidR="008B2CC1" w:rsidRPr="0095324D" w:rsidRDefault="00D05711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SCCR/45/</w:t>
      </w:r>
      <w:bookmarkStart w:id="0" w:name="Code"/>
      <w:bookmarkEnd w:id="0"/>
      <w:r>
        <w:rPr>
          <w:rFonts w:ascii="Arial Black" w:hAnsi="Arial Black"/>
          <w:caps/>
          <w:sz w:val="15"/>
        </w:rPr>
        <w:t>4</w:t>
      </w:r>
    </w:p>
    <w:p w14:paraId="43104430" w14:textId="092EAAF3" w:rsidR="008B2CC1" w:rsidRPr="0095324D" w:rsidRDefault="008B14EA" w:rsidP="008B14EA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ИСПАНСКИЙ</w:t>
      </w:r>
    </w:p>
    <w:bookmarkEnd w:id="1"/>
    <w:p w14:paraId="6214BCE1" w14:textId="5A40A16D" w:rsidR="008B2CC1" w:rsidRPr="0095324D" w:rsidRDefault="003F7F16" w:rsidP="008B14EA">
      <w:pPr>
        <w:spacing w:after="1200"/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 АПРЕЛЯ 2024 ГОДА</w:t>
      </w:r>
    </w:p>
    <w:bookmarkEnd w:id="2"/>
    <w:p w14:paraId="509EDC9A" w14:textId="5DFDA5CF" w:rsidR="001C4DD3" w:rsidRPr="0095324D" w:rsidRDefault="00D63D44" w:rsidP="008B14EA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 xml:space="preserve">Постоянный комитет по авторскому праву и смежным правам </w:t>
      </w:r>
    </w:p>
    <w:p w14:paraId="7981EA1E" w14:textId="603CEA54" w:rsidR="00E2115C" w:rsidRPr="0095324D" w:rsidRDefault="003871DC" w:rsidP="00E2115C">
      <w:pPr>
        <w:rPr>
          <w:b/>
          <w:sz w:val="24"/>
          <w:szCs w:val="24"/>
        </w:rPr>
      </w:pPr>
      <w:r>
        <w:rPr>
          <w:b/>
          <w:sz w:val="24"/>
        </w:rPr>
        <w:t>Сорок пятая сессия</w:t>
      </w:r>
    </w:p>
    <w:p w14:paraId="07FF6981" w14:textId="37CAE3F1" w:rsidR="008B2CC1" w:rsidRPr="0095324D" w:rsidRDefault="003871DC" w:rsidP="008B14EA">
      <w:pPr>
        <w:spacing w:after="720"/>
        <w:rPr>
          <w:b/>
          <w:sz w:val="24"/>
          <w:szCs w:val="24"/>
        </w:rPr>
      </w:pPr>
      <w:r>
        <w:rPr>
          <w:b/>
          <w:sz w:val="24"/>
        </w:rPr>
        <w:t>Женева, 15–19 апреля 2024 года</w:t>
      </w:r>
    </w:p>
    <w:p w14:paraId="6C7F1CDA" w14:textId="1780CC92" w:rsidR="008B2CC1" w:rsidRPr="0095324D" w:rsidRDefault="00EC0F23" w:rsidP="008B14EA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ПРОЕКТ ПЛАНА РАБОТЫ В ОБЛАСТИ АВТОРСКОГО ПРАВА В ЦИФРОВОЙ СРЕДЕ </w:t>
      </w:r>
    </w:p>
    <w:p w14:paraId="6382D0BA" w14:textId="745A833F" w:rsidR="008B2CC1" w:rsidRPr="0095324D" w:rsidRDefault="00EF1A23" w:rsidP="008B14EA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представлен Группой государств Латинской Америки и Карибского бассейна (ГРУЛАК)</w:t>
      </w:r>
    </w:p>
    <w:bookmarkEnd w:id="4"/>
    <w:p w14:paraId="4E7EA55B" w14:textId="3960AE95" w:rsidR="00B60C9D" w:rsidRPr="0095324D" w:rsidRDefault="00E36491" w:rsidP="00E36491">
      <w:r>
        <w:br w:type="page"/>
      </w:r>
    </w:p>
    <w:p w14:paraId="35EE511D" w14:textId="0B672CF2" w:rsidR="00B60C9D" w:rsidRPr="0095324D" w:rsidRDefault="00B60C9D" w:rsidP="00E36491">
      <w:pPr>
        <w:rPr>
          <w:rFonts w:eastAsiaTheme="minorEastAsia"/>
          <w:szCs w:val="22"/>
        </w:rPr>
      </w:pPr>
      <w:r>
        <w:lastRenderedPageBreak/>
        <w:t>С 2015 года Постоянный комитет по авторскому праву и смежным правам (ПКАП) неоднократно подчеркивал необходимость более глубокого и широкого обсуждения авторского права и смежных прав артистов и исполнителей в цифровой среде. Об этом свидетельствуют документы, представленные государствами-членами, а также данные исследований экономического воздействия и групповых дискуссий, проведенных по запросу ПКАП, в которых ясно говорится о трудностях, связанных с обеспечением авторского права и смежных прав авторов, композиторов, исполнителей и артистов в цифровой среде.</w:t>
      </w:r>
    </w:p>
    <w:p w14:paraId="6528521B" w14:textId="77777777" w:rsidR="00E36491" w:rsidRPr="00D23C74" w:rsidRDefault="00E36491" w:rsidP="00E36491">
      <w:pPr>
        <w:rPr>
          <w:rFonts w:eastAsiaTheme="minorEastAsia"/>
          <w:szCs w:val="22"/>
        </w:rPr>
      </w:pPr>
    </w:p>
    <w:p w14:paraId="145371E2" w14:textId="32ADF332" w:rsidR="002A47DA" w:rsidRPr="0095324D" w:rsidRDefault="00B60C9D" w:rsidP="00E36491">
      <w:pPr>
        <w:rPr>
          <w:rFonts w:eastAsiaTheme="minorEastAsia"/>
          <w:szCs w:val="22"/>
        </w:rPr>
      </w:pPr>
      <w:r>
        <w:t xml:space="preserve">В ходе 31-й сессии ПКАП в 2015 году Группа государств Латинской Америки и Карибского бассейна (ГРУЛАК) представила документ (SCCR/31/4), в котором содержался юридический анализ данной проблемы и предложение о проведении более обширного анализа влияния цифровой среды на систему авторского права. В ходе 43-й сессии ПКАП в этом году ГРУЛАК вновь представила документ по данному вопросу и призвала государства-члены и Секретариат изыскать соответствующие решения (SCCR/43/7). Также были представлены исследования, которые содержали доказательства и данные, характеризующие данную проблему: </w:t>
      </w:r>
      <w:proofErr w:type="spellStart"/>
      <w:r>
        <w:t>Кастл</w:t>
      </w:r>
      <w:proofErr w:type="spellEnd"/>
      <w:r>
        <w:t xml:space="preserve">, </w:t>
      </w:r>
      <w:proofErr w:type="spellStart"/>
      <w:r>
        <w:t>Фейхоо</w:t>
      </w:r>
      <w:proofErr w:type="spellEnd"/>
      <w:r>
        <w:t>: исследование «Исполнители на рынке цифровой музыки: экономические и правовые аспекты» (SCCR/41/3); Кобо: «Музыкальный рынок в странах Латинской Америки» (SCCR 42/V1).</w:t>
      </w:r>
    </w:p>
    <w:p w14:paraId="20E20D50" w14:textId="77777777" w:rsidR="00DB7777" w:rsidRPr="00D23C74" w:rsidRDefault="00DB7777" w:rsidP="00E36491">
      <w:pPr>
        <w:rPr>
          <w:rFonts w:eastAsiaTheme="minorEastAsia"/>
          <w:szCs w:val="22"/>
        </w:rPr>
      </w:pPr>
    </w:p>
    <w:p w14:paraId="06F811AB" w14:textId="77F1B44C" w:rsidR="00DB7777" w:rsidRPr="0095324D" w:rsidRDefault="00DB7777" w:rsidP="00E36491">
      <w:pPr>
        <w:rPr>
          <w:rFonts w:eastAsiaTheme="minorEastAsia"/>
          <w:szCs w:val="22"/>
        </w:rPr>
      </w:pPr>
      <w:r>
        <w:t>ГРУЛАК считает, что права автора в цифровой среде в их широком понимании заслуживают серьезного обсуждения на постоянной основе как часть повестки Комитета в связи с непрерывной эволюцией и технологическим прогрессом в области создания, производства, управления, коммерциализации, совместного использования и вознаграждения работников творческого сектора и исполнителей. В русле двух документов, представленных на прошлых сессиях ПКАП (SCCR/31/4 и SCCR/43/7), ГРУЛАК, признавая сложность дискуссии и разнообразие мнений по данному вопросу, представляет Комитету предложение по плану работы в области прав автора в цифровой среде, разработанному на основе исследований и обсуждений по данной теме. Предлагается провести более глубокую и широкую дискуссию без предвзятости или приверженности той или иной позиции по какому-либо из вопросов.</w:t>
      </w:r>
    </w:p>
    <w:p w14:paraId="15AC3E2B" w14:textId="77777777" w:rsidR="00E36491" w:rsidRPr="0095324D" w:rsidRDefault="00E36491" w:rsidP="00E36491">
      <w:pPr>
        <w:rPr>
          <w:rFonts w:eastAsiaTheme="minorEastAsia"/>
          <w:szCs w:val="22"/>
        </w:rPr>
      </w:pPr>
      <w:r>
        <w:br/>
      </w:r>
    </w:p>
    <w:p w14:paraId="3FD32C92" w14:textId="1D71EA9A" w:rsidR="00C90428" w:rsidRPr="0095324D" w:rsidRDefault="00E36491" w:rsidP="0050028A">
      <w:pPr>
        <w:pStyle w:val="Corpo"/>
        <w:spacing w:after="0" w:line="360" w:lineRule="auto"/>
        <w:rPr>
          <w:rFonts w:ascii="Arial" w:eastAsia="Calibri" w:hAnsi="Arial" w:cs="Arial"/>
          <w:color w:val="auto"/>
        </w:rPr>
      </w:pPr>
      <w:r>
        <w:rPr>
          <w:rFonts w:ascii="Arial" w:hAnsi="Arial"/>
          <w:b/>
          <w:color w:val="auto"/>
        </w:rPr>
        <w:t>КОНТЕКСТ</w:t>
      </w:r>
    </w:p>
    <w:p w14:paraId="73CEE8A5" w14:textId="0051837E" w:rsidR="00C90428" w:rsidRPr="0095324D" w:rsidRDefault="00C90428" w:rsidP="00E36491">
      <w:pPr>
        <w:rPr>
          <w:rFonts w:eastAsiaTheme="minorEastAsia"/>
          <w:szCs w:val="22"/>
        </w:rPr>
      </w:pPr>
      <w:r>
        <w:t xml:space="preserve">В 2015 году в документе, представленном ГРУЛАК, было предложено провести анализ и обсуждение правовых рамок охраны произведений, в том числе исполнений, в цифровых сервисах, роли компаний и корпораций, которые используют охраняемые материалы в цифровой среде, их практике и уровнях транспарентности, а также выплате вознаграждения владельцам авторского права и смежных прав. Также в нем содержался призыв к выработке </w:t>
      </w:r>
      <w:proofErr w:type="spellStart"/>
      <w:r>
        <w:t>консенсусного</w:t>
      </w:r>
      <w:proofErr w:type="spellEnd"/>
      <w:r>
        <w:t xml:space="preserve"> решения касательно управления авторским правом и смежными правами в цифровой среде. В период с 2015 по 2023 год Секретариат представил следующие исследования: «Музыкальный рынок в странах Латинской Америки» (SCCR/41/4), исследование «Исполнители на рынке цифровой музыки: экономические и правовые аспекты» (SCCR/41/3). Благодаря этим исследованиям были выявлены проблемы, с которыми авторы и другие работники творческих отраслей, являющиеся обладателями авторского права и смежных прав, сталкиваются в цифровой среде. В целом данная ситуация характеризуется сильной асимметрией между сторонами при переговорах, практикой применения договоров присоединения, низким уровнем транспарентности и вознаграждения в виде роялти за использования их произведений и исполнений, в особенности по сравнению с доходами, получаемыми благодаря платформам, которые предоставляют широкой публике доступ к результатам их труда. Дисбаланс, описанный в указанных ранее исследованиях и усугубившийся в период пандемии COVID-19, показывает, что отсутствие предметных и глубоких дискуссий о произведениях и исполнениях, охраняемых в цифровой среде, а также новых </w:t>
      </w:r>
      <w:r>
        <w:lastRenderedPageBreak/>
        <w:t xml:space="preserve">бизнес-моделях, напрямую затрагивает авторов и исполнителей, являющихся владельцами авторских и смежных прав. </w:t>
      </w:r>
    </w:p>
    <w:p w14:paraId="6EB99270" w14:textId="77777777" w:rsidR="004854CD" w:rsidRPr="00D23C74" w:rsidRDefault="004854CD" w:rsidP="00E36491">
      <w:pPr>
        <w:rPr>
          <w:rFonts w:eastAsiaTheme="minorEastAsia"/>
          <w:szCs w:val="22"/>
        </w:rPr>
      </w:pPr>
    </w:p>
    <w:p w14:paraId="3C6286DA" w14:textId="70AB4448" w:rsidR="004854CD" w:rsidRPr="0095324D" w:rsidRDefault="004854CD" w:rsidP="00E36491">
      <w:pPr>
        <w:rPr>
          <w:rFonts w:eastAsiaTheme="minorEastAsia"/>
          <w:szCs w:val="22"/>
        </w:rPr>
      </w:pPr>
      <w:r>
        <w:t>Международные договоры ВОИС в области Интернета 1990-х годов, в том числе соответствующее «зонтичное решение», оказались недостаточными для решения проблем, вызванных доминированием крупных глобальных поставщиков услуг и появлением услуг по требованию, платформ на основе контента, предоставляемого третьими сторонами, и, в недавнее время, искусственного интеллекта. Законы и институты государств-членов по-прежнему неудовлетворительным образом регулируют цифровую среду и не могут обеспечить необходимый баланс и охрану авторского права и смежных прав.</w:t>
      </w:r>
    </w:p>
    <w:p w14:paraId="0A009CAD" w14:textId="77777777" w:rsidR="00E36491" w:rsidRPr="00D23C74" w:rsidRDefault="00E36491" w:rsidP="00E36491">
      <w:pPr>
        <w:rPr>
          <w:rFonts w:eastAsia="Calibri"/>
          <w:color w:val="000000" w:themeColor="text1"/>
          <w:szCs w:val="22"/>
        </w:rPr>
      </w:pPr>
    </w:p>
    <w:p w14:paraId="4166B4FD" w14:textId="3FA0CBF1" w:rsidR="003F25C2" w:rsidRPr="0095324D" w:rsidRDefault="0050028A" w:rsidP="00C753D7">
      <w:pPr>
        <w:pStyle w:val="Corpo"/>
        <w:spacing w:after="0" w:line="360" w:lineRule="auto"/>
        <w:rPr>
          <w:rFonts w:ascii="Arial" w:eastAsia="Calibri" w:hAnsi="Arial" w:cs="Arial"/>
        </w:rPr>
      </w:pPr>
      <w:r>
        <w:rPr>
          <w:rFonts w:ascii="Arial" w:hAnsi="Arial"/>
          <w:b/>
        </w:rPr>
        <w:t>ПЛАН РАБОТЫ</w:t>
      </w:r>
    </w:p>
    <w:p w14:paraId="1D1716F8" w14:textId="20ACBA95" w:rsidR="003F25C2" w:rsidRPr="0095324D" w:rsidRDefault="003F25C2" w:rsidP="00E36491">
      <w:pPr>
        <w:rPr>
          <w:rFonts w:eastAsiaTheme="minorEastAsia"/>
          <w:color w:val="000000" w:themeColor="text1"/>
          <w:szCs w:val="22"/>
        </w:rPr>
      </w:pPr>
      <w:r>
        <w:rPr>
          <w:color w:val="000000" w:themeColor="text1"/>
        </w:rPr>
        <w:t xml:space="preserve">Предлагаемые в рамках данного плана работы мероприятия связаны с мандатом ПКАП, источником вдохновения для их разработки послужили данные и информация, представленные в упомянутых </w:t>
      </w:r>
      <w:r w:rsidR="00D23C74">
        <w:rPr>
          <w:color w:val="000000" w:themeColor="text1"/>
        </w:rPr>
        <w:t>во вводной</w:t>
      </w:r>
      <w:r>
        <w:rPr>
          <w:color w:val="000000" w:themeColor="text1"/>
        </w:rPr>
        <w:t xml:space="preserve"> части документах. Результаты, которые будут получены в ходе мероприятий и исследований, проведенных при условии принятия настоящего плана работы, могут послужить руководством для последующих шагов Комитета в отношении вопроса авторского права в цифровой среде, однако не обязательно поспособствуют углублению понимания государствами-членами обсуждаемых вопросов.</w:t>
      </w:r>
    </w:p>
    <w:p w14:paraId="3320D709" w14:textId="77777777" w:rsidR="003F25C2" w:rsidRPr="00D23C74" w:rsidRDefault="003F25C2" w:rsidP="00E36491">
      <w:pPr>
        <w:rPr>
          <w:rFonts w:eastAsiaTheme="minorEastAsia"/>
          <w:color w:val="000000" w:themeColor="text1"/>
          <w:szCs w:val="22"/>
        </w:rPr>
      </w:pPr>
    </w:p>
    <w:p w14:paraId="32226AC3" w14:textId="332A3F7C" w:rsidR="00C753D7" w:rsidRPr="0095324D" w:rsidRDefault="00C753D7" w:rsidP="00E36491">
      <w:pPr>
        <w:rPr>
          <w:rFonts w:eastAsiaTheme="minorEastAsia"/>
          <w:color w:val="000000" w:themeColor="text1"/>
          <w:szCs w:val="22"/>
        </w:rPr>
      </w:pPr>
      <w:r>
        <w:rPr>
          <w:color w:val="000000" w:themeColor="text1"/>
        </w:rPr>
        <w:t>В рамках настоящего плана работы на предстоящих сессиях ПКАП предлагается подготовить исследования и провести обсуждения по следующим темам:</w:t>
      </w:r>
    </w:p>
    <w:p w14:paraId="31755BCE" w14:textId="77777777" w:rsidR="00E36491" w:rsidRPr="00D23C74" w:rsidRDefault="00E36491" w:rsidP="00E36491">
      <w:pPr>
        <w:rPr>
          <w:rFonts w:eastAsiaTheme="minorEastAsia"/>
          <w:color w:val="000000" w:themeColor="text1"/>
          <w:szCs w:val="22"/>
        </w:rPr>
      </w:pPr>
    </w:p>
    <w:p w14:paraId="4516E9A3" w14:textId="35D5973D" w:rsidR="006069F9" w:rsidRPr="0095324D" w:rsidRDefault="006069F9" w:rsidP="00E36491">
      <w:pPr>
        <w:pStyle w:val="ListParagraph"/>
        <w:numPr>
          <w:ilvl w:val="0"/>
          <w:numId w:val="10"/>
        </w:numPr>
        <w:spacing w:after="0" w:line="256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Отношения между авторами и исполнителями и крупными глобальными поставщиками услуг. Исследование принятой рыночной практики, включая правила передачи и уступки прав, а также анализ уровня транспарентности как в отношении доступности и рекомендации контента для рядовой публики, пользующейся Интернетом, так и в отношении критериев вознаграждения за произведения, исполнения и творения.</w:t>
      </w:r>
    </w:p>
    <w:p w14:paraId="51F77432" w14:textId="77777777" w:rsidR="00E36491" w:rsidRPr="0095324D" w:rsidRDefault="00E36491" w:rsidP="00E36491">
      <w:pPr>
        <w:pStyle w:val="ListParagraph"/>
        <w:spacing w:after="0" w:line="256" w:lineRule="auto"/>
        <w:rPr>
          <w:rFonts w:ascii="Arial" w:eastAsiaTheme="minorEastAsia" w:hAnsi="Arial" w:cs="Arial"/>
          <w:color w:val="000000" w:themeColor="text1"/>
        </w:rPr>
      </w:pPr>
    </w:p>
    <w:p w14:paraId="25D65EEF" w14:textId="796653A1" w:rsidR="00CE08AF" w:rsidRPr="0095324D" w:rsidRDefault="00BA70E8" w:rsidP="00E36491">
      <w:pPr>
        <w:pStyle w:val="ListParagraph"/>
        <w:numPr>
          <w:ilvl w:val="0"/>
          <w:numId w:val="11"/>
        </w:numPr>
        <w:spacing w:after="0" w:line="256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ИИ и проблемы регулирования, включая исследования рыночной практики и нормативных решений в отношении взаимосвязи между обучением ИИ и авторским правом, правил выдачи разрешений и компенсации за использование, правил передачи прав на голос и образ, а также обсуждение добровольной регистрации в ведомствах государств-членов произведений, созданных с помощью ИИ, и важности присвоения этим произведениям идентификационных знаков.</w:t>
      </w:r>
    </w:p>
    <w:p w14:paraId="10F2E712" w14:textId="77777777" w:rsidR="00E36491" w:rsidRPr="0095324D" w:rsidRDefault="00E36491" w:rsidP="00E36491">
      <w:pPr>
        <w:spacing w:line="256" w:lineRule="auto"/>
        <w:rPr>
          <w:rFonts w:eastAsiaTheme="minorEastAsia"/>
          <w:color w:val="000000" w:themeColor="text1"/>
          <w:szCs w:val="22"/>
          <w:lang w:val="en-US"/>
        </w:rPr>
      </w:pPr>
    </w:p>
    <w:p w14:paraId="274A5F98" w14:textId="459490F1" w:rsidR="00511F4A" w:rsidRPr="0095324D" w:rsidRDefault="00511F4A" w:rsidP="00E36491">
      <w:pPr>
        <w:pStyle w:val="ListParagraph"/>
        <w:numPr>
          <w:ilvl w:val="0"/>
          <w:numId w:val="10"/>
        </w:numPr>
        <w:spacing w:after="0" w:line="256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Надлежащий способ вознаграждения исполнителей и авторов за использование их произведений и исполнений в цифровой среде, изучение различных решений и правовых альтернатив, гарантирующих плату за лицензии и передачу прав, возникших на этапах, предшествующих их использованию в цифровой среде.</w:t>
      </w:r>
    </w:p>
    <w:p w14:paraId="1AB45DA5" w14:textId="77777777" w:rsidR="00EF200D" w:rsidRPr="00D23C74" w:rsidRDefault="00EF200D" w:rsidP="007072B7">
      <w:pPr>
        <w:rPr>
          <w:rFonts w:eastAsiaTheme="minorEastAsia"/>
          <w:color w:val="000000" w:themeColor="text1"/>
        </w:rPr>
      </w:pPr>
    </w:p>
    <w:p w14:paraId="09299135" w14:textId="565C2523" w:rsidR="00EF200D" w:rsidRPr="0095324D" w:rsidRDefault="00EF200D" w:rsidP="00E36491">
      <w:pPr>
        <w:pStyle w:val="ListParagraph"/>
        <w:numPr>
          <w:ilvl w:val="0"/>
          <w:numId w:val="10"/>
        </w:numPr>
        <w:spacing w:after="0" w:line="256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Установление минимальных гарантий в переговорах между авторами и исполнителями, с одной стороны, и платформами, агрегаторами контента и представителями отраслей в целом, с другой стороны, ввиду асимметричности переговорных отношений. Тематические исследования и сравнительный анализ различных моделей охраны в глобальном масштабе. Разработка механизмов, обеспечивающих возможность пересмотра контрактов в случае, если они становятся невыгодными.</w:t>
      </w:r>
    </w:p>
    <w:p w14:paraId="2D97C3F7" w14:textId="77777777" w:rsidR="007072B7" w:rsidRPr="00D23C74" w:rsidRDefault="007072B7" w:rsidP="00A87181">
      <w:pPr>
        <w:rPr>
          <w:rFonts w:eastAsiaTheme="minorEastAsia"/>
          <w:color w:val="000000" w:themeColor="text1"/>
        </w:rPr>
      </w:pPr>
    </w:p>
    <w:p w14:paraId="5F8FE02B" w14:textId="51A01BBB" w:rsidR="007072B7" w:rsidRPr="0095324D" w:rsidRDefault="007072B7" w:rsidP="00E36491">
      <w:pPr>
        <w:pStyle w:val="ListParagraph"/>
        <w:numPr>
          <w:ilvl w:val="0"/>
          <w:numId w:val="10"/>
        </w:numPr>
        <w:spacing w:after="0" w:line="256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lastRenderedPageBreak/>
        <w:t>Обсуждение и исследование подходов к формированию возможной международной правовой базы в отношении права на справедливое вознаграждение за авторское право и смежные права в цифровой среде, без предрешения ее характера, а также способов его сбора и распределения.</w:t>
      </w:r>
    </w:p>
    <w:p w14:paraId="2C2B6F82" w14:textId="77777777" w:rsidR="00A87181" w:rsidRPr="00D23C74" w:rsidRDefault="00A87181" w:rsidP="00507F8E">
      <w:pPr>
        <w:rPr>
          <w:rFonts w:eastAsiaTheme="minorEastAsia"/>
          <w:color w:val="000000" w:themeColor="text1"/>
        </w:rPr>
      </w:pPr>
    </w:p>
    <w:p w14:paraId="29D6B005" w14:textId="0654AC01" w:rsidR="00A87181" w:rsidRPr="0095324D" w:rsidRDefault="00A87181" w:rsidP="00E36491">
      <w:pPr>
        <w:pStyle w:val="ListParagraph"/>
        <w:numPr>
          <w:ilvl w:val="0"/>
          <w:numId w:val="10"/>
        </w:numPr>
        <w:spacing w:after="0" w:line="256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Экономическое исследование текущей конфигурации баланса в области выплаты роялти, связанных с авторским правом и смежными правами на произведения и исполнения, используемые в цифровой среде.</w:t>
      </w:r>
    </w:p>
    <w:p w14:paraId="3F0663A8" w14:textId="77777777" w:rsidR="00E36491" w:rsidRPr="0095324D" w:rsidRDefault="00E36491" w:rsidP="00E36491">
      <w:pPr>
        <w:pStyle w:val="ListParagraph"/>
        <w:spacing w:after="0" w:line="256" w:lineRule="auto"/>
        <w:ind w:left="1440"/>
        <w:rPr>
          <w:rFonts w:ascii="Arial" w:eastAsiaTheme="minorEastAsia" w:hAnsi="Arial" w:cs="Arial"/>
          <w:color w:val="000000" w:themeColor="text1"/>
        </w:rPr>
      </w:pPr>
    </w:p>
    <w:p w14:paraId="7329FB9F" w14:textId="4565A74A" w:rsidR="00E36491" w:rsidRPr="0095324D" w:rsidRDefault="00427F26" w:rsidP="00E36491">
      <w:pPr>
        <w:pStyle w:val="ListParagraph"/>
        <w:numPr>
          <w:ilvl w:val="0"/>
          <w:numId w:val="11"/>
        </w:numPr>
        <w:spacing w:after="0" w:line="256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Исследование и разработка практических руководств по использованию технологических средств охраны произведений и исполнений в цифровой среде.</w:t>
      </w:r>
    </w:p>
    <w:p w14:paraId="2CA6E991" w14:textId="77777777" w:rsidR="00E36491" w:rsidRPr="0095324D" w:rsidRDefault="00E36491" w:rsidP="00E36491">
      <w:pPr>
        <w:pStyle w:val="ListParagraph"/>
        <w:spacing w:after="0" w:line="256" w:lineRule="auto"/>
        <w:ind w:left="1440"/>
        <w:rPr>
          <w:rFonts w:ascii="Arial" w:eastAsiaTheme="minorEastAsia" w:hAnsi="Arial" w:cs="Arial"/>
          <w:color w:val="000000" w:themeColor="text1"/>
        </w:rPr>
      </w:pPr>
    </w:p>
    <w:p w14:paraId="1A5B1B3F" w14:textId="46C8B13D" w:rsidR="00E36491" w:rsidRPr="0095324D" w:rsidRDefault="005E07A9" w:rsidP="00E36491">
      <w:pPr>
        <w:pStyle w:val="ListParagraph"/>
        <w:numPr>
          <w:ilvl w:val="0"/>
          <w:numId w:val="11"/>
        </w:numPr>
        <w:spacing w:after="0" w:line="256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Обзор и оценка национальных или региональных решений, касающихся прав в цифровой среде на любые типы произведений.</w:t>
      </w:r>
    </w:p>
    <w:p w14:paraId="343102E0" w14:textId="77777777" w:rsidR="00E36491" w:rsidRPr="00D23C74" w:rsidRDefault="00E36491" w:rsidP="00E36491">
      <w:pPr>
        <w:spacing w:line="256" w:lineRule="auto"/>
        <w:rPr>
          <w:rFonts w:eastAsiaTheme="minorEastAsia"/>
          <w:color w:val="000000" w:themeColor="text1"/>
          <w:szCs w:val="22"/>
          <w:highlight w:val="yellow"/>
        </w:rPr>
      </w:pPr>
    </w:p>
    <w:p w14:paraId="57480DAF" w14:textId="6826C86E" w:rsidR="00E36491" w:rsidRPr="0095324D" w:rsidRDefault="005E07A9" w:rsidP="00E36491">
      <w:pPr>
        <w:pStyle w:val="ListParagraph"/>
        <w:numPr>
          <w:ilvl w:val="0"/>
          <w:numId w:val="11"/>
        </w:numPr>
        <w:spacing w:after="0" w:line="256" w:lineRule="auto"/>
        <w:rPr>
          <w:rFonts w:ascii="Arial" w:eastAsiaTheme="minorEastAsia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Содействие проведению исследований по вопросам регулирования и охраны аудиовизуальных произведений или произведений изобразительного искусства на цифровых рынках.</w:t>
      </w:r>
    </w:p>
    <w:p w14:paraId="28DB85FD" w14:textId="77777777" w:rsidR="00D17250" w:rsidRPr="00D23C74" w:rsidRDefault="00D17250" w:rsidP="00E36491">
      <w:pPr>
        <w:rPr>
          <w:rFonts w:eastAsiaTheme="minorEastAsia"/>
          <w:color w:val="000000" w:themeColor="text1"/>
          <w:szCs w:val="22"/>
        </w:rPr>
      </w:pPr>
    </w:p>
    <w:p w14:paraId="5AA9155C" w14:textId="0D05ED89" w:rsidR="00D17250" w:rsidRPr="0095324D" w:rsidRDefault="00D17250" w:rsidP="00E36491">
      <w:pPr>
        <w:rPr>
          <w:rFonts w:eastAsiaTheme="minorEastAsia"/>
          <w:color w:val="000000" w:themeColor="text1"/>
          <w:szCs w:val="22"/>
        </w:rPr>
      </w:pPr>
      <w:r>
        <w:rPr>
          <w:color w:val="000000" w:themeColor="text1"/>
        </w:rPr>
        <w:t>Для достижения прогресса в разработке этой повестки также предлагается, чтобы государства-члены в рамках работы Комитета и при технической и финансовой поддержке ВОИС разработали инструменты, справочные типовые законы и учебные пособия по вышеупомянутым темам.</w:t>
      </w:r>
    </w:p>
    <w:p w14:paraId="33527E9A" w14:textId="77777777" w:rsidR="00974B5B" w:rsidRPr="00D23C74" w:rsidRDefault="00974B5B" w:rsidP="00E36491">
      <w:pPr>
        <w:rPr>
          <w:rFonts w:eastAsiaTheme="minorEastAsia"/>
          <w:color w:val="000000" w:themeColor="text1"/>
          <w:szCs w:val="22"/>
        </w:rPr>
      </w:pPr>
    </w:p>
    <w:p w14:paraId="7E5118CC" w14:textId="344987B2" w:rsidR="00974B5B" w:rsidRPr="0095324D" w:rsidRDefault="00974B5B" w:rsidP="00387BDD">
      <w:pPr>
        <w:tabs>
          <w:tab w:val="left" w:pos="540"/>
        </w:tabs>
        <w:rPr>
          <w:rFonts w:eastAsiaTheme="minorEastAsia"/>
          <w:color w:val="000000" w:themeColor="text1"/>
          <w:szCs w:val="22"/>
        </w:rPr>
      </w:pPr>
      <w:r>
        <w:rPr>
          <w:color w:val="000000" w:themeColor="text1"/>
        </w:rPr>
        <w:t>В дополнение к этим исследованиям также предлагается, чтобы Секретариат под руководством государств-членов поощрял соблюдение в рамках своих технических групп и структурных подразделений требования о применении подхода, ориентированного на государства-члены, и чтобы эти группы представляли на рассмотрение Комитета результаты деятельности, относящейся к сфере действия настоящего плана работы в области авторского права в цифровой среде.</w:t>
      </w:r>
    </w:p>
    <w:p w14:paraId="0E13C5F4" w14:textId="77777777" w:rsidR="00974B5B" w:rsidRPr="00D23C74" w:rsidRDefault="00974B5B" w:rsidP="00E36491">
      <w:pPr>
        <w:rPr>
          <w:rFonts w:eastAsiaTheme="minorEastAsia"/>
          <w:color w:val="000000" w:themeColor="text1"/>
          <w:szCs w:val="22"/>
        </w:rPr>
      </w:pPr>
    </w:p>
    <w:p w14:paraId="40ABA68D" w14:textId="12C2DFC2" w:rsidR="00E36491" w:rsidRPr="0095324D" w:rsidRDefault="00E80085" w:rsidP="00E36491">
      <w:pPr>
        <w:rPr>
          <w:b/>
          <w:szCs w:val="22"/>
          <w:u w:val="single"/>
        </w:rPr>
      </w:pPr>
      <w:r>
        <w:rPr>
          <w:b/>
          <w:u w:val="single"/>
        </w:rPr>
        <w:t>СРОКИ ВЫПОЛНЕНИЯ ПЛАНА РАБОТЫ</w:t>
      </w:r>
    </w:p>
    <w:p w14:paraId="2623771E" w14:textId="77777777" w:rsidR="00E80085" w:rsidRPr="00D23C74" w:rsidRDefault="00E80085" w:rsidP="00E36491">
      <w:pPr>
        <w:rPr>
          <w:b/>
          <w:szCs w:val="22"/>
          <w:u w:val="single"/>
        </w:rPr>
      </w:pPr>
    </w:p>
    <w:p w14:paraId="40DC26D8" w14:textId="03E77EED" w:rsidR="007C2AF1" w:rsidRPr="0095324D" w:rsidRDefault="007C2AF1" w:rsidP="00E36491">
      <w:pPr>
        <w:rPr>
          <w:szCs w:val="22"/>
        </w:rPr>
      </w:pPr>
      <w:r>
        <w:t>Предлагается проводить по крайней мере одно региональное техническое рабочее совещание перед сессиями Комитета с тем, чтобы обсуждать результатов исследований и, при необходимости, представлять предметные замечания. Это потребует участия региональных ведомств по авторскому праву и специалистов, работающих в предлагаемых областях.</w:t>
      </w:r>
    </w:p>
    <w:p w14:paraId="47D91F67" w14:textId="77777777" w:rsidR="007072B7" w:rsidRPr="00D23C74" w:rsidRDefault="007072B7" w:rsidP="00E36491">
      <w:pPr>
        <w:rPr>
          <w:szCs w:val="22"/>
        </w:rPr>
      </w:pPr>
    </w:p>
    <w:p w14:paraId="5BDFFDC7" w14:textId="77777777" w:rsidR="00E36491" w:rsidRPr="0095324D" w:rsidRDefault="00E36491" w:rsidP="00E36491">
      <w:pPr>
        <w:rPr>
          <w:b/>
          <w:szCs w:val="22"/>
          <w:u w:val="single"/>
        </w:rPr>
      </w:pPr>
      <w:r>
        <w:rPr>
          <w:b/>
          <w:u w:val="single"/>
        </w:rPr>
        <w:t>2024 год — 45-я сессия ПКАП</w:t>
      </w:r>
    </w:p>
    <w:p w14:paraId="3B179788" w14:textId="77777777" w:rsidR="00E36491" w:rsidRPr="0095324D" w:rsidRDefault="00E36491" w:rsidP="00E36491">
      <w:pPr>
        <w:rPr>
          <w:szCs w:val="22"/>
          <w:lang w:val="en-US"/>
        </w:rPr>
      </w:pPr>
    </w:p>
    <w:p w14:paraId="131D06E3" w14:textId="5E2DEF02" w:rsidR="00E36491" w:rsidRPr="0095324D" w:rsidRDefault="0011119E" w:rsidP="00E36491">
      <w:pPr>
        <w:numPr>
          <w:ilvl w:val="0"/>
          <w:numId w:val="8"/>
        </w:numPr>
        <w:spacing w:line="276" w:lineRule="auto"/>
        <w:rPr>
          <w:szCs w:val="22"/>
        </w:rPr>
      </w:pPr>
      <w:r>
        <w:t xml:space="preserve">Исследование принятой рыночной практики, включая правила передачи и уступки прав, а также анализ уровня транспарентности как в отношении доступности и рекомендации контента </w:t>
      </w:r>
      <w:r w:rsidR="00D23C74">
        <w:t>для представителей</w:t>
      </w:r>
      <w:r>
        <w:t xml:space="preserve"> общественности публики, пользующейся Интернетом, так и в отношении критериев вознаграждения за произведения и исполнения.</w:t>
      </w:r>
    </w:p>
    <w:p w14:paraId="46E4A063" w14:textId="77777777" w:rsidR="00773E9B" w:rsidRPr="00D23C74" w:rsidRDefault="00773E9B" w:rsidP="00773E9B">
      <w:pPr>
        <w:spacing w:line="276" w:lineRule="auto"/>
        <w:ind w:left="720"/>
        <w:rPr>
          <w:szCs w:val="22"/>
        </w:rPr>
      </w:pPr>
    </w:p>
    <w:p w14:paraId="5B9DFB12" w14:textId="18BC5C82" w:rsidR="00E36491" w:rsidRPr="0095324D" w:rsidRDefault="00EB056E" w:rsidP="00E36491">
      <w:pPr>
        <w:numPr>
          <w:ilvl w:val="2"/>
          <w:numId w:val="8"/>
        </w:numPr>
        <w:spacing w:line="276" w:lineRule="auto"/>
        <w:rPr>
          <w:szCs w:val="22"/>
        </w:rPr>
      </w:pPr>
      <w:r>
        <w:t>Подготовка в 2024 году, представление на 46-й сессии ПКАП (апрель 2025 года).</w:t>
      </w:r>
    </w:p>
    <w:p w14:paraId="56B5BBC0" w14:textId="77777777" w:rsidR="00E36491" w:rsidRPr="00D23C74" w:rsidRDefault="00E36491" w:rsidP="00E36491">
      <w:pPr>
        <w:rPr>
          <w:szCs w:val="22"/>
        </w:rPr>
      </w:pPr>
    </w:p>
    <w:p w14:paraId="79649795" w14:textId="5B93E789" w:rsidR="00EA49BD" w:rsidRPr="0095324D" w:rsidRDefault="00D42D8A" w:rsidP="00EA49BD">
      <w:pPr>
        <w:numPr>
          <w:ilvl w:val="0"/>
          <w:numId w:val="9"/>
        </w:numPr>
        <w:spacing w:line="276" w:lineRule="auto"/>
        <w:rPr>
          <w:szCs w:val="22"/>
        </w:rPr>
      </w:pPr>
      <w:r>
        <w:t xml:space="preserve">ИИ и проблемы регулирования, включая исследования рыночной практики и нормативных решений в отношении взаимосвязи между обучением ИИ и </w:t>
      </w:r>
      <w:r>
        <w:lastRenderedPageBreak/>
        <w:t xml:space="preserve">авторским правом, правил выдачи разрешений и компенсации за использование, правил передачи прав на голос и образ, </w:t>
      </w:r>
      <w:r>
        <w:rPr>
          <w:color w:val="000000" w:themeColor="text1"/>
        </w:rPr>
        <w:t>а также обсуждение добровольной регистрации произведений, созданных с помощью ИИ, и важности присвоения этим произведениям идентификационных знаков</w:t>
      </w:r>
      <w:r>
        <w:t>.</w:t>
      </w:r>
    </w:p>
    <w:p w14:paraId="0D2494B2" w14:textId="77777777" w:rsidR="00EA49BD" w:rsidRPr="0095324D" w:rsidRDefault="00EA49BD" w:rsidP="00EA49BD">
      <w:pPr>
        <w:spacing w:line="276" w:lineRule="auto"/>
        <w:ind w:left="720"/>
        <w:rPr>
          <w:szCs w:val="22"/>
          <w:lang w:val="en-US"/>
        </w:rPr>
      </w:pPr>
    </w:p>
    <w:p w14:paraId="6F9A5A7C" w14:textId="60F3D7AF" w:rsidR="00E36491" w:rsidRPr="0095324D" w:rsidRDefault="00EA49BD" w:rsidP="00E36491">
      <w:pPr>
        <w:numPr>
          <w:ilvl w:val="2"/>
          <w:numId w:val="9"/>
        </w:numPr>
        <w:spacing w:line="276" w:lineRule="auto"/>
        <w:rPr>
          <w:szCs w:val="22"/>
        </w:rPr>
      </w:pPr>
      <w:r>
        <w:t xml:space="preserve">Обсуждение на 45-й сессии ПКАП (апрель 2024 года) — исследование будет подготовлено к концу 2024 года. </w:t>
      </w:r>
    </w:p>
    <w:p w14:paraId="5EDA84CF" w14:textId="77777777" w:rsidR="00E36491" w:rsidRPr="00D23C74" w:rsidRDefault="00E36491" w:rsidP="00E36491">
      <w:pPr>
        <w:rPr>
          <w:szCs w:val="22"/>
        </w:rPr>
      </w:pPr>
    </w:p>
    <w:p w14:paraId="25F8A118" w14:textId="77777777" w:rsidR="00E36491" w:rsidRPr="00D23C74" w:rsidRDefault="00E36491" w:rsidP="00E36491">
      <w:pPr>
        <w:rPr>
          <w:szCs w:val="22"/>
        </w:rPr>
      </w:pPr>
    </w:p>
    <w:p w14:paraId="0025D836" w14:textId="7C1AD58F" w:rsidR="00E36491" w:rsidRPr="0095324D" w:rsidRDefault="00E36491" w:rsidP="00E36491">
      <w:pPr>
        <w:rPr>
          <w:b/>
          <w:szCs w:val="22"/>
          <w:u w:val="single"/>
        </w:rPr>
      </w:pPr>
      <w:r>
        <w:rPr>
          <w:b/>
          <w:u w:val="single"/>
        </w:rPr>
        <w:t>2025 год — 46-я и 47-я сессия ПКАП</w:t>
      </w:r>
    </w:p>
    <w:p w14:paraId="46E44F62" w14:textId="77777777" w:rsidR="00E36491" w:rsidRPr="00D23C74" w:rsidRDefault="00E36491" w:rsidP="00E36491">
      <w:pPr>
        <w:ind w:left="2160"/>
        <w:rPr>
          <w:szCs w:val="22"/>
        </w:rPr>
      </w:pPr>
    </w:p>
    <w:p w14:paraId="41768849" w14:textId="5426670F" w:rsidR="0043632D" w:rsidRPr="0095324D" w:rsidRDefault="0043632D" w:rsidP="00E36491">
      <w:pPr>
        <w:numPr>
          <w:ilvl w:val="0"/>
          <w:numId w:val="7"/>
        </w:numPr>
        <w:spacing w:line="276" w:lineRule="auto"/>
        <w:rPr>
          <w:szCs w:val="22"/>
        </w:rPr>
      </w:pPr>
      <w:r>
        <w:t>Экономическое исследование текущей конфигурации баланса в области выплаты роялти, связанных с авторским правом и смежными правами на произведения и исполнения, используемые в цифровой среде.</w:t>
      </w:r>
    </w:p>
    <w:p w14:paraId="4D407B33" w14:textId="77777777" w:rsidR="0043632D" w:rsidRPr="00D23C74" w:rsidRDefault="0043632D" w:rsidP="0043632D">
      <w:pPr>
        <w:spacing w:line="276" w:lineRule="auto"/>
        <w:ind w:left="720"/>
        <w:rPr>
          <w:szCs w:val="22"/>
        </w:rPr>
      </w:pPr>
    </w:p>
    <w:p w14:paraId="3099D72D" w14:textId="604C80B1" w:rsidR="00E36491" w:rsidRPr="0095324D" w:rsidRDefault="0043632D" w:rsidP="00E36491">
      <w:pPr>
        <w:numPr>
          <w:ilvl w:val="2"/>
          <w:numId w:val="7"/>
        </w:numPr>
        <w:spacing w:line="276" w:lineRule="auto"/>
        <w:rPr>
          <w:szCs w:val="22"/>
        </w:rPr>
      </w:pPr>
      <w:r>
        <w:t>Завершение в 2024 году / представление исследования на 46-й сессии ПКАП в апреле 2025 года.</w:t>
      </w:r>
    </w:p>
    <w:p w14:paraId="60F9064C" w14:textId="77777777" w:rsidR="00F54D95" w:rsidRPr="00D23C74" w:rsidRDefault="00F54D95" w:rsidP="00F54D95">
      <w:pPr>
        <w:spacing w:line="276" w:lineRule="auto"/>
        <w:rPr>
          <w:szCs w:val="22"/>
        </w:rPr>
      </w:pPr>
    </w:p>
    <w:p w14:paraId="127DCBD8" w14:textId="67953239" w:rsidR="00D50E16" w:rsidRPr="0095324D" w:rsidRDefault="00D50E16" w:rsidP="00D50E16">
      <w:pPr>
        <w:numPr>
          <w:ilvl w:val="0"/>
          <w:numId w:val="7"/>
        </w:numPr>
        <w:spacing w:line="276" w:lineRule="auto"/>
        <w:rPr>
          <w:szCs w:val="22"/>
        </w:rPr>
      </w:pPr>
      <w:r>
        <w:t>Надлежащий способ вознаграждения исполнителей и авторов за использование их произведений и исполнений в цифровой среде, изучение различных решений и правовых альтернатив, гарантирующих плату за лицензии и передачу прав, возникших на этапах, предшествующих их использованию в цифровой среде.</w:t>
      </w:r>
    </w:p>
    <w:p w14:paraId="2D02B5D0" w14:textId="61B49763" w:rsidR="00E36491" w:rsidRPr="0095324D" w:rsidRDefault="00E36491" w:rsidP="00E36491">
      <w:pPr>
        <w:numPr>
          <w:ilvl w:val="2"/>
          <w:numId w:val="7"/>
        </w:numPr>
        <w:spacing w:line="276" w:lineRule="auto"/>
        <w:rPr>
          <w:szCs w:val="22"/>
        </w:rPr>
      </w:pPr>
      <w:r>
        <w:t>46-я сессия ПКАП, апрель 2025 года</w:t>
      </w:r>
    </w:p>
    <w:p w14:paraId="5C05B5EA" w14:textId="77777777" w:rsidR="00E36491" w:rsidRPr="0095324D" w:rsidRDefault="00E36491" w:rsidP="00E36491">
      <w:pPr>
        <w:ind w:left="2160"/>
        <w:rPr>
          <w:szCs w:val="22"/>
          <w:lang w:val="en-US"/>
        </w:rPr>
      </w:pPr>
    </w:p>
    <w:p w14:paraId="14FF3D01" w14:textId="60A25C42" w:rsidR="00DE252D" w:rsidRPr="0095324D" w:rsidRDefault="00DE252D" w:rsidP="00E36491">
      <w:pPr>
        <w:numPr>
          <w:ilvl w:val="0"/>
          <w:numId w:val="7"/>
        </w:numPr>
        <w:spacing w:line="276" w:lineRule="auto"/>
        <w:rPr>
          <w:szCs w:val="22"/>
        </w:rPr>
      </w:pPr>
      <w:r>
        <w:t>Обзор и оценка решений на национальном, региональном и международном уровнях, касающихся прав в цифровой среде на любые типы произведений, включая регулирование права на справедливое вознаграждение, его сбор и распределение.</w:t>
      </w:r>
    </w:p>
    <w:p w14:paraId="13A1A017" w14:textId="77777777" w:rsidR="00DE252D" w:rsidRPr="00D23C74" w:rsidRDefault="00DE252D" w:rsidP="00DE252D">
      <w:pPr>
        <w:spacing w:line="276" w:lineRule="auto"/>
        <w:ind w:left="720"/>
        <w:rPr>
          <w:szCs w:val="22"/>
        </w:rPr>
      </w:pPr>
    </w:p>
    <w:p w14:paraId="1F2D5ECD" w14:textId="329875B3" w:rsidR="00E36491" w:rsidRPr="0095324D" w:rsidRDefault="00E36491" w:rsidP="00E36491">
      <w:pPr>
        <w:numPr>
          <w:ilvl w:val="2"/>
          <w:numId w:val="7"/>
        </w:numPr>
        <w:spacing w:line="276" w:lineRule="auto"/>
        <w:rPr>
          <w:szCs w:val="22"/>
        </w:rPr>
      </w:pPr>
      <w:r>
        <w:t>46-я сессия ПКАП, апрель 2025 года</w:t>
      </w:r>
    </w:p>
    <w:p w14:paraId="2A9AA701" w14:textId="77777777" w:rsidR="00E36491" w:rsidRPr="0095324D" w:rsidRDefault="00E36491" w:rsidP="00E36491">
      <w:pPr>
        <w:ind w:left="2160"/>
        <w:rPr>
          <w:szCs w:val="22"/>
          <w:lang w:val="en-US"/>
        </w:rPr>
      </w:pPr>
    </w:p>
    <w:p w14:paraId="4C6BCE2D" w14:textId="44934625" w:rsidR="00CD50BB" w:rsidRPr="0095324D" w:rsidRDefault="00CD50BB" w:rsidP="00E36491">
      <w:pPr>
        <w:numPr>
          <w:ilvl w:val="0"/>
          <w:numId w:val="7"/>
        </w:numPr>
        <w:spacing w:line="276" w:lineRule="auto"/>
        <w:rPr>
          <w:szCs w:val="22"/>
        </w:rPr>
      </w:pPr>
      <w:r>
        <w:t xml:space="preserve">Установление минимальных гарантий в переговорах между авторами и исполнителями, с одной стороны, и платформами, агрегаторами контента и представителями отраслей в целом, с другой стороны, ввиду асимметричности переговорных отношений. Тематические исследования и сравнительный анализ различных моделей охраны в глобальном масштабе. </w:t>
      </w:r>
      <w:r>
        <w:rPr>
          <w:color w:val="000000" w:themeColor="text1"/>
        </w:rPr>
        <w:t>Разработка механизмов, обеспечивающих возможность пересмотра контрактов в случае, если они становятся невыгодными.</w:t>
      </w:r>
    </w:p>
    <w:p w14:paraId="26B9AAA3" w14:textId="77777777" w:rsidR="00CD50BB" w:rsidRPr="00D23C74" w:rsidRDefault="00CD50BB" w:rsidP="00CD50BB">
      <w:pPr>
        <w:spacing w:line="276" w:lineRule="auto"/>
        <w:ind w:left="720"/>
        <w:rPr>
          <w:szCs w:val="22"/>
        </w:rPr>
      </w:pPr>
    </w:p>
    <w:p w14:paraId="1588C6F2" w14:textId="2883946D" w:rsidR="00E36491" w:rsidRPr="0095324D" w:rsidRDefault="00E36491" w:rsidP="00E36491">
      <w:pPr>
        <w:numPr>
          <w:ilvl w:val="2"/>
          <w:numId w:val="7"/>
        </w:numPr>
        <w:spacing w:line="276" w:lineRule="auto"/>
        <w:rPr>
          <w:szCs w:val="22"/>
        </w:rPr>
      </w:pPr>
      <w:r>
        <w:t>47-я сессия ПКАП, ноябрь 2025 года</w:t>
      </w:r>
    </w:p>
    <w:p w14:paraId="3B44F653" w14:textId="77777777" w:rsidR="00E36491" w:rsidRPr="0095324D" w:rsidRDefault="00E36491" w:rsidP="00E36491">
      <w:pPr>
        <w:ind w:left="720"/>
        <w:rPr>
          <w:szCs w:val="22"/>
          <w:lang w:val="en-US"/>
        </w:rPr>
      </w:pPr>
    </w:p>
    <w:p w14:paraId="58BD68DB" w14:textId="21AD3323" w:rsidR="00FC0310" w:rsidRPr="0095324D" w:rsidRDefault="00FC0310" w:rsidP="00E36491">
      <w:pPr>
        <w:numPr>
          <w:ilvl w:val="0"/>
          <w:numId w:val="7"/>
        </w:numPr>
        <w:spacing w:line="276" w:lineRule="auto"/>
        <w:rPr>
          <w:szCs w:val="22"/>
        </w:rPr>
      </w:pPr>
      <w:r>
        <w:t>Оценка возможности инициирования дискуссии о необходимости создания международной правовой базы в отношении права на справедливое вознаграждение за авторское право и смежные права в цифровой среде без предрешения ее характера.</w:t>
      </w:r>
    </w:p>
    <w:p w14:paraId="300CF7AE" w14:textId="77777777" w:rsidR="00E36491" w:rsidRPr="00D23C74" w:rsidRDefault="00E36491" w:rsidP="00E36491">
      <w:pPr>
        <w:spacing w:line="276" w:lineRule="auto"/>
        <w:ind w:left="720"/>
        <w:rPr>
          <w:szCs w:val="22"/>
        </w:rPr>
      </w:pPr>
    </w:p>
    <w:p w14:paraId="7C86A460" w14:textId="4BE4D787" w:rsidR="00E36491" w:rsidRPr="0095324D" w:rsidRDefault="00D76D55" w:rsidP="00E36491">
      <w:pPr>
        <w:numPr>
          <w:ilvl w:val="0"/>
          <w:numId w:val="7"/>
        </w:numPr>
        <w:spacing w:line="276" w:lineRule="auto"/>
        <w:rPr>
          <w:szCs w:val="22"/>
        </w:rPr>
      </w:pPr>
      <w:r>
        <w:t>Исследование и разработка практических руководств по использованию технологических средств охраны произведений в цифровой среде.</w:t>
      </w:r>
    </w:p>
    <w:p w14:paraId="545CF2BB" w14:textId="77777777" w:rsidR="00E36491" w:rsidRPr="00D23C74" w:rsidRDefault="00E36491" w:rsidP="00E36491">
      <w:pPr>
        <w:spacing w:line="276" w:lineRule="auto"/>
        <w:ind w:left="720"/>
        <w:rPr>
          <w:szCs w:val="22"/>
        </w:rPr>
      </w:pPr>
    </w:p>
    <w:p w14:paraId="0CD8D384" w14:textId="09FD847F" w:rsidR="00E36491" w:rsidRPr="0095324D" w:rsidRDefault="00F071AD" w:rsidP="00E36491">
      <w:pPr>
        <w:numPr>
          <w:ilvl w:val="0"/>
          <w:numId w:val="7"/>
        </w:numPr>
        <w:spacing w:line="276" w:lineRule="auto"/>
        <w:rPr>
          <w:szCs w:val="22"/>
        </w:rPr>
      </w:pPr>
      <w:r>
        <w:t>Содействие проведению исследований по вопросам регулирования и охраны аудиовизуальных произведений и произведений изобразительного искусства на цифровых рынках.</w:t>
      </w:r>
    </w:p>
    <w:p w14:paraId="1E5C12D7" w14:textId="77777777" w:rsidR="00C00074" w:rsidRPr="00D23C74" w:rsidRDefault="00C00074" w:rsidP="00C00074">
      <w:pPr>
        <w:spacing w:line="276" w:lineRule="auto"/>
        <w:rPr>
          <w:szCs w:val="22"/>
        </w:rPr>
      </w:pPr>
    </w:p>
    <w:p w14:paraId="3F83A9E4" w14:textId="3F24D9E3" w:rsidR="002A4CB1" w:rsidRPr="0095324D" w:rsidRDefault="002A4CB1" w:rsidP="002A4CB1">
      <w:pPr>
        <w:numPr>
          <w:ilvl w:val="2"/>
          <w:numId w:val="7"/>
        </w:numPr>
        <w:spacing w:line="276" w:lineRule="auto"/>
        <w:rPr>
          <w:szCs w:val="22"/>
        </w:rPr>
      </w:pPr>
      <w:r>
        <w:t>47-я сессия ПКАП, ноябрь 2025 года</w:t>
      </w:r>
    </w:p>
    <w:p w14:paraId="4D0A0A61" w14:textId="77777777" w:rsidR="002A4CB1" w:rsidRPr="0095324D" w:rsidRDefault="002A4CB1" w:rsidP="002A4CB1">
      <w:pPr>
        <w:spacing w:line="276" w:lineRule="auto"/>
        <w:ind w:left="720"/>
        <w:rPr>
          <w:szCs w:val="22"/>
          <w:lang w:val="en-US"/>
        </w:rPr>
      </w:pPr>
    </w:p>
    <w:p w14:paraId="617DED1F" w14:textId="77777777" w:rsidR="00E36491" w:rsidRPr="0095324D" w:rsidRDefault="00E36491" w:rsidP="00E36491">
      <w:pPr>
        <w:pStyle w:val="Corpo"/>
        <w:spacing w:after="0" w:line="240" w:lineRule="auto"/>
        <w:ind w:left="6120"/>
        <w:rPr>
          <w:rFonts w:ascii="Arial" w:hAnsi="Arial" w:cs="Arial"/>
        </w:rPr>
      </w:pPr>
    </w:p>
    <w:p w14:paraId="36FE96E7" w14:textId="77777777" w:rsidR="00E36491" w:rsidRPr="0095324D" w:rsidRDefault="00E36491" w:rsidP="00E36491">
      <w:pPr>
        <w:pStyle w:val="Corpo"/>
        <w:spacing w:after="0" w:line="240" w:lineRule="auto"/>
        <w:ind w:left="6120"/>
        <w:rPr>
          <w:rFonts w:ascii="Arial" w:hAnsi="Arial" w:cs="Arial"/>
        </w:rPr>
      </w:pPr>
    </w:p>
    <w:p w14:paraId="5B8DDA5D" w14:textId="77777777" w:rsidR="00152CEA" w:rsidRPr="0095324D" w:rsidRDefault="00152CEA" w:rsidP="00E36491">
      <w:pPr>
        <w:ind w:left="6120"/>
        <w:rPr>
          <w:szCs w:val="22"/>
          <w:lang w:val="en-US"/>
        </w:rPr>
      </w:pPr>
    </w:p>
    <w:p w14:paraId="52F272B4" w14:textId="1651585B" w:rsidR="00E36491" w:rsidRPr="0095324D" w:rsidRDefault="00E36491" w:rsidP="00E36491">
      <w:pPr>
        <w:ind w:left="6120"/>
        <w:rPr>
          <w:szCs w:val="22"/>
        </w:rPr>
      </w:pPr>
      <w:r>
        <w:t>[Конец документа]</w:t>
      </w:r>
    </w:p>
    <w:sectPr w:rsidR="00E36491" w:rsidRPr="0095324D" w:rsidSect="00182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C28A" w14:textId="77777777" w:rsidR="00182D18" w:rsidRDefault="00182D18">
      <w:r>
        <w:separator/>
      </w:r>
    </w:p>
  </w:endnote>
  <w:endnote w:type="continuationSeparator" w:id="0">
    <w:p w14:paraId="6FEAB1FE" w14:textId="77777777" w:rsidR="00182D18" w:rsidRPr="009D30E6" w:rsidRDefault="00182D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9BB4A39" w14:textId="77777777" w:rsidR="00182D18" w:rsidRPr="00D23C74" w:rsidRDefault="00182D18" w:rsidP="007E663E">
      <w:pPr>
        <w:spacing w:after="60"/>
        <w:rPr>
          <w:sz w:val="17"/>
          <w:szCs w:val="17"/>
          <w:lang w:val="en-US"/>
        </w:rPr>
      </w:pPr>
      <w:r w:rsidRPr="00D23C74">
        <w:rPr>
          <w:sz w:val="17"/>
          <w:lang w:val="en-US"/>
        </w:rPr>
        <w:t>[Continuación de la nota de la página anterior]</w:t>
      </w:r>
    </w:p>
  </w:endnote>
  <w:endnote w:type="continuationNotice" w:id="1">
    <w:p w14:paraId="494F7581" w14:textId="77777777" w:rsidR="00182D18" w:rsidRPr="00D23C74" w:rsidRDefault="00182D18" w:rsidP="007E663E">
      <w:pPr>
        <w:spacing w:before="60"/>
        <w:jc w:val="right"/>
        <w:rPr>
          <w:sz w:val="17"/>
          <w:szCs w:val="17"/>
          <w:lang w:val="en-US"/>
        </w:rPr>
      </w:pPr>
      <w:r w:rsidRPr="00D23C74">
        <w:rPr>
          <w:sz w:val="17"/>
          <w:szCs w:val="17"/>
          <w:lang w:val="en-US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8BF77" w14:textId="77777777" w:rsidR="000425D8" w:rsidRDefault="00042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58ED" w14:textId="77777777" w:rsidR="000425D8" w:rsidRDefault="000425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0A79" w14:textId="77777777" w:rsidR="000425D8" w:rsidRDefault="000425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C167" w14:textId="77777777" w:rsidR="00182D18" w:rsidRDefault="00182D18">
      <w:r>
        <w:separator/>
      </w:r>
    </w:p>
  </w:footnote>
  <w:footnote w:type="continuationSeparator" w:id="0">
    <w:p w14:paraId="6100317E" w14:textId="77777777" w:rsidR="00182D18" w:rsidRPr="009D30E6" w:rsidRDefault="00182D1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F77A8D4" w14:textId="77777777" w:rsidR="00182D18" w:rsidRPr="00D23C74" w:rsidRDefault="00182D18" w:rsidP="007E663E">
      <w:pPr>
        <w:spacing w:after="60"/>
        <w:rPr>
          <w:sz w:val="17"/>
          <w:szCs w:val="17"/>
          <w:lang w:val="en-US"/>
        </w:rPr>
      </w:pPr>
      <w:r w:rsidRPr="00D23C74">
        <w:rPr>
          <w:sz w:val="17"/>
          <w:lang w:val="en-US"/>
        </w:rPr>
        <w:t>[Continuación de la nota de la página anterior]</w:t>
      </w:r>
    </w:p>
  </w:footnote>
  <w:footnote w:type="continuationNotice" w:id="1">
    <w:p w14:paraId="42F39621" w14:textId="77777777" w:rsidR="00182D18" w:rsidRPr="00D23C74" w:rsidRDefault="00182D18" w:rsidP="007E663E">
      <w:pPr>
        <w:spacing w:before="60"/>
        <w:jc w:val="right"/>
        <w:rPr>
          <w:sz w:val="17"/>
          <w:szCs w:val="17"/>
          <w:lang w:val="en-US"/>
        </w:rPr>
      </w:pPr>
      <w:r w:rsidRPr="00D23C74">
        <w:rPr>
          <w:sz w:val="17"/>
          <w:szCs w:val="17"/>
          <w:lang w:val="en-US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6E3F" w14:textId="77777777" w:rsidR="000425D8" w:rsidRDefault="00042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D894" w14:textId="4E5ED7D9" w:rsidR="00F84474" w:rsidRDefault="00E36491" w:rsidP="00477D6B">
    <w:pPr>
      <w:jc w:val="right"/>
    </w:pPr>
    <w:bookmarkStart w:id="5" w:name="Code2"/>
    <w:bookmarkEnd w:id="5"/>
    <w:r>
      <w:t>SCCR/45/4</w:t>
    </w:r>
  </w:p>
  <w:p w14:paraId="046AA6DF" w14:textId="77777777" w:rsidR="00F84474" w:rsidRDefault="00F84474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t>2</w:t>
    </w:r>
    <w:r>
      <w:fldChar w:fldCharType="end"/>
    </w:r>
  </w:p>
  <w:p w14:paraId="0A906B4B" w14:textId="77777777" w:rsidR="00F84474" w:rsidRDefault="00F84474" w:rsidP="00477D6B">
    <w:pPr>
      <w:jc w:val="right"/>
    </w:pPr>
  </w:p>
  <w:p w14:paraId="6170CB26" w14:textId="77777777"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B991" w14:textId="77777777" w:rsidR="000425D8" w:rsidRDefault="000425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91215"/>
    <w:multiLevelType w:val="multilevel"/>
    <w:tmpl w:val="E0FA78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4801D4"/>
    <w:multiLevelType w:val="multilevel"/>
    <w:tmpl w:val="BDB2C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8092050"/>
    <w:multiLevelType w:val="hybridMultilevel"/>
    <w:tmpl w:val="CAA6F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66C77"/>
    <w:multiLevelType w:val="multilevel"/>
    <w:tmpl w:val="A82630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9343D02"/>
    <w:multiLevelType w:val="hybridMultilevel"/>
    <w:tmpl w:val="E9B8C07A"/>
    <w:lvl w:ilvl="0" w:tplc="7F66D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6B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1E5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04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E0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4E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1CA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2A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CB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30950">
    <w:abstractNumId w:val="4"/>
  </w:num>
  <w:num w:numId="2" w16cid:durableId="803157564">
    <w:abstractNumId w:val="7"/>
  </w:num>
  <w:num w:numId="3" w16cid:durableId="1677994612">
    <w:abstractNumId w:val="0"/>
  </w:num>
  <w:num w:numId="4" w16cid:durableId="1032074281">
    <w:abstractNumId w:val="8"/>
  </w:num>
  <w:num w:numId="5" w16cid:durableId="1045062155">
    <w:abstractNumId w:val="2"/>
  </w:num>
  <w:num w:numId="6" w16cid:durableId="1621913335">
    <w:abstractNumId w:val="5"/>
  </w:num>
  <w:num w:numId="7" w16cid:durableId="1502088510">
    <w:abstractNumId w:val="9"/>
  </w:num>
  <w:num w:numId="8" w16cid:durableId="924800063">
    <w:abstractNumId w:val="3"/>
  </w:num>
  <w:num w:numId="9" w16cid:durableId="1207838893">
    <w:abstractNumId w:val="1"/>
  </w:num>
  <w:num w:numId="10" w16cid:durableId="1032271839">
    <w:abstractNumId w:val="10"/>
  </w:num>
  <w:num w:numId="11" w16cid:durableId="875043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91"/>
    <w:rsid w:val="000226BA"/>
    <w:rsid w:val="000425D8"/>
    <w:rsid w:val="00043FF8"/>
    <w:rsid w:val="000A0E7E"/>
    <w:rsid w:val="000E3BB3"/>
    <w:rsid w:val="000F5E56"/>
    <w:rsid w:val="001107D3"/>
    <w:rsid w:val="0011119E"/>
    <w:rsid w:val="0011428F"/>
    <w:rsid w:val="0012331E"/>
    <w:rsid w:val="001362EE"/>
    <w:rsid w:val="00152CEA"/>
    <w:rsid w:val="00167556"/>
    <w:rsid w:val="00182D18"/>
    <w:rsid w:val="001832A6"/>
    <w:rsid w:val="001C4DD3"/>
    <w:rsid w:val="001D6D70"/>
    <w:rsid w:val="001E30D5"/>
    <w:rsid w:val="001E3F6D"/>
    <w:rsid w:val="001F412E"/>
    <w:rsid w:val="002163D3"/>
    <w:rsid w:val="002634C4"/>
    <w:rsid w:val="00265C59"/>
    <w:rsid w:val="0028147E"/>
    <w:rsid w:val="002A47DA"/>
    <w:rsid w:val="002A4CB1"/>
    <w:rsid w:val="002B2976"/>
    <w:rsid w:val="002F4E68"/>
    <w:rsid w:val="00307787"/>
    <w:rsid w:val="00321B22"/>
    <w:rsid w:val="003357C4"/>
    <w:rsid w:val="0035380A"/>
    <w:rsid w:val="00354647"/>
    <w:rsid w:val="00377273"/>
    <w:rsid w:val="003845C1"/>
    <w:rsid w:val="003871DC"/>
    <w:rsid w:val="00387287"/>
    <w:rsid w:val="00387BDD"/>
    <w:rsid w:val="003A60FD"/>
    <w:rsid w:val="003D41D4"/>
    <w:rsid w:val="003F25C2"/>
    <w:rsid w:val="003F6119"/>
    <w:rsid w:val="003F7F16"/>
    <w:rsid w:val="00420CC7"/>
    <w:rsid w:val="00423E3E"/>
    <w:rsid w:val="00427AF4"/>
    <w:rsid w:val="00427F26"/>
    <w:rsid w:val="0043632D"/>
    <w:rsid w:val="00443382"/>
    <w:rsid w:val="0045231F"/>
    <w:rsid w:val="004579FD"/>
    <w:rsid w:val="004647DA"/>
    <w:rsid w:val="00477D6B"/>
    <w:rsid w:val="004854CD"/>
    <w:rsid w:val="004A6C37"/>
    <w:rsid w:val="004B4FD2"/>
    <w:rsid w:val="004D71E2"/>
    <w:rsid w:val="004F7418"/>
    <w:rsid w:val="0050028A"/>
    <w:rsid w:val="00507F8E"/>
    <w:rsid w:val="00511F4A"/>
    <w:rsid w:val="005456B1"/>
    <w:rsid w:val="0055013B"/>
    <w:rsid w:val="0056224D"/>
    <w:rsid w:val="00571B99"/>
    <w:rsid w:val="00580118"/>
    <w:rsid w:val="005D64EC"/>
    <w:rsid w:val="005E07A9"/>
    <w:rsid w:val="00605827"/>
    <w:rsid w:val="006069F9"/>
    <w:rsid w:val="00610275"/>
    <w:rsid w:val="0061391C"/>
    <w:rsid w:val="00621834"/>
    <w:rsid w:val="006522D0"/>
    <w:rsid w:val="00657A7B"/>
    <w:rsid w:val="00665285"/>
    <w:rsid w:val="006711A2"/>
    <w:rsid w:val="00673D85"/>
    <w:rsid w:val="00675021"/>
    <w:rsid w:val="006A06C6"/>
    <w:rsid w:val="006A4E55"/>
    <w:rsid w:val="006A60BE"/>
    <w:rsid w:val="006B3AF0"/>
    <w:rsid w:val="006D6D6D"/>
    <w:rsid w:val="006E567E"/>
    <w:rsid w:val="0070543F"/>
    <w:rsid w:val="007072B7"/>
    <w:rsid w:val="00751F16"/>
    <w:rsid w:val="00772B2D"/>
    <w:rsid w:val="00773E9B"/>
    <w:rsid w:val="007A6E43"/>
    <w:rsid w:val="007C2AF1"/>
    <w:rsid w:val="007E63AC"/>
    <w:rsid w:val="007E663E"/>
    <w:rsid w:val="00802AB2"/>
    <w:rsid w:val="00815082"/>
    <w:rsid w:val="00832ECE"/>
    <w:rsid w:val="00843582"/>
    <w:rsid w:val="0088685D"/>
    <w:rsid w:val="008B14EA"/>
    <w:rsid w:val="008B2CC1"/>
    <w:rsid w:val="008C43FD"/>
    <w:rsid w:val="0090731E"/>
    <w:rsid w:val="0095324D"/>
    <w:rsid w:val="00966A22"/>
    <w:rsid w:val="00972F03"/>
    <w:rsid w:val="00974B5B"/>
    <w:rsid w:val="00987FBE"/>
    <w:rsid w:val="009906F8"/>
    <w:rsid w:val="0099742A"/>
    <w:rsid w:val="009A0C8B"/>
    <w:rsid w:val="009B6241"/>
    <w:rsid w:val="009E4D3B"/>
    <w:rsid w:val="009F36CD"/>
    <w:rsid w:val="00A06341"/>
    <w:rsid w:val="00A16FC0"/>
    <w:rsid w:val="00A22B1D"/>
    <w:rsid w:val="00A32C9E"/>
    <w:rsid w:val="00A53B54"/>
    <w:rsid w:val="00A7453D"/>
    <w:rsid w:val="00A87181"/>
    <w:rsid w:val="00AB613D"/>
    <w:rsid w:val="00AC494E"/>
    <w:rsid w:val="00B60C9D"/>
    <w:rsid w:val="00B6206B"/>
    <w:rsid w:val="00B65A0A"/>
    <w:rsid w:val="00B72D36"/>
    <w:rsid w:val="00B81F05"/>
    <w:rsid w:val="00B87B62"/>
    <w:rsid w:val="00BA063E"/>
    <w:rsid w:val="00BA70E8"/>
    <w:rsid w:val="00BC4164"/>
    <w:rsid w:val="00BD2DCC"/>
    <w:rsid w:val="00BE1A8C"/>
    <w:rsid w:val="00BE3CDA"/>
    <w:rsid w:val="00C00074"/>
    <w:rsid w:val="00C03271"/>
    <w:rsid w:val="00C06472"/>
    <w:rsid w:val="00C753D7"/>
    <w:rsid w:val="00C90428"/>
    <w:rsid w:val="00C90559"/>
    <w:rsid w:val="00CC392C"/>
    <w:rsid w:val="00CD50BB"/>
    <w:rsid w:val="00CE08AF"/>
    <w:rsid w:val="00D05711"/>
    <w:rsid w:val="00D17250"/>
    <w:rsid w:val="00D23C74"/>
    <w:rsid w:val="00D36B79"/>
    <w:rsid w:val="00D40CF0"/>
    <w:rsid w:val="00D42D8A"/>
    <w:rsid w:val="00D50E16"/>
    <w:rsid w:val="00D56C7C"/>
    <w:rsid w:val="00D63919"/>
    <w:rsid w:val="00D63D44"/>
    <w:rsid w:val="00D71B4D"/>
    <w:rsid w:val="00D76D55"/>
    <w:rsid w:val="00D90289"/>
    <w:rsid w:val="00D93D55"/>
    <w:rsid w:val="00DB7777"/>
    <w:rsid w:val="00DE252D"/>
    <w:rsid w:val="00DE2593"/>
    <w:rsid w:val="00E2115C"/>
    <w:rsid w:val="00E36491"/>
    <w:rsid w:val="00E45C84"/>
    <w:rsid w:val="00E504E5"/>
    <w:rsid w:val="00E73ABF"/>
    <w:rsid w:val="00E80085"/>
    <w:rsid w:val="00E87B3B"/>
    <w:rsid w:val="00E945FD"/>
    <w:rsid w:val="00EA49BD"/>
    <w:rsid w:val="00EB056E"/>
    <w:rsid w:val="00EB7A3E"/>
    <w:rsid w:val="00EC0F23"/>
    <w:rsid w:val="00EC401A"/>
    <w:rsid w:val="00EF1A23"/>
    <w:rsid w:val="00EF200D"/>
    <w:rsid w:val="00EF530A"/>
    <w:rsid w:val="00EF6622"/>
    <w:rsid w:val="00F071AD"/>
    <w:rsid w:val="00F11BC1"/>
    <w:rsid w:val="00F54D95"/>
    <w:rsid w:val="00F55408"/>
    <w:rsid w:val="00F66152"/>
    <w:rsid w:val="00F80845"/>
    <w:rsid w:val="00F84474"/>
    <w:rsid w:val="00FC0310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A6A608"/>
  <w15:docId w15:val="{062D7C19-FBFF-469C-9FB2-490473AE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Corpo">
    <w:name w:val="Corpo"/>
    <w:basedOn w:val="Normal"/>
    <w:uiPriority w:val="1"/>
    <w:rsid w:val="00E36491"/>
    <w:pPr>
      <w:spacing w:after="160" w:line="259" w:lineRule="auto"/>
    </w:pPr>
    <w:rPr>
      <w:rFonts w:ascii="Calibri" w:eastAsia="Arial Unicode MS" w:hAnsi="Calibri" w:cs="Arial Unicode MS"/>
      <w:color w:val="000000" w:themeColor="text1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64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871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71D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71DC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871DC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DE259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1502</Words>
  <Characters>10345</Characters>
  <Application>Microsoft Office Word</Application>
  <DocSecurity>0</DocSecurity>
  <Lines>544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</vt:lpstr>
    </vt:vector>
  </TitlesOfParts>
  <Company>WIPO</Company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</dc:title>
  <dc:creator>HAIZEL Francesca</dc:creator>
  <cp:keywords>FOR OFFICIAL USE ONLY</cp:keywords>
  <cp:lastModifiedBy>-</cp:lastModifiedBy>
  <cp:revision>3</cp:revision>
  <dcterms:created xsi:type="dcterms:W3CDTF">2024-04-03T10:07:00Z</dcterms:created>
  <dcterms:modified xsi:type="dcterms:W3CDTF">2024-04-03T14:04:00Z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