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45" w:rsidRPr="00574192" w:rsidRDefault="00A83816" w:rsidP="00574192">
      <w:pPr>
        <w:pStyle w:val="Heading2"/>
        <w:spacing w:before="0" w:after="220"/>
        <w:rPr>
          <w:i/>
          <w:iCs w:val="0"/>
          <w:sz w:val="24"/>
          <w:szCs w:val="24"/>
        </w:rPr>
      </w:pPr>
      <w:r w:rsidRPr="00574192">
        <w:rPr>
          <w:rFonts w:hint="cs"/>
          <w:i/>
          <w:iCs w:val="0"/>
          <w:sz w:val="24"/>
          <w:szCs w:val="24"/>
          <w:rtl/>
        </w:rPr>
        <w:t>اقتراح بإنشاء قاعدة بيانات دولية لتوحيد أسماء المودعين</w:t>
      </w:r>
    </w:p>
    <w:p w:rsidR="00073053" w:rsidRPr="00A83816" w:rsidRDefault="00A83816" w:rsidP="00A83816">
      <w:pPr>
        <w:spacing w:after="480"/>
        <w:rPr>
          <w:i/>
          <w:iCs/>
          <w:rtl/>
          <w:lang w:val="fr-CH" w:bidi="ar-EG"/>
        </w:rPr>
      </w:pPr>
      <w:r w:rsidRPr="00A83816">
        <w:rPr>
          <w:rFonts w:hint="cs"/>
          <w:i/>
          <w:iCs/>
          <w:rtl/>
          <w:lang w:val="fr-CH" w:bidi="ar-EG"/>
        </w:rPr>
        <w:t>وثيقة من إعداد الهيئة السعودية للملكية الفكرية (</w:t>
      </w:r>
      <w:r w:rsidRPr="00A83816">
        <w:rPr>
          <w:i/>
          <w:iCs/>
          <w:lang w:bidi="ar-EG"/>
        </w:rPr>
        <w:t>SAIP</w:t>
      </w:r>
      <w:r w:rsidRPr="00A83816">
        <w:rPr>
          <w:rFonts w:hint="cs"/>
          <w:i/>
          <w:iCs/>
          <w:rtl/>
          <w:lang w:val="fr-CH" w:bidi="ar-EG"/>
        </w:rPr>
        <w:t>)</w:t>
      </w:r>
    </w:p>
    <w:p w:rsidR="00073053" w:rsidRPr="00574192" w:rsidRDefault="00A83816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t>موجز الاقتراح</w:t>
      </w:r>
    </w:p>
    <w:p w:rsidR="00073053" w:rsidRDefault="00251426" w:rsidP="00251426">
      <w:pPr>
        <w:spacing w:after="220"/>
        <w:rPr>
          <w:rtl/>
        </w:rPr>
      </w:pPr>
      <w:r>
        <w:rPr>
          <w:rFonts w:hint="cs"/>
          <w:rtl/>
        </w:rPr>
        <w:t>تسعى اللجنة المعنية بمعايير الويبو (لجنة المعايير)، حالياً، إلى تطوير معيار للويبو يمكّن من ت</w:t>
      </w:r>
      <w:r w:rsidR="00907CB2">
        <w:rPr>
          <w:rFonts w:hint="cs"/>
          <w:rtl/>
        </w:rPr>
        <w:t>وحيد النسق الذي تُخزَّن به أسما</w:t>
      </w:r>
      <w:r>
        <w:rPr>
          <w:rFonts w:hint="cs"/>
          <w:rtl/>
        </w:rPr>
        <w:t>ء المودعين وذلك في سبيل تحسين جودة معلومات الملكية الفكرية المتاحة من الدول الأعضاء.</w:t>
      </w:r>
    </w:p>
    <w:p w:rsidR="00251426" w:rsidRPr="00251426" w:rsidRDefault="00251426" w:rsidP="00251426">
      <w:pPr>
        <w:spacing w:after="220"/>
        <w:rPr>
          <w:rtl/>
        </w:rPr>
      </w:pPr>
      <w:r>
        <w:rPr>
          <w:rFonts w:hint="cs"/>
          <w:rtl/>
        </w:rPr>
        <w:t>وبناء عليه، تقدم الهيئة السعودية للملكية الفكرية (</w:t>
      </w:r>
      <w:r w:rsidRPr="00251426">
        <w:t>SAIP</w:t>
      </w:r>
      <w:r>
        <w:rPr>
          <w:rFonts w:hint="cs"/>
          <w:rtl/>
        </w:rPr>
        <w:t xml:space="preserve">) اقتراحاً بإنشاء قاعدة بيانات </w:t>
      </w:r>
      <w:r w:rsidR="00907CB2">
        <w:rPr>
          <w:rFonts w:hint="cs"/>
          <w:rtl/>
        </w:rPr>
        <w:t xml:space="preserve">دولية </w:t>
      </w:r>
      <w:r>
        <w:rPr>
          <w:rFonts w:hint="cs"/>
          <w:rtl/>
        </w:rPr>
        <w:t>موحّدة تُخزّن فيها بيانات مكاتب الملكية الفكرية بنسق موحّد بغرض استحداث مصدر مفيد للبيانات من شأنه تحسين الكفاءة والفعالية في عمليات البحث عن معلومات الملكية الفكرية وتحليلها واستخدامها.</w:t>
      </w:r>
    </w:p>
    <w:p w:rsidR="00073053" w:rsidRPr="00574192" w:rsidRDefault="00251426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t>الوضع الحالي</w:t>
      </w:r>
    </w:p>
    <w:p w:rsidR="00251426" w:rsidRDefault="00C80053" w:rsidP="00907CB2">
      <w:pPr>
        <w:spacing w:after="220"/>
        <w:rPr>
          <w:rtl/>
          <w:lang w:bidi="ar-EG"/>
        </w:rPr>
      </w:pPr>
      <w:r>
        <w:rPr>
          <w:rFonts w:hint="cs"/>
          <w:rtl/>
          <w:lang w:bidi="ar-EG"/>
        </w:rPr>
        <w:t>بإمكان المودعين، حالياً، إجراء إيداع مباشر في مكاتب متعدّدة للملكية الفكرية. وقد يسفر ذلك عن تنوعات أو اختلافات في اسم المودع المستخد</w:t>
      </w:r>
      <w:r w:rsidR="00907CB2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>م في كل استمارة طلب في مكتب الملكية الفكرية المختار وذلك حسب المودع أو الوكيل المستخد</w:t>
      </w:r>
      <w:r w:rsidR="00907CB2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م للإيداع. وقد تظهر </w:t>
      </w:r>
      <w:r w:rsidR="00907CB2">
        <w:rPr>
          <w:rFonts w:hint="cs"/>
          <w:rtl/>
          <w:lang w:bidi="ar-EG"/>
        </w:rPr>
        <w:t>من جرّاء ذلك صعوبات وتحديات في عملية البحث</w:t>
      </w:r>
      <w:r>
        <w:rPr>
          <w:rFonts w:hint="cs"/>
          <w:rtl/>
          <w:lang w:bidi="ar-EG"/>
        </w:rPr>
        <w:t>؛ مما يخلّ بمصداقية النتائج ودقتها.</w:t>
      </w:r>
    </w:p>
    <w:p w:rsidR="00C80053" w:rsidRDefault="00E92ED4" w:rsidP="00B55A2A">
      <w:pPr>
        <w:spacing w:after="480"/>
        <w:rPr>
          <w:lang w:bidi="ar-EG"/>
        </w:rPr>
      </w:pPr>
      <w:r w:rsidRPr="00E92ED4">
        <w:rPr>
          <w:noProof/>
          <w:rtl/>
          <w:lang w:eastAsia="zh-CN"/>
        </w:rPr>
        <w:drawing>
          <wp:inline distT="0" distB="0" distL="0" distR="0">
            <wp:extent cx="5760085" cy="15699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6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53" w:rsidRPr="00574192" w:rsidRDefault="00B55A2A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t>الوضع المقترح</w:t>
      </w:r>
    </w:p>
    <w:p w:rsidR="00B55A2A" w:rsidRDefault="00457E60" w:rsidP="00907CB2">
      <w:pPr>
        <w:spacing w:after="220"/>
        <w:rPr>
          <w:rtl/>
        </w:rPr>
      </w:pPr>
      <w:r>
        <w:rPr>
          <w:rFonts w:hint="cs"/>
          <w:rtl/>
        </w:rPr>
        <w:t>يتمثّل</w:t>
      </w:r>
      <w:r w:rsidR="00D20E58">
        <w:rPr>
          <w:rFonts w:hint="cs"/>
          <w:rtl/>
        </w:rPr>
        <w:t xml:space="preserve"> الحل المقترح </w:t>
      </w:r>
      <w:r>
        <w:rPr>
          <w:rFonts w:hint="cs"/>
          <w:rtl/>
        </w:rPr>
        <w:t>في</w:t>
      </w:r>
      <w:r w:rsidR="00907CB2">
        <w:rPr>
          <w:rFonts w:hint="cs"/>
          <w:rtl/>
        </w:rPr>
        <w:t xml:space="preserve"> أن يتم، عندما يودع طلب لأو</w:t>
      </w:r>
      <w:r w:rsidR="00D20E58">
        <w:rPr>
          <w:rFonts w:hint="cs"/>
          <w:rtl/>
        </w:rPr>
        <w:t xml:space="preserve">ل مرّة، استحداث معرّف فريد للمودع من أجل ضمان اسم موحّد عالمياً دون </w:t>
      </w:r>
      <w:r>
        <w:rPr>
          <w:rFonts w:hint="cs"/>
          <w:rtl/>
        </w:rPr>
        <w:t>مشاطرة</w:t>
      </w:r>
      <w:r w:rsidR="00D20E58">
        <w:rPr>
          <w:rFonts w:hint="cs"/>
          <w:rtl/>
        </w:rPr>
        <w:t xml:space="preserve"> معلومات الطلب للحفاظ على سرية الطلب وتأمين استمراريتها. ومن شأن أي إيداع لاحق بخصوص أي طلب في مختلف</w:t>
      </w:r>
      <w:r w:rsidR="0085421D">
        <w:rPr>
          <w:rFonts w:hint="cs"/>
          <w:rtl/>
        </w:rPr>
        <w:t xml:space="preserve"> مكاتب الملكية الفكرية، و</w:t>
      </w:r>
      <w:r w:rsidR="00D20E58">
        <w:rPr>
          <w:rFonts w:hint="cs"/>
          <w:rtl/>
        </w:rPr>
        <w:t xml:space="preserve">في أي وقت، أن </w:t>
      </w:r>
      <w:r w:rsidR="00907CB2">
        <w:rPr>
          <w:rFonts w:hint="cs"/>
          <w:rtl/>
        </w:rPr>
        <w:t>يتيح إمكانية</w:t>
      </w:r>
      <w:r w:rsidR="0085421D">
        <w:rPr>
          <w:rFonts w:hint="cs"/>
          <w:rtl/>
        </w:rPr>
        <w:t xml:space="preserve"> استخراج معلومات المودعين من قاعدة البيانات العالمية.</w:t>
      </w:r>
    </w:p>
    <w:p w:rsidR="00FD14E7" w:rsidRDefault="00FD14E7" w:rsidP="00552198">
      <w:pPr>
        <w:spacing w:after="480"/>
      </w:pPr>
      <w:r w:rsidRPr="00FD14E7">
        <w:rPr>
          <w:noProof/>
          <w:rtl/>
          <w:lang w:eastAsia="zh-CN"/>
        </w:rPr>
        <w:drawing>
          <wp:inline distT="0" distB="0" distL="0" distR="0">
            <wp:extent cx="5760085" cy="154138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54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4E7" w:rsidRPr="00574192" w:rsidRDefault="00552198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rtl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lastRenderedPageBreak/>
        <w:t>مسار المودع</w:t>
      </w:r>
      <w:r w:rsidR="00457E60"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t>ين</w:t>
      </w:r>
    </w:p>
    <w:p w:rsidR="00552198" w:rsidRPr="005C2FC4" w:rsidRDefault="005C2FC4" w:rsidP="00457E60">
      <w:pPr>
        <w:keepNext/>
        <w:spacing w:after="220"/>
        <w:rPr>
          <w:u w:val="single"/>
        </w:rPr>
      </w:pPr>
      <w:r w:rsidRPr="005C2FC4">
        <w:rPr>
          <w:rFonts w:hint="cs"/>
          <w:u w:val="single"/>
          <w:rtl/>
        </w:rPr>
        <w:t>الخطوات التنفيذية:</w:t>
      </w:r>
    </w:p>
    <w:p w:rsidR="00FD14E7" w:rsidRDefault="00457E60" w:rsidP="00B20FD2">
      <w:pPr>
        <w:pStyle w:val="ListParagraph"/>
        <w:keepNext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rFonts w:hint="cs"/>
          <w:rtl/>
        </w:rPr>
        <w:t>قيام المودعين بإيداع طلب في أي من مكاتب الملكية الفكرية؛</w:t>
      </w:r>
    </w:p>
    <w:p w:rsidR="00457E60" w:rsidRDefault="00457E60" w:rsidP="00F97B1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rFonts w:hint="cs"/>
          <w:rtl/>
        </w:rPr>
        <w:t>إضافة المودعين المعلومات الخاصة بهم إلى استمارة الطلب؛</w:t>
      </w:r>
    </w:p>
    <w:p w:rsidR="00457E60" w:rsidRDefault="00457E60" w:rsidP="00F97B1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rFonts w:hint="cs"/>
          <w:rtl/>
        </w:rPr>
        <w:t>تخزين معلومات المودعين في قاعدة بيانات الويبو الدولية واستحداث معرّف؛</w:t>
      </w:r>
    </w:p>
    <w:p w:rsidR="00457E60" w:rsidRDefault="00457E60" w:rsidP="00F97B17">
      <w:pPr>
        <w:pStyle w:val="ListParagraph"/>
        <w:numPr>
          <w:ilvl w:val="0"/>
          <w:numId w:val="10"/>
        </w:numPr>
        <w:spacing w:after="220"/>
        <w:ind w:left="714" w:hanging="357"/>
        <w:contextualSpacing w:val="0"/>
      </w:pPr>
      <w:r>
        <w:rPr>
          <w:rFonts w:hint="cs"/>
          <w:rtl/>
        </w:rPr>
        <w:t xml:space="preserve">تمكّن المودعين، في أي إيداع لاحق وفي أي مكتب للملكية الفكرية، </w:t>
      </w:r>
      <w:r w:rsidR="00AD1EFE">
        <w:rPr>
          <w:rFonts w:hint="cs"/>
          <w:rtl/>
        </w:rPr>
        <w:t xml:space="preserve">من </w:t>
      </w:r>
      <w:r>
        <w:rPr>
          <w:rFonts w:hint="cs"/>
          <w:rtl/>
        </w:rPr>
        <w:t>إدخال المعرّف الخاص بهم لاستخراج معلوماتهم بشكل آلي.</w:t>
      </w:r>
    </w:p>
    <w:p w:rsidR="00F97B17" w:rsidRDefault="00B20FD2" w:rsidP="00B20FD2">
      <w:pPr>
        <w:spacing w:after="480"/>
        <w:rPr>
          <w:rtl/>
        </w:rPr>
      </w:pPr>
      <w:r w:rsidRPr="00B20FD2">
        <w:rPr>
          <w:noProof/>
          <w:rtl/>
          <w:lang w:eastAsia="zh-CN"/>
        </w:rPr>
        <w:drawing>
          <wp:inline distT="0" distB="0" distL="0" distR="0">
            <wp:extent cx="5760085" cy="45407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4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BA" w:rsidRDefault="00D369BA">
      <w:pPr>
        <w:bidi w:val="0"/>
        <w:rPr>
          <w:rtl/>
        </w:rPr>
      </w:pPr>
      <w:r>
        <w:rPr>
          <w:rtl/>
        </w:rPr>
        <w:br w:type="page"/>
      </w:r>
    </w:p>
    <w:p w:rsidR="00F97B17" w:rsidRPr="00574192" w:rsidRDefault="00B20FD2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lastRenderedPageBreak/>
        <w:t>القيمة والمنافع</w:t>
      </w:r>
    </w:p>
    <w:p w:rsidR="00F97B17" w:rsidRPr="00A423C6" w:rsidRDefault="00D369BA" w:rsidP="00B20FD2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rPr>
          <w:lang w:val="fr-CH"/>
        </w:rPr>
      </w:pPr>
      <w:r>
        <w:rPr>
          <w:rFonts w:hint="cs"/>
          <w:rtl/>
        </w:rPr>
        <w:t>توحيد أسماء المودعين في كل مكاتب الملكية الفكرية؛</w:t>
      </w:r>
    </w:p>
    <w:p w:rsidR="00D369BA" w:rsidRPr="00A423C6" w:rsidRDefault="00D369BA" w:rsidP="00B20FD2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rPr>
          <w:lang w:val="fr-CH"/>
        </w:rPr>
      </w:pPr>
      <w:r>
        <w:rPr>
          <w:rFonts w:hint="cs"/>
          <w:rtl/>
        </w:rPr>
        <w:t>واستخدام معلومات الملكية الفكرية بشكل فعال ودقيق لأغراض الدراسات والتحليلات والتقارير؛</w:t>
      </w:r>
    </w:p>
    <w:p w:rsidR="00D369BA" w:rsidRDefault="00D369BA" w:rsidP="00B20FD2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rFonts w:hint="cs"/>
          <w:rtl/>
        </w:rPr>
        <w:t>وتعزيز عملية التسجيل وتسريعها؛</w:t>
      </w:r>
    </w:p>
    <w:p w:rsidR="00D369BA" w:rsidRDefault="00D369BA" w:rsidP="00B20FD2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</w:pPr>
      <w:r>
        <w:rPr>
          <w:rFonts w:hint="cs"/>
          <w:rtl/>
        </w:rPr>
        <w:t>وتحسين جودة معلومات الملكية الفكرية.</w:t>
      </w:r>
    </w:p>
    <w:p w:rsidR="00D369BA" w:rsidRDefault="00D369BA">
      <w:pPr>
        <w:bidi w:val="0"/>
        <w:rPr>
          <w:rtl/>
        </w:rPr>
      </w:pPr>
    </w:p>
    <w:p w:rsidR="00F97B17" w:rsidRPr="00574192" w:rsidRDefault="00D369BA" w:rsidP="00574192">
      <w:pPr>
        <w:pStyle w:val="Heading3"/>
        <w:spacing w:before="0" w:after="220"/>
        <w:rPr>
          <w:b/>
          <w:bCs w:val="0"/>
          <w:sz w:val="24"/>
          <w:szCs w:val="24"/>
          <w:u w:val="none"/>
          <w:lang w:val="fr-CH"/>
        </w:rPr>
      </w:pPr>
      <w:r w:rsidRPr="00574192">
        <w:rPr>
          <w:rFonts w:hint="cs"/>
          <w:b/>
          <w:bCs w:val="0"/>
          <w:sz w:val="24"/>
          <w:szCs w:val="24"/>
          <w:u w:val="none"/>
          <w:rtl/>
          <w:lang w:val="fr-CH"/>
        </w:rPr>
        <w:t>ممارسة مماثلة</w:t>
      </w:r>
    </w:p>
    <w:p w:rsidR="00574192" w:rsidRPr="00574192" w:rsidRDefault="00574192" w:rsidP="002B6E6E">
      <w:pPr>
        <w:keepNext/>
        <w:spacing w:after="220"/>
        <w:rPr>
          <w:u w:val="single"/>
          <w:rtl/>
        </w:rPr>
      </w:pPr>
      <w:r w:rsidRPr="00574192">
        <w:rPr>
          <w:rFonts w:hint="cs"/>
          <w:u w:val="single"/>
          <w:rtl/>
        </w:rPr>
        <w:t>المعرّف المفتوح للباحثين والمساهمين (</w:t>
      </w:r>
      <w:r w:rsidRPr="00A423C6">
        <w:rPr>
          <w:u w:val="single"/>
          <w:lang w:val="fr-CH"/>
        </w:rPr>
        <w:t>ORCID</w:t>
      </w:r>
      <w:r w:rsidRPr="00574192">
        <w:rPr>
          <w:rFonts w:hint="cs"/>
          <w:u w:val="single"/>
          <w:rtl/>
        </w:rPr>
        <w:t>)</w:t>
      </w:r>
      <w:r w:rsidR="002B6E6E">
        <w:rPr>
          <w:rFonts w:hint="cs"/>
          <w:u w:val="single"/>
          <w:rtl/>
        </w:rPr>
        <w:t>:</w:t>
      </w:r>
    </w:p>
    <w:p w:rsidR="00F97B17" w:rsidRDefault="008450B5" w:rsidP="00D54F6C">
      <w:pPr>
        <w:spacing w:after="480"/>
        <w:rPr>
          <w:rtl/>
        </w:rPr>
      </w:pPr>
      <w:r>
        <w:rPr>
          <w:rFonts w:hint="cs"/>
          <w:rtl/>
        </w:rPr>
        <w:t>منظمة المعرّف المفتوح للباحثين والمساهمين (</w:t>
      </w:r>
      <w:r w:rsidRPr="008450B5">
        <w:t>ORCID</w:t>
      </w:r>
      <w:r>
        <w:rPr>
          <w:rFonts w:hint="cs"/>
          <w:rtl/>
        </w:rPr>
        <w:t>) هي منظمة عالمية غير ربحية تسعى إلى تزويد الأفراد بمعرّ</w:t>
      </w:r>
      <w:r w:rsidR="00574192">
        <w:rPr>
          <w:rFonts w:hint="cs"/>
          <w:rtl/>
        </w:rPr>
        <w:t>ف فريد ودائم</w:t>
      </w:r>
      <w:r>
        <w:rPr>
          <w:rFonts w:hint="cs"/>
          <w:rtl/>
        </w:rPr>
        <w:t xml:space="preserve"> لاستخدامه عند الخوض في أ</w:t>
      </w:r>
      <w:r w:rsidR="00D54F6C">
        <w:rPr>
          <w:rFonts w:hint="cs"/>
          <w:rtl/>
        </w:rPr>
        <w:t>نشطة البحث والدراسة والابتكار</w:t>
      </w:r>
      <w:r>
        <w:rPr>
          <w:rFonts w:hint="cs"/>
          <w:rtl/>
        </w:rPr>
        <w:t>.</w:t>
      </w:r>
    </w:p>
    <w:p w:rsidR="00D54F6C" w:rsidRDefault="00D54F6C" w:rsidP="002B6E6E">
      <w:pPr>
        <w:keepNext/>
        <w:spacing w:after="220"/>
        <w:rPr>
          <w:rtl/>
        </w:rPr>
      </w:pPr>
      <w:r>
        <w:rPr>
          <w:rFonts w:hint="cs"/>
          <w:rtl/>
        </w:rPr>
        <w:t>خصائص المعرّف المفتوح للباحثين والمساهمين:</w:t>
      </w:r>
    </w:p>
    <w:p w:rsidR="00D54F6C" w:rsidRDefault="00D54F6C" w:rsidP="00D54F6C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>
        <w:rPr>
          <w:rFonts w:hint="cs"/>
          <w:rtl/>
        </w:rPr>
        <w:t>معرّف فريد ودائم يُمنح للباحثين بالمجان؛</w:t>
      </w:r>
      <w:bookmarkStart w:id="0" w:name="_GoBack"/>
      <w:bookmarkEnd w:id="0"/>
    </w:p>
    <w:p w:rsidR="00D54F6C" w:rsidRDefault="00D54F6C" w:rsidP="00D54F6C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>
        <w:rPr>
          <w:rFonts w:hint="cs"/>
          <w:rtl/>
        </w:rPr>
        <w:t>سجل خاص بالمعرّف وموصول به؛</w:t>
      </w:r>
    </w:p>
    <w:p w:rsidR="00D54F6C" w:rsidRDefault="00D54F6C" w:rsidP="00574192">
      <w:pPr>
        <w:pStyle w:val="ListParagraph"/>
        <w:numPr>
          <w:ilvl w:val="0"/>
          <w:numId w:val="11"/>
        </w:numPr>
        <w:spacing w:after="220"/>
      </w:pPr>
      <w:r>
        <w:rPr>
          <w:rFonts w:hint="cs"/>
          <w:rtl/>
        </w:rPr>
        <w:t xml:space="preserve">مجموعة من واجهات برمجة التطبيقات، فضلاً عن الخدمات والمساعدة المقدمة من </w:t>
      </w:r>
      <w:r w:rsidR="00574192">
        <w:rPr>
          <w:rFonts w:hint="cs"/>
          <w:rtl/>
        </w:rPr>
        <w:t>جماعات</w:t>
      </w:r>
      <w:r w:rsidR="00911551">
        <w:rPr>
          <w:rFonts w:hint="cs"/>
          <w:rtl/>
        </w:rPr>
        <w:t xml:space="preserve"> المماسين بما </w:t>
      </w:r>
      <w:r w:rsidR="00574192">
        <w:rPr>
          <w:rFonts w:hint="cs"/>
          <w:rtl/>
        </w:rPr>
        <w:t>يضمن</w:t>
      </w:r>
      <w:r w:rsidR="00911551">
        <w:rPr>
          <w:rFonts w:hint="cs"/>
          <w:rtl/>
        </w:rPr>
        <w:t xml:space="preserve"> توافقية التشغيل بين سجل المعرّف والمنظمات الأعضاء.</w:t>
      </w:r>
    </w:p>
    <w:p w:rsidR="00911551" w:rsidRDefault="00911551" w:rsidP="00911551">
      <w:pPr>
        <w:spacing w:before="480"/>
        <w:ind w:left="5174"/>
      </w:pPr>
      <w:r>
        <w:rPr>
          <w:rFonts w:hint="cs"/>
          <w:rtl/>
        </w:rPr>
        <w:t>[نهاية المرفق والوثيقة]</w:t>
      </w:r>
    </w:p>
    <w:sectPr w:rsidR="00911551" w:rsidSect="002E534B">
      <w:headerReference w:type="default" r:id="rId11"/>
      <w:headerReference w:type="first" r:id="rId12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5C" w:rsidRDefault="003E065C" w:rsidP="005F56C4">
      <w:r>
        <w:separator/>
      </w:r>
    </w:p>
  </w:endnote>
  <w:endnote w:type="continuationSeparator" w:id="0">
    <w:p w:rsidR="003E065C" w:rsidRDefault="003E065C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5C" w:rsidRDefault="003E065C" w:rsidP="005F56C4">
      <w:r>
        <w:separator/>
      </w:r>
    </w:p>
  </w:footnote>
  <w:footnote w:type="continuationSeparator" w:id="0">
    <w:p w:rsidR="003E065C" w:rsidRDefault="003E065C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B2" w:rsidRPr="00907CB2" w:rsidRDefault="00907CB2" w:rsidP="00907CB2">
    <w:pPr>
      <w:bidi w:val="0"/>
      <w:rPr>
        <w:rFonts w:cs="Arial"/>
      </w:rPr>
    </w:pPr>
    <w:r w:rsidRPr="00907CB2">
      <w:rPr>
        <w:rFonts w:cs="Arial"/>
      </w:rPr>
      <w:t>CWS/10/10</w:t>
    </w:r>
  </w:p>
  <w:p w:rsidR="00907CB2" w:rsidRPr="00907CB2" w:rsidRDefault="00907CB2" w:rsidP="00907CB2">
    <w:pPr>
      <w:bidi w:val="0"/>
      <w:rPr>
        <w:rFonts w:cs="Arial"/>
      </w:rPr>
    </w:pPr>
    <w:r>
      <w:rPr>
        <w:rFonts w:cs="Arial"/>
      </w:rPr>
      <w:t>Annex</w:t>
    </w: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A423C6">
      <w:rPr>
        <w:rFonts w:cs="Arial"/>
        <w:noProof/>
        <w:lang w:bidi="ar-EG"/>
      </w:rPr>
      <w:t>3</w:t>
    </w:r>
    <w:r w:rsidRPr="00C50A61">
      <w:rPr>
        <w:rFonts w:cs="Arial"/>
      </w:rPr>
      <w:fldChar w:fldCharType="end"/>
    </w:r>
  </w:p>
  <w:p w:rsidR="005F56C4" w:rsidRDefault="005F56C4" w:rsidP="005F56C4">
    <w:pPr>
      <w:bidi w:val="0"/>
      <w:rPr>
        <w:rFonts w:cs="Arial"/>
      </w:rPr>
    </w:pPr>
  </w:p>
  <w:p w:rsidR="00907CB2" w:rsidRPr="00C50A61" w:rsidRDefault="00907CB2" w:rsidP="00907CB2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B2" w:rsidRDefault="00907CB2" w:rsidP="00907CB2">
    <w:pPr>
      <w:pStyle w:val="Header"/>
      <w:bidi w:val="0"/>
    </w:pPr>
    <w:r>
      <w:t>CWS/10/10</w:t>
    </w:r>
  </w:p>
  <w:p w:rsidR="00907CB2" w:rsidRDefault="00907CB2" w:rsidP="00907CB2">
    <w:pPr>
      <w:pStyle w:val="Header"/>
      <w:bidi w:val="0"/>
    </w:pPr>
    <w:r>
      <w:t>ANNEX</w:t>
    </w:r>
  </w:p>
  <w:p w:rsidR="00907CB2" w:rsidRDefault="00907CB2" w:rsidP="00907CB2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:rsidR="00907CB2" w:rsidRDefault="00907CB2" w:rsidP="00907CB2">
    <w:pPr>
      <w:pStyle w:val="Header"/>
      <w:bidi w:val="0"/>
    </w:pPr>
  </w:p>
  <w:p w:rsidR="00907CB2" w:rsidRDefault="00907CB2" w:rsidP="00907CB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CF7F67"/>
    <w:multiLevelType w:val="hybridMultilevel"/>
    <w:tmpl w:val="C9DEBE7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10C36"/>
    <w:multiLevelType w:val="hybridMultilevel"/>
    <w:tmpl w:val="5826246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5C"/>
    <w:rsid w:val="00073053"/>
    <w:rsid w:val="00085447"/>
    <w:rsid w:val="000F5E56"/>
    <w:rsid w:val="001C1F76"/>
    <w:rsid w:val="00251426"/>
    <w:rsid w:val="002B6E6E"/>
    <w:rsid w:val="002E534B"/>
    <w:rsid w:val="002F5F9C"/>
    <w:rsid w:val="003E065C"/>
    <w:rsid w:val="003E6531"/>
    <w:rsid w:val="00431118"/>
    <w:rsid w:val="00457E60"/>
    <w:rsid w:val="00477A92"/>
    <w:rsid w:val="004858C7"/>
    <w:rsid w:val="00492D8C"/>
    <w:rsid w:val="005022E5"/>
    <w:rsid w:val="00552198"/>
    <w:rsid w:val="00574192"/>
    <w:rsid w:val="005C2FC4"/>
    <w:rsid w:val="005F56C4"/>
    <w:rsid w:val="0064118A"/>
    <w:rsid w:val="00673A04"/>
    <w:rsid w:val="007B240C"/>
    <w:rsid w:val="007D53C7"/>
    <w:rsid w:val="00804DB7"/>
    <w:rsid w:val="008450B5"/>
    <w:rsid w:val="0085421D"/>
    <w:rsid w:val="00907CB2"/>
    <w:rsid w:val="00911551"/>
    <w:rsid w:val="0099394D"/>
    <w:rsid w:val="00A423C6"/>
    <w:rsid w:val="00A83816"/>
    <w:rsid w:val="00AD1EFE"/>
    <w:rsid w:val="00B10145"/>
    <w:rsid w:val="00B172AB"/>
    <w:rsid w:val="00B20FD2"/>
    <w:rsid w:val="00B55A2A"/>
    <w:rsid w:val="00BD38E4"/>
    <w:rsid w:val="00C3229F"/>
    <w:rsid w:val="00C554EC"/>
    <w:rsid w:val="00C80053"/>
    <w:rsid w:val="00D20E58"/>
    <w:rsid w:val="00D369BA"/>
    <w:rsid w:val="00D54F6C"/>
    <w:rsid w:val="00D878C7"/>
    <w:rsid w:val="00E92ED4"/>
    <w:rsid w:val="00F97B17"/>
    <w:rsid w:val="00FB3F91"/>
    <w:rsid w:val="00FB6596"/>
    <w:rsid w:val="00FD14E7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D231F"/>
  <w15:chartTrackingRefBased/>
  <w15:docId w15:val="{D2776DC0-1BFF-4203-B382-543E3C3C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07CB2"/>
    <w:rPr>
      <w:rFonts w:ascii="Arial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C5F8-39BE-4684-B398-59FDABE4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cws_10_10-annex (Arabic)</vt:lpstr>
    </vt:vector>
  </TitlesOfParts>
  <Company>World Intellectual Property Organization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 Annex</dc:title>
  <dc:subject>Wipo Templates</dc:subject>
  <dc:creator>WIPO</dc:creator>
  <cp:keywords/>
  <dc:description/>
  <cp:lastModifiedBy>CHAVAS Louison</cp:lastModifiedBy>
  <cp:revision>2</cp:revision>
  <cp:lastPrinted>2022-10-04T08:43:00Z</cp:lastPrinted>
  <dcterms:created xsi:type="dcterms:W3CDTF">2022-10-05T10:21:00Z</dcterms:created>
  <dcterms:modified xsi:type="dcterms:W3CDTF">2022-10-05T10:21:00Z</dcterms:modified>
</cp:coreProperties>
</file>