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F7881" w:rsidRDefault="00CC3E2D" w:rsidP="002730D5">
      <w:pPr>
        <w:pBdr>
          <w:bottom w:val="single" w:sz="4" w:space="10" w:color="auto"/>
        </w:pBdr>
        <w:bidi w:val="0"/>
        <w:spacing w:after="120"/>
        <w:rPr>
          <w:b/>
          <w:sz w:val="32"/>
          <w:szCs w:val="40"/>
        </w:rPr>
      </w:pPr>
      <w:r w:rsidRPr="007F7881">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C7905B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7F7881" w:rsidRDefault="00FE5D75" w:rsidP="002730D5">
      <w:pPr>
        <w:bidi w:val="0"/>
        <w:rPr>
          <w:rFonts w:ascii="Arial Black" w:hAnsi="Arial Black"/>
          <w:caps/>
          <w:sz w:val="15"/>
          <w:szCs w:val="15"/>
        </w:rPr>
      </w:pPr>
      <w:bookmarkStart w:id="0" w:name="Code"/>
      <w:bookmarkEnd w:id="0"/>
      <w:r w:rsidRPr="007F7881">
        <w:rPr>
          <w:rFonts w:ascii="Arial Black" w:hAnsi="Arial Black"/>
          <w:caps/>
          <w:sz w:val="15"/>
          <w:szCs w:val="15"/>
        </w:rPr>
        <w:t>CWS/</w:t>
      </w:r>
      <w:r w:rsidR="00F83EE3" w:rsidRPr="007F7881">
        <w:rPr>
          <w:rFonts w:ascii="Arial Black" w:hAnsi="Arial Black"/>
          <w:caps/>
          <w:sz w:val="15"/>
          <w:szCs w:val="15"/>
        </w:rPr>
        <w:t>10</w:t>
      </w:r>
      <w:r w:rsidRPr="007F7881">
        <w:rPr>
          <w:rFonts w:ascii="Arial Black" w:hAnsi="Arial Black"/>
          <w:caps/>
          <w:sz w:val="15"/>
          <w:szCs w:val="15"/>
        </w:rPr>
        <w:t>/</w:t>
      </w:r>
      <w:r w:rsidR="00F83EE3" w:rsidRPr="007F7881">
        <w:rPr>
          <w:rFonts w:ascii="Arial Black" w:hAnsi="Arial Black" w:hint="cs"/>
          <w:caps/>
          <w:sz w:val="15"/>
          <w:szCs w:val="15"/>
          <w:rtl/>
        </w:rPr>
        <w:t>11</w:t>
      </w:r>
      <w:r w:rsidR="00FC482F" w:rsidRPr="007F7881">
        <w:rPr>
          <w:rFonts w:ascii="Arial Black" w:hAnsi="Arial Black"/>
          <w:caps/>
          <w:sz w:val="15"/>
          <w:szCs w:val="15"/>
        </w:rPr>
        <w:t xml:space="preserve"> </w:t>
      </w:r>
    </w:p>
    <w:p w:rsidR="008B2CC1" w:rsidRPr="007F7881" w:rsidRDefault="00CC3E2D" w:rsidP="002730D5">
      <w:pPr>
        <w:jc w:val="right"/>
        <w:rPr>
          <w:rFonts w:asciiTheme="minorHAnsi" w:hAnsiTheme="minorHAnsi" w:cstheme="minorHAnsi"/>
          <w:caps/>
          <w:sz w:val="15"/>
          <w:szCs w:val="15"/>
          <w:rtl/>
          <w:lang w:bidi="ar-MA"/>
        </w:rPr>
      </w:pPr>
      <w:bookmarkStart w:id="1" w:name="Original"/>
      <w:r w:rsidRPr="007F7881">
        <w:rPr>
          <w:rFonts w:asciiTheme="minorHAnsi" w:hAnsiTheme="minorHAnsi" w:cstheme="minorHAnsi" w:hint="cs"/>
          <w:b/>
          <w:bCs/>
          <w:caps/>
          <w:sz w:val="15"/>
          <w:szCs w:val="15"/>
          <w:rtl/>
        </w:rPr>
        <w:t>الأصل</w:t>
      </w:r>
      <w:r w:rsidRPr="007F7881">
        <w:rPr>
          <w:rFonts w:asciiTheme="minorHAnsi" w:hAnsiTheme="minorHAnsi" w:cstheme="minorHAnsi" w:hint="cs"/>
          <w:caps/>
          <w:sz w:val="15"/>
          <w:szCs w:val="15"/>
          <w:rtl/>
        </w:rPr>
        <w:t xml:space="preserve">: </w:t>
      </w:r>
      <w:r w:rsidR="00F83EE3" w:rsidRPr="007F7881">
        <w:rPr>
          <w:rFonts w:asciiTheme="minorHAnsi" w:hAnsiTheme="minorHAnsi" w:cstheme="minorHAnsi" w:hint="cs"/>
          <w:caps/>
          <w:sz w:val="15"/>
          <w:szCs w:val="15"/>
          <w:rtl/>
          <w:lang w:bidi="ar-MA"/>
        </w:rPr>
        <w:t>بالإنكليزية</w:t>
      </w:r>
    </w:p>
    <w:p w:rsidR="008B2CC1" w:rsidRPr="007F7881" w:rsidRDefault="00CC3E2D" w:rsidP="002730D5">
      <w:pPr>
        <w:spacing w:after="1200"/>
        <w:jc w:val="right"/>
        <w:rPr>
          <w:rFonts w:asciiTheme="minorHAnsi" w:hAnsiTheme="minorHAnsi" w:cstheme="minorHAnsi"/>
          <w:b/>
          <w:bCs/>
          <w:caps/>
          <w:sz w:val="15"/>
          <w:szCs w:val="15"/>
        </w:rPr>
      </w:pPr>
      <w:bookmarkStart w:id="2" w:name="Date"/>
      <w:bookmarkEnd w:id="1"/>
      <w:r w:rsidRPr="007F7881">
        <w:rPr>
          <w:rFonts w:asciiTheme="minorHAnsi" w:hAnsiTheme="minorHAnsi" w:cstheme="minorHAnsi" w:hint="cs"/>
          <w:b/>
          <w:bCs/>
          <w:caps/>
          <w:sz w:val="15"/>
          <w:szCs w:val="15"/>
          <w:rtl/>
        </w:rPr>
        <w:t xml:space="preserve">التاريخ: </w:t>
      </w:r>
      <w:r w:rsidR="00F83EE3" w:rsidRPr="007F7881">
        <w:rPr>
          <w:rFonts w:asciiTheme="minorHAnsi" w:hAnsiTheme="minorHAnsi" w:cstheme="minorHAnsi" w:hint="cs"/>
          <w:b/>
          <w:bCs/>
          <w:caps/>
          <w:sz w:val="15"/>
          <w:szCs w:val="15"/>
          <w:rtl/>
        </w:rPr>
        <w:t>13 سبتمبر  2022</w:t>
      </w:r>
    </w:p>
    <w:bookmarkEnd w:id="2"/>
    <w:p w:rsidR="008B2CC1" w:rsidRPr="007F7881" w:rsidRDefault="00250149" w:rsidP="002730D5">
      <w:pPr>
        <w:pStyle w:val="Heading1"/>
      </w:pPr>
      <w:r w:rsidRPr="007F7881">
        <w:rPr>
          <w:rFonts w:hint="cs"/>
          <w:rtl/>
        </w:rPr>
        <w:t xml:space="preserve">اللجنة </w:t>
      </w:r>
      <w:r w:rsidR="00FE5D75" w:rsidRPr="007F7881">
        <w:rPr>
          <w:rFonts w:hint="cs"/>
          <w:rtl/>
        </w:rPr>
        <w:t>المعنية بمعايير الويبو</w:t>
      </w:r>
    </w:p>
    <w:p w:rsidR="00A90F0A" w:rsidRPr="007F7881" w:rsidRDefault="00D67EAE" w:rsidP="002730D5">
      <w:pPr>
        <w:outlineLvl w:val="1"/>
        <w:rPr>
          <w:rFonts w:asciiTheme="minorHAnsi" w:hAnsiTheme="minorHAnsi" w:cstheme="minorHAnsi"/>
          <w:bCs/>
          <w:sz w:val="24"/>
          <w:szCs w:val="24"/>
        </w:rPr>
      </w:pPr>
      <w:r w:rsidRPr="007F7881">
        <w:rPr>
          <w:rFonts w:asciiTheme="minorHAnsi" w:hAnsiTheme="minorHAnsi" w:cstheme="minorHAnsi" w:hint="cs"/>
          <w:bCs/>
          <w:sz w:val="24"/>
          <w:szCs w:val="24"/>
          <w:rtl/>
        </w:rPr>
        <w:t xml:space="preserve">الدورة </w:t>
      </w:r>
      <w:r w:rsidR="00F83EE3" w:rsidRPr="007F7881">
        <w:rPr>
          <w:rFonts w:asciiTheme="minorHAnsi" w:hAnsiTheme="minorHAnsi" w:cstheme="minorHAnsi" w:hint="cs"/>
          <w:bCs/>
          <w:sz w:val="24"/>
          <w:szCs w:val="24"/>
          <w:rtl/>
        </w:rPr>
        <w:t>العاشرة</w:t>
      </w:r>
    </w:p>
    <w:p w:rsidR="008B2CC1" w:rsidRPr="007F7881" w:rsidRDefault="00D67EAE" w:rsidP="002730D5">
      <w:pPr>
        <w:spacing w:after="720"/>
        <w:outlineLvl w:val="1"/>
        <w:rPr>
          <w:rFonts w:asciiTheme="minorHAnsi" w:hAnsiTheme="minorHAnsi" w:cstheme="minorHAnsi"/>
          <w:bCs/>
          <w:sz w:val="24"/>
          <w:szCs w:val="24"/>
        </w:rPr>
      </w:pPr>
      <w:r w:rsidRPr="007F7881">
        <w:rPr>
          <w:rFonts w:asciiTheme="minorHAnsi" w:hAnsiTheme="minorHAnsi" w:cstheme="minorHAnsi" w:hint="cs"/>
          <w:bCs/>
          <w:sz w:val="24"/>
          <w:szCs w:val="24"/>
          <w:rtl/>
        </w:rPr>
        <w:t xml:space="preserve">جنيف، من </w:t>
      </w:r>
      <w:r w:rsidR="00F83EE3" w:rsidRPr="007F7881">
        <w:rPr>
          <w:rFonts w:asciiTheme="minorHAnsi" w:hAnsiTheme="minorHAnsi" w:cstheme="minorHAnsi" w:hint="cs"/>
          <w:bCs/>
          <w:sz w:val="24"/>
          <w:szCs w:val="24"/>
          <w:rtl/>
        </w:rPr>
        <w:t>2</w:t>
      </w:r>
      <w:r w:rsidR="00FE5D75" w:rsidRPr="007F7881">
        <w:rPr>
          <w:rFonts w:asciiTheme="minorHAnsi" w:hAnsiTheme="minorHAnsi" w:cstheme="minorHAnsi" w:hint="cs"/>
          <w:bCs/>
          <w:sz w:val="24"/>
          <w:szCs w:val="24"/>
          <w:rtl/>
        </w:rPr>
        <w:t>1</w:t>
      </w:r>
      <w:r w:rsidRPr="007F7881">
        <w:rPr>
          <w:rFonts w:asciiTheme="minorHAnsi" w:hAnsiTheme="minorHAnsi" w:cstheme="minorHAnsi" w:hint="cs"/>
          <w:bCs/>
          <w:sz w:val="24"/>
          <w:szCs w:val="24"/>
          <w:rtl/>
        </w:rPr>
        <w:t xml:space="preserve"> إلى </w:t>
      </w:r>
      <w:r w:rsidR="00F83EE3" w:rsidRPr="007F7881">
        <w:rPr>
          <w:rFonts w:asciiTheme="minorHAnsi" w:hAnsiTheme="minorHAnsi" w:cstheme="minorHAnsi" w:hint="cs"/>
          <w:bCs/>
          <w:sz w:val="24"/>
          <w:szCs w:val="24"/>
          <w:rtl/>
        </w:rPr>
        <w:t>25</w:t>
      </w:r>
      <w:r w:rsidRPr="007F7881">
        <w:rPr>
          <w:rFonts w:asciiTheme="minorHAnsi" w:hAnsiTheme="minorHAnsi" w:cstheme="minorHAnsi" w:hint="cs"/>
          <w:bCs/>
          <w:sz w:val="24"/>
          <w:szCs w:val="24"/>
          <w:rtl/>
        </w:rPr>
        <w:t xml:space="preserve"> </w:t>
      </w:r>
      <w:r w:rsidR="00FE5D75" w:rsidRPr="007F7881">
        <w:rPr>
          <w:rFonts w:asciiTheme="minorHAnsi" w:hAnsiTheme="minorHAnsi" w:cstheme="minorHAnsi" w:hint="cs"/>
          <w:bCs/>
          <w:sz w:val="24"/>
          <w:szCs w:val="24"/>
          <w:rtl/>
        </w:rPr>
        <w:t>نوفمبر</w:t>
      </w:r>
      <w:r w:rsidR="00250149" w:rsidRPr="007F7881">
        <w:rPr>
          <w:rFonts w:asciiTheme="minorHAnsi" w:hAnsiTheme="minorHAnsi" w:cstheme="minorHAnsi" w:hint="cs"/>
          <w:bCs/>
          <w:sz w:val="24"/>
          <w:szCs w:val="24"/>
          <w:rtl/>
        </w:rPr>
        <w:t xml:space="preserve"> </w:t>
      </w:r>
      <w:r w:rsidR="00F83EE3" w:rsidRPr="007F7881">
        <w:rPr>
          <w:rFonts w:asciiTheme="minorHAnsi" w:hAnsiTheme="minorHAnsi" w:cstheme="minorHAnsi" w:hint="cs"/>
          <w:bCs/>
          <w:sz w:val="24"/>
          <w:szCs w:val="24"/>
          <w:rtl/>
        </w:rPr>
        <w:t>2022</w:t>
      </w:r>
    </w:p>
    <w:p w:rsidR="008B2CC1" w:rsidRPr="007F7881" w:rsidRDefault="00F83EE3" w:rsidP="002730D5">
      <w:pPr>
        <w:spacing w:after="360"/>
        <w:outlineLvl w:val="0"/>
        <w:rPr>
          <w:rFonts w:asciiTheme="minorHAnsi" w:hAnsiTheme="minorHAnsi" w:cstheme="minorHAnsi"/>
          <w:caps/>
          <w:sz w:val="24"/>
          <w:rtl/>
          <w:lang w:bidi="ar-MA"/>
        </w:rPr>
      </w:pPr>
      <w:bookmarkStart w:id="3" w:name="TitleOfDoc"/>
      <w:r w:rsidRPr="007F7881">
        <w:rPr>
          <w:rFonts w:asciiTheme="minorHAnsi" w:hAnsiTheme="minorHAnsi" w:cstheme="minorHAnsi" w:hint="cs"/>
          <w:caps/>
          <w:sz w:val="28"/>
          <w:szCs w:val="24"/>
          <w:rtl/>
        </w:rPr>
        <w:t xml:space="preserve">تقرير </w:t>
      </w:r>
      <w:r w:rsidRPr="007F7881">
        <w:rPr>
          <w:rFonts w:asciiTheme="minorHAnsi" w:hAnsiTheme="minorHAnsi" w:cstheme="minorHAnsi" w:hint="cs"/>
          <w:caps/>
          <w:sz w:val="28"/>
          <w:szCs w:val="24"/>
          <w:rtl/>
          <w:lang w:bidi="ar-MA"/>
        </w:rPr>
        <w:t>فرقة العمل المعنية بالوضع القانوني</w:t>
      </w:r>
    </w:p>
    <w:p w:rsidR="002928D3" w:rsidRPr="007F7881" w:rsidRDefault="00D67EAE" w:rsidP="002730D5">
      <w:pPr>
        <w:spacing w:after="1040"/>
        <w:rPr>
          <w:rFonts w:asciiTheme="minorHAnsi" w:hAnsiTheme="minorHAnsi"/>
        </w:rPr>
      </w:pPr>
      <w:bookmarkStart w:id="4" w:name="Prepared"/>
      <w:bookmarkEnd w:id="3"/>
      <w:bookmarkEnd w:id="4"/>
      <w:r w:rsidRPr="007F7881">
        <w:rPr>
          <w:rFonts w:asciiTheme="minorHAnsi" w:hAnsiTheme="minorHAnsi" w:cstheme="minorHAnsi" w:hint="cs"/>
          <w:rtl/>
        </w:rPr>
        <w:t>وثيقة من إعداد</w:t>
      </w:r>
      <w:r w:rsidR="00F83EE3" w:rsidRPr="007F7881">
        <w:rPr>
          <w:rFonts w:asciiTheme="minorHAnsi" w:hAnsiTheme="minorHAnsi"/>
          <w:rtl/>
        </w:rPr>
        <w:t xml:space="preserve"> المشرف على فرقة العمل المعنية بالوضع القانوني</w:t>
      </w:r>
    </w:p>
    <w:p w:rsidR="0012066C" w:rsidRPr="00CD7CA3" w:rsidRDefault="0012066C" w:rsidP="00CD7CA3">
      <w:pPr>
        <w:pStyle w:val="Heading2"/>
        <w:rPr>
          <w:rtl/>
        </w:rPr>
      </w:pPr>
      <w:r w:rsidRPr="00CD7CA3">
        <w:rPr>
          <w:rFonts w:hint="cs"/>
          <w:rtl/>
        </w:rPr>
        <w:t>معلومات أساسية</w:t>
      </w:r>
    </w:p>
    <w:p w:rsidR="0012066C" w:rsidRPr="007F7881" w:rsidRDefault="0012066C" w:rsidP="00CD7CA3">
      <w:pPr>
        <w:pStyle w:val="ONUMA"/>
        <w:rPr>
          <w:lang w:bidi="ar-MA"/>
        </w:rPr>
      </w:pPr>
      <w:r w:rsidRPr="007F7881">
        <w:rPr>
          <w:rtl/>
          <w:lang w:bidi="ar-MA"/>
        </w:rPr>
        <w:t>أحاطت اللجنة المعنية بمعايير الويبو (لجنة المعايير)، خلال دورتها التا</w:t>
      </w:r>
      <w:r w:rsidR="00F81A74" w:rsidRPr="007F7881">
        <w:rPr>
          <w:rtl/>
          <w:lang w:bidi="ar-MA"/>
        </w:rPr>
        <w:t>سعة التي عُقدت في عام 2021، علم</w:t>
      </w:r>
      <w:r w:rsidR="00F81A74" w:rsidRPr="007F7881">
        <w:rPr>
          <w:rFonts w:hint="cs"/>
          <w:rtl/>
          <w:lang w:bidi="ar-MA"/>
        </w:rPr>
        <w:t>اً</w:t>
      </w:r>
      <w:r w:rsidRPr="007F7881">
        <w:rPr>
          <w:rtl/>
          <w:lang w:bidi="ar-MA"/>
        </w:rPr>
        <w:t xml:space="preserve"> بالتقدم الذي أحرزته فرقة ال</w:t>
      </w:r>
      <w:r w:rsidR="00F81A74" w:rsidRPr="007F7881">
        <w:rPr>
          <w:rtl/>
          <w:lang w:bidi="ar-MA"/>
        </w:rPr>
        <w:t xml:space="preserve">عمل المعنية بالوضع القانوني </w:t>
      </w:r>
      <w:r w:rsidR="00F81A74" w:rsidRPr="007F7881">
        <w:rPr>
          <w:rFonts w:hint="cs"/>
          <w:rtl/>
          <w:lang w:bidi="ar-MA"/>
        </w:rPr>
        <w:t>في</w:t>
      </w:r>
      <w:r w:rsidRPr="007F7881">
        <w:rPr>
          <w:rtl/>
          <w:lang w:bidi="ar-MA"/>
        </w:rPr>
        <w:t xml:space="preserve"> دراسة إمكانية دمج معايير الوضع القانوني </w:t>
      </w:r>
      <w:r w:rsidRPr="007F7881">
        <w:rPr>
          <w:lang w:bidi="ar-MA"/>
        </w:rPr>
        <w:t>ST.27</w:t>
      </w:r>
      <w:r w:rsidRPr="007F7881">
        <w:rPr>
          <w:rtl/>
          <w:lang w:bidi="ar-MA"/>
        </w:rPr>
        <w:t xml:space="preserve"> و</w:t>
      </w:r>
      <w:r w:rsidRPr="007F7881">
        <w:rPr>
          <w:lang w:bidi="ar-MA"/>
        </w:rPr>
        <w:t>ST.87</w:t>
      </w:r>
      <w:r w:rsidRPr="007F7881">
        <w:rPr>
          <w:rtl/>
          <w:lang w:bidi="ar-MA"/>
        </w:rPr>
        <w:t xml:space="preserve"> و</w:t>
      </w:r>
      <w:r w:rsidRPr="007F7881">
        <w:rPr>
          <w:lang w:bidi="ar-MA"/>
        </w:rPr>
        <w:t>ST.61.</w:t>
      </w:r>
      <w:r w:rsidR="00F81A74" w:rsidRPr="007F7881">
        <w:rPr>
          <w:rFonts w:hint="cs"/>
          <w:rtl/>
          <w:lang w:bidi="ar-MA"/>
        </w:rPr>
        <w:t xml:space="preserve">. </w:t>
      </w:r>
      <w:r w:rsidRPr="007F7881">
        <w:rPr>
          <w:rtl/>
          <w:lang w:bidi="ar-MA"/>
        </w:rPr>
        <w:t>وبما أن فرقة العمل لم تتوصل إلى اتفاق بشأن كيفية المضي قدماً في أعمال الدمج، طلبت لجنة المعايير من فرقة العمل أن تنظر فيما إذا كانت ستواصل العمل على الدمج وأن تقدم توص</w:t>
      </w:r>
      <w:r w:rsidR="007F7881" w:rsidRPr="007F7881">
        <w:rPr>
          <w:rtl/>
          <w:lang w:bidi="ar-MA"/>
        </w:rPr>
        <w:t xml:space="preserve">ية في الدورة العاشرة، بما </w:t>
      </w:r>
      <w:r w:rsidR="007F7881" w:rsidRPr="007F7881">
        <w:rPr>
          <w:rFonts w:hint="cs"/>
          <w:rtl/>
          <w:lang w:bidi="ar-MA"/>
        </w:rPr>
        <w:t>يشمل إجراء</w:t>
      </w:r>
      <w:r w:rsidRPr="007F7881">
        <w:rPr>
          <w:rtl/>
          <w:lang w:bidi="ar-MA"/>
        </w:rPr>
        <w:t xml:space="preserve"> تحديثات للمهمة رقم 47، إذا لزم الأمر</w:t>
      </w:r>
      <w:r w:rsidR="007F7881">
        <w:rPr>
          <w:rtl/>
          <w:lang w:bidi="ar-MA"/>
        </w:rPr>
        <w:t xml:space="preserve">. ووافقت لجنة المعايير على </w:t>
      </w:r>
      <w:r w:rsidR="007F7881">
        <w:rPr>
          <w:rFonts w:hint="cs"/>
          <w:rtl/>
          <w:lang w:bidi="ar-MA"/>
        </w:rPr>
        <w:t>مراجعة</w:t>
      </w:r>
      <w:r w:rsidRPr="007F7881">
        <w:rPr>
          <w:rtl/>
          <w:lang w:bidi="ar-MA"/>
        </w:rPr>
        <w:t xml:space="preserve"> للمعيار </w:t>
      </w:r>
      <w:r w:rsidRPr="007F7881">
        <w:rPr>
          <w:lang w:bidi="ar-MA"/>
        </w:rPr>
        <w:t>ST.27</w:t>
      </w:r>
      <w:r w:rsidR="00E04697">
        <w:rPr>
          <w:rtl/>
          <w:lang w:bidi="ar-MA"/>
        </w:rPr>
        <w:t xml:space="preserve"> بشأن </w:t>
      </w:r>
      <w:r w:rsidRPr="007F7881">
        <w:rPr>
          <w:rtl/>
          <w:lang w:bidi="ar-MA"/>
        </w:rPr>
        <w:t xml:space="preserve">مؤشرات الأحداث. ووافقت لجنة المعايير أيضاً على نشر </w:t>
      </w:r>
      <w:r w:rsidR="007F7881">
        <w:rPr>
          <w:rtl/>
          <w:lang w:bidi="ar-MA"/>
        </w:rPr>
        <w:t>جداول</w:t>
      </w:r>
      <w:r w:rsidRPr="007F7881">
        <w:rPr>
          <w:rtl/>
          <w:lang w:bidi="ar-MA"/>
        </w:rPr>
        <w:t xml:space="preserve"> الخرائط الخاصة بالمعيار </w:t>
      </w:r>
      <w:r w:rsidRPr="007F7881">
        <w:rPr>
          <w:lang w:bidi="ar-MA"/>
        </w:rPr>
        <w:t>ST.61</w:t>
      </w:r>
      <w:r w:rsidRPr="007F7881">
        <w:rPr>
          <w:rtl/>
          <w:lang w:bidi="ar-MA"/>
        </w:rPr>
        <w:t xml:space="preserve"> الصادرة عن مكاتب الملكية الفكرية (انظر الفقرات من 45 إلى 56 من الوثيقة </w:t>
      </w:r>
      <w:r w:rsidRPr="007F7881">
        <w:rPr>
          <w:lang w:bidi="ar-MA"/>
        </w:rPr>
        <w:t>CWS/9/25)</w:t>
      </w:r>
      <w:r w:rsidRPr="007F7881">
        <w:rPr>
          <w:rFonts w:hint="cs"/>
          <w:rtl/>
          <w:lang w:bidi="ar-MA"/>
        </w:rPr>
        <w:t>.</w:t>
      </w:r>
    </w:p>
    <w:p w:rsidR="005707D8" w:rsidRPr="007F7881" w:rsidRDefault="005707D8" w:rsidP="00CD7CA3">
      <w:pPr>
        <w:pStyle w:val="Heading2"/>
      </w:pPr>
      <w:r w:rsidRPr="007F7881">
        <w:rPr>
          <w:rFonts w:hint="cs"/>
          <w:rtl/>
        </w:rPr>
        <w:t>تقرير عن الأنشطة</w:t>
      </w:r>
    </w:p>
    <w:p w:rsidR="0012066C" w:rsidRPr="007F7881" w:rsidRDefault="005707D8" w:rsidP="00CD7CA3">
      <w:pPr>
        <w:pStyle w:val="ONUMA"/>
        <w:rPr>
          <w:lang w:bidi="ar-MA"/>
        </w:rPr>
      </w:pPr>
      <w:r w:rsidRPr="007F7881">
        <w:rPr>
          <w:rtl/>
          <w:lang w:bidi="ar-MA"/>
        </w:rPr>
        <w:t xml:space="preserve">في مارس 2022، نشرت الأمانة جداول الخرائط الخاصة بالمعيار </w:t>
      </w:r>
      <w:r w:rsidRPr="007F7881">
        <w:rPr>
          <w:lang w:bidi="ar-MA"/>
        </w:rPr>
        <w:t>ST.61</w:t>
      </w:r>
      <w:r w:rsidRPr="007F7881">
        <w:rPr>
          <w:rtl/>
          <w:lang w:bidi="ar-MA"/>
        </w:rPr>
        <w:t xml:space="preserve"> الصادرة عن 11 </w:t>
      </w:r>
      <w:r w:rsidR="005B60FC">
        <w:rPr>
          <w:rtl/>
          <w:lang w:bidi="ar-MA"/>
        </w:rPr>
        <w:t>مكتباً للملكية الفكرية في الجزء</w:t>
      </w:r>
      <w:r w:rsidR="005B60FC">
        <w:t xml:space="preserve">7.13.3 </w:t>
      </w:r>
      <w:r w:rsidRPr="007F7881">
        <w:rPr>
          <w:rtl/>
          <w:lang w:bidi="ar-MA"/>
        </w:rPr>
        <w:t xml:space="preserve"> من دليل الويبو. وفي يوليو 2022، أضافت ا</w:t>
      </w:r>
      <w:r w:rsidR="005B60FC">
        <w:rPr>
          <w:rtl/>
          <w:lang w:bidi="ar-MA"/>
        </w:rPr>
        <w:t xml:space="preserve">لأمانة جدول الخرائط الثاني عشر </w:t>
      </w:r>
      <w:r w:rsidRPr="007F7881">
        <w:rPr>
          <w:rtl/>
          <w:lang w:bidi="ar-MA"/>
        </w:rPr>
        <w:t>المقدم من مكتب الاتحاد الأوروبي للملكية الفكرية (</w:t>
      </w:r>
      <w:r w:rsidR="00F4597F" w:rsidRPr="007F7881">
        <w:rPr>
          <w:rFonts w:cstheme="minorHAnsi"/>
          <w:lang w:val="fr-CA" w:bidi="ar-MA"/>
        </w:rPr>
        <w:t>(</w:t>
      </w:r>
      <w:r w:rsidRPr="007F7881">
        <w:rPr>
          <w:lang w:bidi="ar-MA"/>
        </w:rPr>
        <w:t>EUIPO</w:t>
      </w:r>
      <w:r w:rsidR="00F4597F" w:rsidRPr="007F7881">
        <w:rPr>
          <w:rFonts w:hint="cs"/>
          <w:rtl/>
          <w:lang w:bidi="ar-MA"/>
        </w:rPr>
        <w:t>.</w:t>
      </w:r>
    </w:p>
    <w:p w:rsidR="00F4597F" w:rsidRPr="007F7881" w:rsidRDefault="00176B8D" w:rsidP="00CD7CA3">
      <w:pPr>
        <w:pStyle w:val="ONUMA"/>
        <w:rPr>
          <w:lang w:bidi="ar-MA"/>
        </w:rPr>
      </w:pPr>
      <w:r w:rsidRPr="007F7881">
        <w:rPr>
          <w:rtl/>
          <w:lang w:bidi="ar-MA"/>
        </w:rPr>
        <w:t>وعند وضع خطة عمل</w:t>
      </w:r>
      <w:r w:rsidR="00A56CFC">
        <w:rPr>
          <w:rFonts w:hint="cs"/>
          <w:rtl/>
          <w:lang w:bidi="ar-MA"/>
        </w:rPr>
        <w:t xml:space="preserve"> عام 2022</w:t>
      </w:r>
      <w:r w:rsidRPr="007F7881">
        <w:rPr>
          <w:rtl/>
          <w:lang w:bidi="ar-MA"/>
        </w:rPr>
        <w:t xml:space="preserve"> </w:t>
      </w:r>
      <w:r w:rsidR="00A56CFC">
        <w:rPr>
          <w:rFonts w:hint="cs"/>
          <w:rtl/>
          <w:lang w:bidi="ar-MA"/>
        </w:rPr>
        <w:t>ل</w:t>
      </w:r>
      <w:r w:rsidR="00A56CFC">
        <w:rPr>
          <w:rtl/>
          <w:lang w:bidi="ar-MA"/>
        </w:rPr>
        <w:t>فرقة العم</w:t>
      </w:r>
      <w:r w:rsidR="00A56CFC">
        <w:rPr>
          <w:rFonts w:hint="cs"/>
          <w:rtl/>
          <w:lang w:bidi="ar-MA"/>
        </w:rPr>
        <w:t>ل</w:t>
      </w:r>
      <w:r w:rsidRPr="007F7881">
        <w:rPr>
          <w:rtl/>
          <w:lang w:bidi="ar-MA"/>
        </w:rPr>
        <w:t>، استشار المشرف عل</w:t>
      </w:r>
      <w:r w:rsidR="00A56CFC">
        <w:rPr>
          <w:rtl/>
          <w:lang w:bidi="ar-MA"/>
        </w:rPr>
        <w:t xml:space="preserve">ى </w:t>
      </w:r>
      <w:r w:rsidR="00A56CFC">
        <w:rPr>
          <w:rFonts w:hint="cs"/>
          <w:rtl/>
          <w:lang w:bidi="ar-MA"/>
        </w:rPr>
        <w:t>ال</w:t>
      </w:r>
      <w:r w:rsidR="00514904">
        <w:rPr>
          <w:rtl/>
          <w:lang w:bidi="ar-MA"/>
        </w:rPr>
        <w:t>فرقة</w:t>
      </w:r>
      <w:r w:rsidR="00A56CFC">
        <w:rPr>
          <w:rtl/>
          <w:lang w:bidi="ar-MA"/>
        </w:rPr>
        <w:t xml:space="preserve"> أعضا</w:t>
      </w:r>
      <w:r w:rsidR="00514904">
        <w:rPr>
          <w:rFonts w:hint="cs"/>
          <w:rtl/>
          <w:lang w:bidi="ar-MA"/>
        </w:rPr>
        <w:t>ء</w:t>
      </w:r>
      <w:r w:rsidR="00A56CFC">
        <w:rPr>
          <w:rFonts w:hint="cs"/>
          <w:rtl/>
          <w:lang w:bidi="ar-MA"/>
        </w:rPr>
        <w:t>ها</w:t>
      </w:r>
      <w:r w:rsidR="00E96F9A">
        <w:rPr>
          <w:rtl/>
          <w:lang w:bidi="ar-MA"/>
        </w:rPr>
        <w:t xml:space="preserve"> بشأن </w:t>
      </w:r>
      <w:r w:rsidR="00E96F9A">
        <w:rPr>
          <w:rFonts w:hint="cs"/>
          <w:rtl/>
          <w:lang w:bidi="ar-MA"/>
        </w:rPr>
        <w:t>نواياهم و</w:t>
      </w:r>
      <w:r w:rsidR="00E96F9A">
        <w:rPr>
          <w:rtl/>
          <w:lang w:bidi="ar-MA"/>
        </w:rPr>
        <w:t>خطط</w:t>
      </w:r>
      <w:r w:rsidR="00E96F9A">
        <w:rPr>
          <w:rFonts w:hint="cs"/>
          <w:rtl/>
          <w:lang w:bidi="ar-MA"/>
        </w:rPr>
        <w:t>هم</w:t>
      </w:r>
      <w:r w:rsidR="00E96F9A">
        <w:rPr>
          <w:rtl/>
          <w:lang w:bidi="ar-MA"/>
        </w:rPr>
        <w:t xml:space="preserve"> التنفيذ</w:t>
      </w:r>
      <w:r w:rsidR="00E96F9A">
        <w:rPr>
          <w:rFonts w:hint="cs"/>
          <w:rtl/>
          <w:lang w:bidi="ar-MA"/>
        </w:rPr>
        <w:t>ية</w:t>
      </w:r>
      <w:r w:rsidR="00E96F9A">
        <w:rPr>
          <w:rtl/>
          <w:lang w:bidi="ar-MA"/>
        </w:rPr>
        <w:t xml:space="preserve">. </w:t>
      </w:r>
      <w:r w:rsidRPr="007F7881">
        <w:rPr>
          <w:rtl/>
          <w:lang w:bidi="ar-MA"/>
        </w:rPr>
        <w:t>وأشار العديد من الأعضاء إلى أنهم يرغبون في مزيد من الوقت ل</w:t>
      </w:r>
      <w:r w:rsidR="00E96F9A">
        <w:rPr>
          <w:rFonts w:hint="cs"/>
          <w:rtl/>
          <w:lang w:bidi="ar-MA"/>
        </w:rPr>
        <w:t>إحراز ا</w:t>
      </w:r>
      <w:r w:rsidRPr="007F7881">
        <w:rPr>
          <w:rtl/>
          <w:lang w:bidi="ar-MA"/>
        </w:rPr>
        <w:t xml:space="preserve">لتقدم في تنفيذ المعايير </w:t>
      </w:r>
      <w:r w:rsidRPr="007F7881">
        <w:rPr>
          <w:lang w:bidi="ar-MA"/>
        </w:rPr>
        <w:t>ST.27</w:t>
      </w:r>
      <w:r w:rsidRPr="007F7881">
        <w:rPr>
          <w:rtl/>
          <w:lang w:bidi="ar-MA"/>
        </w:rPr>
        <w:t xml:space="preserve"> أو </w:t>
      </w:r>
      <w:r w:rsidRPr="007F7881">
        <w:rPr>
          <w:lang w:bidi="ar-MA"/>
        </w:rPr>
        <w:t>ST.87</w:t>
      </w:r>
      <w:r w:rsidRPr="007F7881">
        <w:rPr>
          <w:rtl/>
          <w:lang w:bidi="ar-MA"/>
        </w:rPr>
        <w:t xml:space="preserve"> أو </w:t>
      </w:r>
      <w:r w:rsidRPr="007F7881">
        <w:rPr>
          <w:lang w:bidi="ar-MA"/>
        </w:rPr>
        <w:t>ST.61</w:t>
      </w:r>
      <w:r w:rsidRPr="007F7881">
        <w:rPr>
          <w:rtl/>
          <w:lang w:bidi="ar-MA"/>
        </w:rPr>
        <w:t xml:space="preserve"> قبل مواصلة العمل على المسائل المفتوحة المعروضة على فرقة العمل. </w:t>
      </w:r>
      <w:r w:rsidR="00E96F9A">
        <w:rPr>
          <w:rtl/>
          <w:lang w:bidi="ar-MA"/>
        </w:rPr>
        <w:t xml:space="preserve">ورأى هؤلاء الأعضاء أن </w:t>
      </w:r>
      <w:r w:rsidR="00E96F9A">
        <w:rPr>
          <w:rFonts w:hint="cs"/>
          <w:rtl/>
          <w:lang w:bidi="ar-MA"/>
        </w:rPr>
        <w:t>تحقيق</w:t>
      </w:r>
      <w:r w:rsidRPr="007F7881">
        <w:rPr>
          <w:rtl/>
          <w:lang w:bidi="ar-MA"/>
        </w:rPr>
        <w:t xml:space="preserve"> فهم أفضل لكيفية تنفيذ معايير الوضع القانوني داخل نظمهم من شأنه أن يعد</w:t>
      </w:r>
      <w:r w:rsidR="00E96F9A">
        <w:rPr>
          <w:rFonts w:hint="cs"/>
          <w:rtl/>
          <w:lang w:bidi="ar-MA"/>
        </w:rPr>
        <w:t>ّ</w:t>
      </w:r>
      <w:r w:rsidRPr="007F7881">
        <w:rPr>
          <w:rtl/>
          <w:lang w:bidi="ar-MA"/>
        </w:rPr>
        <w:t>هم على نحو أفضل</w:t>
      </w:r>
      <w:r w:rsidR="00E96F9A">
        <w:rPr>
          <w:rtl/>
          <w:lang w:bidi="ar-MA"/>
        </w:rPr>
        <w:t xml:space="preserve"> للنظر في مختلف البدائل</w:t>
      </w:r>
      <w:r w:rsidR="00E96F9A">
        <w:rPr>
          <w:rFonts w:hint="cs"/>
          <w:rtl/>
          <w:lang w:bidi="ar-MA"/>
        </w:rPr>
        <w:t xml:space="preserve"> المتاحة أمام</w:t>
      </w:r>
      <w:r w:rsidRPr="007F7881">
        <w:rPr>
          <w:rtl/>
          <w:lang w:bidi="ar-MA"/>
        </w:rPr>
        <w:t xml:space="preserve"> </w:t>
      </w:r>
      <w:r w:rsidR="00A56841">
        <w:rPr>
          <w:rtl/>
          <w:lang w:bidi="ar-MA"/>
        </w:rPr>
        <w:t xml:space="preserve">فرقة العمل. ويشمل ذلك </w:t>
      </w:r>
      <w:r w:rsidR="00A56841">
        <w:rPr>
          <w:rFonts w:hint="cs"/>
          <w:rtl/>
          <w:lang w:bidi="ar-MA"/>
        </w:rPr>
        <w:t>مسألة</w:t>
      </w:r>
      <w:r w:rsidRPr="007F7881">
        <w:rPr>
          <w:rtl/>
          <w:lang w:bidi="ar-MA"/>
        </w:rPr>
        <w:t xml:space="preserve"> ما إذا كان ينبغي إضافة مؤشرات الأحداث المعتمدة للوضع القانوني للبراءات، أي المعيار </w:t>
      </w:r>
      <w:r w:rsidRPr="007F7881">
        <w:rPr>
          <w:lang w:bidi="ar-MA"/>
        </w:rPr>
        <w:t>ST.27</w:t>
      </w:r>
      <w:r w:rsidRPr="007F7881">
        <w:rPr>
          <w:rtl/>
          <w:lang w:bidi="ar-MA"/>
        </w:rPr>
        <w:t xml:space="preserve">، إلى معيار العلامات التجارية ومعيار التصاميم الصناعية، أي المعيار </w:t>
      </w:r>
      <w:r w:rsidRPr="007F7881">
        <w:rPr>
          <w:lang w:bidi="ar-MA"/>
        </w:rPr>
        <w:t>ST.61</w:t>
      </w:r>
      <w:r w:rsidRPr="007F7881">
        <w:rPr>
          <w:rtl/>
          <w:lang w:bidi="ar-MA"/>
        </w:rPr>
        <w:t xml:space="preserve"> والمعيار </w:t>
      </w:r>
      <w:r w:rsidRPr="007F7881">
        <w:rPr>
          <w:lang w:bidi="ar-MA"/>
        </w:rPr>
        <w:t>ST.87</w:t>
      </w:r>
      <w:r w:rsidRPr="007F7881">
        <w:rPr>
          <w:rtl/>
          <w:lang w:bidi="ar-MA"/>
        </w:rPr>
        <w:t xml:space="preserve"> على التوالي، والاقتراحات الم</w:t>
      </w:r>
      <w:r w:rsidR="00A56841">
        <w:rPr>
          <w:rtl/>
          <w:lang w:bidi="ar-MA"/>
        </w:rPr>
        <w:t xml:space="preserve">طروحة في فرقة العمل بشأن </w:t>
      </w:r>
      <w:r w:rsidR="00A56841">
        <w:rPr>
          <w:rFonts w:hint="cs"/>
          <w:rtl/>
          <w:lang w:bidi="ar-MA"/>
        </w:rPr>
        <w:t>مراجعات</w:t>
      </w:r>
      <w:r w:rsidRPr="007F7881">
        <w:rPr>
          <w:rtl/>
          <w:lang w:bidi="ar-MA"/>
        </w:rPr>
        <w:t xml:space="preserve"> الأحداث والفئات </w:t>
      </w:r>
      <w:r w:rsidRPr="00A56841">
        <w:rPr>
          <w:rtl/>
          <w:lang w:bidi="ar-MA"/>
        </w:rPr>
        <w:t>الواردة</w:t>
      </w:r>
      <w:r w:rsidRPr="007F7881">
        <w:rPr>
          <w:rtl/>
          <w:lang w:bidi="ar-MA"/>
        </w:rPr>
        <w:t xml:space="preserve"> في المعيار </w:t>
      </w:r>
      <w:r w:rsidRPr="007F7881">
        <w:rPr>
          <w:lang w:bidi="ar-MA"/>
        </w:rPr>
        <w:t>ST.27.</w:t>
      </w:r>
      <w:r w:rsidRPr="007F7881">
        <w:rPr>
          <w:rFonts w:hint="cs"/>
          <w:rtl/>
          <w:lang w:bidi="ar-MA"/>
        </w:rPr>
        <w:t>.</w:t>
      </w:r>
    </w:p>
    <w:p w:rsidR="00CD7CA3" w:rsidRDefault="00CD7CA3">
      <w:pPr>
        <w:bidi w:val="0"/>
        <w:rPr>
          <w:rFonts w:eastAsia="Times New Roman"/>
          <w:rtl/>
          <w:lang w:eastAsia="en-US" w:bidi="ar-MA"/>
        </w:rPr>
      </w:pPr>
      <w:r>
        <w:rPr>
          <w:rtl/>
          <w:lang w:bidi="ar-MA"/>
        </w:rPr>
        <w:br w:type="page"/>
      </w:r>
    </w:p>
    <w:p w:rsidR="00176B8D" w:rsidRPr="007F7881" w:rsidRDefault="00176B8D" w:rsidP="00CD7CA3">
      <w:pPr>
        <w:pStyle w:val="ONUMA"/>
        <w:keepNext/>
        <w:rPr>
          <w:lang w:bidi="ar-MA"/>
        </w:rPr>
      </w:pPr>
      <w:r w:rsidRPr="007F7881">
        <w:rPr>
          <w:rtl/>
          <w:lang w:bidi="ar-MA"/>
        </w:rPr>
        <w:lastRenderedPageBreak/>
        <w:t>واستناداً إلى هذه التعقيبات، قر</w:t>
      </w:r>
      <w:r w:rsidR="002730D5">
        <w:rPr>
          <w:rFonts w:hint="cs"/>
          <w:rtl/>
          <w:lang w:bidi="ar-MA"/>
        </w:rPr>
        <w:t>ّ</w:t>
      </w:r>
      <w:r w:rsidRPr="007F7881">
        <w:rPr>
          <w:rtl/>
          <w:lang w:bidi="ar-MA"/>
        </w:rPr>
        <w:t>ر المشرف على فرقة العمل إيلاء الأولوية للعمل المتعلق بالمواد التدريبية لمعايير الوضع القانوني لمساعدة مكاتب الملكية الفكرية في جهودها التنفيذية</w:t>
      </w:r>
      <w:r w:rsidR="00D23794">
        <w:rPr>
          <w:rtl/>
          <w:lang w:bidi="ar-MA"/>
        </w:rPr>
        <w:t>. و</w:t>
      </w:r>
      <w:r w:rsidR="00A56CFC">
        <w:rPr>
          <w:rFonts w:hint="cs"/>
          <w:rtl/>
          <w:lang w:bidi="ar-MA"/>
        </w:rPr>
        <w:t>من خلال</w:t>
      </w:r>
      <w:r w:rsidRPr="007F7881">
        <w:rPr>
          <w:rtl/>
          <w:lang w:bidi="ar-MA"/>
        </w:rPr>
        <w:t xml:space="preserve"> العمل مع مكاتب الملكية الفكرية لإعداد ندوات عبر الإنترنت ومواد لتاريخ تنفيذ المعيار </w:t>
      </w:r>
      <w:r w:rsidRPr="007F7881">
        <w:rPr>
          <w:lang w:bidi="ar-MA"/>
        </w:rPr>
        <w:t>ST.26</w:t>
      </w:r>
      <w:r w:rsidRPr="007F7881">
        <w:rPr>
          <w:rtl/>
          <w:lang w:bidi="ar-MA"/>
        </w:rPr>
        <w:t xml:space="preserve"> على دفعة واحدة في يوليو 2022</w:t>
      </w:r>
      <w:r w:rsidR="00D23794">
        <w:rPr>
          <w:rFonts w:hint="cs"/>
          <w:rtl/>
          <w:lang w:bidi="ar-MA"/>
        </w:rPr>
        <w:t xml:space="preserve">، </w:t>
      </w:r>
      <w:r w:rsidR="004422EE">
        <w:rPr>
          <w:rFonts w:hint="cs"/>
          <w:rtl/>
          <w:lang w:bidi="ar-MA"/>
        </w:rPr>
        <w:t>كانت</w:t>
      </w:r>
      <w:r w:rsidR="00D23794">
        <w:rPr>
          <w:rtl/>
          <w:lang w:bidi="ar-MA"/>
        </w:rPr>
        <w:t xml:space="preserve"> </w:t>
      </w:r>
      <w:r w:rsidR="004422EE">
        <w:rPr>
          <w:rFonts w:hint="cs"/>
          <w:rtl/>
          <w:lang w:bidi="ar-MA"/>
        </w:rPr>
        <w:t>ل</w:t>
      </w:r>
      <w:r w:rsidR="00D23794">
        <w:rPr>
          <w:rtl/>
          <w:lang w:bidi="ar-MA"/>
        </w:rPr>
        <w:t>خبرات الأمانة و</w:t>
      </w:r>
      <w:r w:rsidR="00D23794">
        <w:rPr>
          <w:rFonts w:hint="cs"/>
          <w:rtl/>
          <w:lang w:bidi="ar-MA"/>
        </w:rPr>
        <w:t>التعقيبات</w:t>
      </w:r>
      <w:r w:rsidR="00A56CFC">
        <w:rPr>
          <w:rFonts w:hint="cs"/>
          <w:rtl/>
          <w:lang w:bidi="ar-MA"/>
        </w:rPr>
        <w:t xml:space="preserve"> مساهمة</w:t>
      </w:r>
      <w:r w:rsidRPr="007F7881">
        <w:rPr>
          <w:rtl/>
          <w:lang w:bidi="ar-MA"/>
        </w:rPr>
        <w:t xml:space="preserve"> قيّم</w:t>
      </w:r>
      <w:r w:rsidR="00A56CFC">
        <w:rPr>
          <w:rFonts w:hint="cs"/>
          <w:rtl/>
          <w:lang w:bidi="ar-MA"/>
        </w:rPr>
        <w:t>ة في ال</w:t>
      </w:r>
      <w:r w:rsidRPr="007F7881">
        <w:rPr>
          <w:rtl/>
          <w:lang w:bidi="ar-MA"/>
        </w:rPr>
        <w:t>تخطيط لكيفية المضي قدماً في المواد التدريبية المتعلقة بالوضع</w:t>
      </w:r>
      <w:r w:rsidR="00D23794">
        <w:rPr>
          <w:rtl/>
          <w:lang w:bidi="ar-MA"/>
        </w:rPr>
        <w:t xml:space="preserve"> القانوني. وتعتزم الأمانة</w:t>
      </w:r>
      <w:r w:rsidRPr="007F7881">
        <w:rPr>
          <w:rtl/>
          <w:lang w:bidi="ar-MA"/>
        </w:rPr>
        <w:t xml:space="preserve"> تقاسم خطط المواد التدريبية مع فرقة العمل المعنية بالوضع القانوني للنظر فيها بعد الدورة العاشرة.</w:t>
      </w:r>
    </w:p>
    <w:p w:rsidR="00785A6C" w:rsidRPr="007F7881" w:rsidRDefault="00D23794" w:rsidP="00CD7CA3">
      <w:pPr>
        <w:pStyle w:val="Heading2"/>
      </w:pPr>
      <w:r>
        <w:rPr>
          <w:rFonts w:hint="cs"/>
          <w:rtl/>
        </w:rPr>
        <w:t>مراجعة</w:t>
      </w:r>
      <w:r w:rsidR="00785A6C" w:rsidRPr="007F7881">
        <w:rPr>
          <w:rFonts w:hint="cs"/>
          <w:rtl/>
        </w:rPr>
        <w:t xml:space="preserve"> المعيار </w:t>
      </w:r>
      <w:r w:rsidR="00785A6C" w:rsidRPr="007F7881">
        <w:t>ST.87</w:t>
      </w:r>
    </w:p>
    <w:p w:rsidR="00785A6C" w:rsidRPr="007F7881" w:rsidRDefault="00D23794" w:rsidP="00CD7CA3">
      <w:pPr>
        <w:pStyle w:val="ONUMA"/>
        <w:rPr>
          <w:lang w:bidi="ar-MA"/>
        </w:rPr>
      </w:pPr>
      <w:r>
        <w:rPr>
          <w:rtl/>
          <w:lang w:bidi="ar-MA"/>
        </w:rPr>
        <w:t xml:space="preserve">أعدّت فرقة العمل أيضاً </w:t>
      </w:r>
      <w:r>
        <w:rPr>
          <w:rFonts w:hint="cs"/>
          <w:rtl/>
          <w:lang w:bidi="ar-MA"/>
        </w:rPr>
        <w:t>مراجعة</w:t>
      </w:r>
      <w:r w:rsidR="00785A6C" w:rsidRPr="007F7881">
        <w:rPr>
          <w:rtl/>
          <w:lang w:bidi="ar-MA"/>
        </w:rPr>
        <w:t xml:space="preserve"> للمرفق الثاني للمعيار </w:t>
      </w:r>
      <w:r w:rsidR="00785A6C" w:rsidRPr="007F7881">
        <w:rPr>
          <w:lang w:bidi="ar-MA"/>
        </w:rPr>
        <w:t>ST.87</w:t>
      </w:r>
      <w:r w:rsidR="00785A6C" w:rsidRPr="007F7881">
        <w:rPr>
          <w:rtl/>
          <w:lang w:bidi="ar-MA"/>
        </w:rPr>
        <w:t xml:space="preserve"> بشأن البيانات التكميلية، الوارد في مرفق هذ</w:t>
      </w:r>
      <w:r>
        <w:rPr>
          <w:rtl/>
          <w:lang w:bidi="ar-MA"/>
        </w:rPr>
        <w:t>ه الوثيقة. والقصد من هذ</w:t>
      </w:r>
      <w:r>
        <w:rPr>
          <w:rFonts w:hint="cs"/>
          <w:rtl/>
          <w:lang w:bidi="ar-MA"/>
        </w:rPr>
        <w:t>ه المراجعة</w:t>
      </w:r>
      <w:r w:rsidR="00785A6C" w:rsidRPr="007F7881">
        <w:rPr>
          <w:rtl/>
          <w:lang w:bidi="ar-MA"/>
        </w:rPr>
        <w:t xml:space="preserve"> هو مواءمة المعيار </w:t>
      </w:r>
      <w:r w:rsidR="00785A6C" w:rsidRPr="007F7881">
        <w:rPr>
          <w:lang w:bidi="ar-MA"/>
        </w:rPr>
        <w:t>ST.87</w:t>
      </w:r>
      <w:r w:rsidR="00785A6C" w:rsidRPr="007F7881">
        <w:rPr>
          <w:rtl/>
          <w:lang w:bidi="ar-MA"/>
        </w:rPr>
        <w:t xml:space="preserve"> مع المعيارين </w:t>
      </w:r>
      <w:r w:rsidR="00785A6C" w:rsidRPr="007F7881">
        <w:rPr>
          <w:lang w:bidi="ar-MA"/>
        </w:rPr>
        <w:t>ST.27</w:t>
      </w:r>
      <w:r w:rsidR="00785A6C" w:rsidRPr="007F7881">
        <w:rPr>
          <w:rtl/>
          <w:lang w:bidi="ar-MA"/>
        </w:rPr>
        <w:t xml:space="preserve"> و</w:t>
      </w:r>
      <w:r w:rsidR="00785A6C" w:rsidRPr="007F7881">
        <w:rPr>
          <w:lang w:bidi="ar-MA"/>
        </w:rPr>
        <w:t>ST.61</w:t>
      </w:r>
      <w:r w:rsidR="00785A6C" w:rsidRPr="007F7881">
        <w:rPr>
          <w:rtl/>
          <w:lang w:bidi="ar-MA"/>
        </w:rPr>
        <w:t xml:space="preserve"> اللذين تم تحديثهما مؤخراً. وتش</w:t>
      </w:r>
      <w:r>
        <w:rPr>
          <w:rtl/>
          <w:lang w:bidi="ar-MA"/>
        </w:rPr>
        <w:t>مل التغييرات الرئيسية في ال</w:t>
      </w:r>
      <w:r>
        <w:rPr>
          <w:rFonts w:hint="cs"/>
          <w:rtl/>
          <w:lang w:bidi="ar-MA"/>
        </w:rPr>
        <w:t>مراجعة</w:t>
      </w:r>
      <w:r w:rsidR="00785A6C" w:rsidRPr="007F7881">
        <w:rPr>
          <w:rtl/>
          <w:lang w:bidi="ar-MA"/>
        </w:rPr>
        <w:t xml:space="preserve"> المقترح</w:t>
      </w:r>
      <w:r>
        <w:rPr>
          <w:rFonts w:hint="cs"/>
          <w:rtl/>
          <w:lang w:bidi="ar-MA"/>
        </w:rPr>
        <w:t>ة</w:t>
      </w:r>
      <w:r w:rsidR="00785A6C" w:rsidRPr="007F7881">
        <w:rPr>
          <w:rtl/>
          <w:lang w:bidi="ar-MA"/>
        </w:rPr>
        <w:t xml:space="preserve"> للمرفق الثاني للمعيار </w:t>
      </w:r>
      <w:r w:rsidR="00785A6C" w:rsidRPr="007F7881">
        <w:rPr>
          <w:lang w:bidi="ar-MA"/>
        </w:rPr>
        <w:t>ST.87</w:t>
      </w:r>
      <w:r w:rsidR="00785A6C" w:rsidRPr="007F7881">
        <w:rPr>
          <w:rtl/>
          <w:lang w:bidi="ar-MA"/>
        </w:rPr>
        <w:t xml:space="preserve"> ما يلي:</w:t>
      </w:r>
    </w:p>
    <w:p w:rsidR="00785A6C" w:rsidRPr="007F7881" w:rsidRDefault="00785A6C" w:rsidP="00CD7CA3">
      <w:pPr>
        <w:ind w:left="1133" w:hanging="567"/>
        <w:rPr>
          <w:rtl/>
          <w:lang w:bidi="ar-MA"/>
        </w:rPr>
      </w:pPr>
      <w:r w:rsidRPr="007F7881">
        <w:rPr>
          <w:lang w:val="fr-CA" w:bidi="ar-MA"/>
        </w:rPr>
        <w:t>-</w:t>
      </w:r>
      <w:r w:rsidR="00CD7CA3">
        <w:rPr>
          <w:lang w:bidi="ar-MA"/>
        </w:rPr>
        <w:tab/>
      </w:r>
      <w:r w:rsidRPr="007F7881">
        <w:rPr>
          <w:rtl/>
          <w:lang w:bidi="ar-MA"/>
        </w:rPr>
        <w:t>فصل وتوسيع عناصر البيانات المشتركة التي تنطبق على جميع الفئات</w:t>
      </w:r>
      <w:r w:rsidR="009E3723" w:rsidRPr="007F7881">
        <w:rPr>
          <w:rFonts w:hint="cs"/>
          <w:rtl/>
          <w:lang w:bidi="ar-MA"/>
        </w:rPr>
        <w:t>؛</w:t>
      </w:r>
    </w:p>
    <w:p w:rsidR="00785A6C" w:rsidRPr="007F7881" w:rsidRDefault="00785A6C" w:rsidP="00CD7CA3">
      <w:pPr>
        <w:ind w:left="1133" w:hanging="567"/>
        <w:rPr>
          <w:rtl/>
          <w:lang w:val="fr-CA" w:bidi="ar-MA"/>
        </w:rPr>
      </w:pPr>
      <w:r w:rsidRPr="007F7881">
        <w:rPr>
          <w:lang w:val="fr-CA" w:bidi="ar-MA"/>
        </w:rPr>
        <w:t>-</w:t>
      </w:r>
      <w:r w:rsidR="00CD7CA3">
        <w:rPr>
          <w:lang w:val="fr-CA" w:bidi="ar-MA"/>
        </w:rPr>
        <w:tab/>
      </w:r>
      <w:r w:rsidR="008777BB">
        <w:rPr>
          <w:rtl/>
          <w:lang w:val="fr-CA" w:bidi="ar-MA"/>
        </w:rPr>
        <w:t xml:space="preserve">جمع </w:t>
      </w:r>
      <w:r w:rsidRPr="007F7881">
        <w:rPr>
          <w:rtl/>
          <w:lang w:val="fr-CA" w:bidi="ar-MA"/>
        </w:rPr>
        <w:t>حقول البيانات الشخصية لتعكس النهج المت</w:t>
      </w:r>
      <w:r w:rsidR="008777BB">
        <w:rPr>
          <w:rFonts w:hint="cs"/>
          <w:rtl/>
          <w:lang w:val="fr-CA" w:bidi="ar-MA"/>
        </w:rPr>
        <w:t>ّ</w:t>
      </w:r>
      <w:r w:rsidRPr="007F7881">
        <w:rPr>
          <w:rtl/>
          <w:lang w:val="fr-CA" w:bidi="ar-MA"/>
        </w:rPr>
        <w:t xml:space="preserve">بع إزاء المكونات المشتركة في المعيار </w:t>
      </w:r>
      <w:r w:rsidRPr="007F7881">
        <w:rPr>
          <w:lang w:val="fr-CA" w:bidi="ar-MA"/>
        </w:rPr>
        <w:t>ST.96</w:t>
      </w:r>
      <w:r w:rsidRPr="007F7881">
        <w:rPr>
          <w:rtl/>
          <w:lang w:val="fr-CA" w:bidi="ar-MA"/>
        </w:rPr>
        <w:t>؛</w:t>
      </w:r>
    </w:p>
    <w:p w:rsidR="00651AA9" w:rsidRPr="007F7881" w:rsidRDefault="009E3723" w:rsidP="00CD7CA3">
      <w:pPr>
        <w:ind w:left="1133" w:hanging="567"/>
        <w:rPr>
          <w:rtl/>
          <w:lang w:val="fr-CA" w:bidi="ar-MA"/>
        </w:rPr>
      </w:pPr>
      <w:r w:rsidRPr="007F7881">
        <w:rPr>
          <w:lang w:val="fr-CA" w:bidi="ar-MA"/>
        </w:rPr>
        <w:t>-</w:t>
      </w:r>
      <w:r w:rsidR="00CD7CA3">
        <w:rPr>
          <w:lang w:val="fr-CA" w:bidi="ar-MA"/>
        </w:rPr>
        <w:tab/>
      </w:r>
      <w:r w:rsidR="00651AA9" w:rsidRPr="007F7881">
        <w:rPr>
          <w:rtl/>
          <w:lang w:val="fr-CA" w:bidi="ar-MA"/>
        </w:rPr>
        <w:t xml:space="preserve">إضافة بعض البنود التفسيرية الجديدة مثل سبب عدم النفاذ؛ </w:t>
      </w:r>
    </w:p>
    <w:p w:rsidR="009E3723" w:rsidRPr="007F7881" w:rsidRDefault="00651AA9" w:rsidP="00CD7CA3">
      <w:pPr>
        <w:ind w:left="1133" w:hanging="567"/>
        <w:rPr>
          <w:rtl/>
          <w:lang w:val="fr-CA" w:bidi="ar-MA"/>
        </w:rPr>
      </w:pPr>
      <w:r w:rsidRPr="007F7881">
        <w:rPr>
          <w:rtl/>
          <w:lang w:val="fr-CA" w:bidi="ar-MA"/>
        </w:rPr>
        <w:t>-</w:t>
      </w:r>
      <w:r w:rsidR="00CD7CA3">
        <w:rPr>
          <w:lang w:val="fr-CA" w:bidi="ar-MA"/>
        </w:rPr>
        <w:tab/>
      </w:r>
      <w:r w:rsidR="001D6E5B">
        <w:rPr>
          <w:rtl/>
          <w:lang w:val="fr-CA" w:bidi="ar-MA"/>
        </w:rPr>
        <w:t>الاستعاضة عن بعض التع</w:t>
      </w:r>
      <w:r w:rsidR="001D6E5B">
        <w:rPr>
          <w:rFonts w:hint="cs"/>
          <w:rtl/>
          <w:lang w:val="fr-CA" w:bidi="ar-MA"/>
        </w:rPr>
        <w:t>بيرات</w:t>
      </w:r>
      <w:r w:rsidR="001D6E5B">
        <w:rPr>
          <w:rtl/>
          <w:lang w:val="fr-CA" w:bidi="ar-MA"/>
        </w:rPr>
        <w:t xml:space="preserve"> الخاصة بالبراءات </w:t>
      </w:r>
      <w:r w:rsidR="001D6E5B">
        <w:rPr>
          <w:rFonts w:hint="cs"/>
          <w:rtl/>
          <w:lang w:val="fr-CA" w:bidi="ar-MA"/>
        </w:rPr>
        <w:t>الواردة في</w:t>
      </w:r>
      <w:r w:rsidRPr="007F7881">
        <w:rPr>
          <w:rtl/>
          <w:lang w:val="fr-CA" w:bidi="ar-MA"/>
        </w:rPr>
        <w:t xml:space="preserve"> الإصدار السابق.</w:t>
      </w:r>
    </w:p>
    <w:p w:rsidR="00651AA9" w:rsidRPr="007F7881" w:rsidRDefault="001D6E5B" w:rsidP="00CD7CA3">
      <w:pPr>
        <w:pStyle w:val="Heading2"/>
        <w:rPr>
          <w:rtl/>
          <w:lang w:val="fr-CA"/>
        </w:rPr>
      </w:pPr>
      <w:r>
        <w:rPr>
          <w:rtl/>
          <w:lang w:val="fr-CA"/>
        </w:rPr>
        <w:t xml:space="preserve">التعديل المقترح </w:t>
      </w:r>
      <w:r>
        <w:rPr>
          <w:rFonts w:hint="cs"/>
          <w:rtl/>
        </w:rPr>
        <w:t>على ا</w:t>
      </w:r>
      <w:r w:rsidR="00651AA9" w:rsidRPr="007F7881">
        <w:rPr>
          <w:rtl/>
          <w:lang w:val="fr-CA"/>
        </w:rPr>
        <w:t>لمهمة رقم 47</w:t>
      </w:r>
    </w:p>
    <w:p w:rsidR="00785A6C" w:rsidRPr="007F7881" w:rsidRDefault="00651AA9" w:rsidP="00CD7CA3">
      <w:pPr>
        <w:pStyle w:val="ONUMA"/>
        <w:rPr>
          <w:lang w:bidi="ar-MA"/>
        </w:rPr>
      </w:pPr>
      <w:r w:rsidRPr="007F7881">
        <w:rPr>
          <w:rtl/>
          <w:lang w:bidi="ar-MA"/>
        </w:rPr>
        <w:t>في ضوء عدم توصل لجنة المعايير وفرقة العمل إلى طريقة للمضي قدماً في العمل على الدمج المحتمل لمعايير الوضع القانوني الثلاثة، تقترح فرقة العمل وقف أعمال الدمج. وبناء على ذلك، تقترح فرقة العمل تحديث وصف المهمة رقم 47 على النحو التالي:</w:t>
      </w:r>
    </w:p>
    <w:p w:rsidR="00651AA9" w:rsidRPr="007F7881" w:rsidRDefault="00651AA9" w:rsidP="002244D1">
      <w:pPr>
        <w:pStyle w:val="ONUMA"/>
        <w:numPr>
          <w:ilvl w:val="0"/>
          <w:numId w:val="0"/>
        </w:numPr>
        <w:ind w:left="566"/>
        <w:rPr>
          <w:rtl/>
          <w:lang w:bidi="ar-MA"/>
        </w:rPr>
      </w:pPr>
      <w:r w:rsidRPr="007F7881">
        <w:rPr>
          <w:rtl/>
          <w:lang w:bidi="ar-MA"/>
        </w:rPr>
        <w:t xml:space="preserve">ضمان </w:t>
      </w:r>
      <w:r w:rsidRPr="001D6E5B">
        <w:rPr>
          <w:rtl/>
          <w:lang w:bidi="ar-MA"/>
        </w:rPr>
        <w:t>إجراء المراجعات</w:t>
      </w:r>
      <w:r w:rsidRPr="007F7881">
        <w:rPr>
          <w:rtl/>
          <w:lang w:bidi="ar-MA"/>
        </w:rPr>
        <w:t xml:space="preserve"> والتحديثات اللازمة لمعايير الويبو </w:t>
      </w:r>
      <w:r w:rsidRPr="007F7881">
        <w:rPr>
          <w:lang w:bidi="ar-MA"/>
        </w:rPr>
        <w:t>ST.27</w:t>
      </w:r>
      <w:r w:rsidRPr="007F7881">
        <w:rPr>
          <w:rtl/>
          <w:lang w:bidi="ar-MA"/>
        </w:rPr>
        <w:t xml:space="preserve"> و</w:t>
      </w:r>
      <w:r w:rsidRPr="007F7881">
        <w:rPr>
          <w:lang w:bidi="ar-MA"/>
        </w:rPr>
        <w:t>ST.87</w:t>
      </w:r>
      <w:r w:rsidRPr="007F7881">
        <w:rPr>
          <w:rtl/>
          <w:lang w:bidi="ar-MA"/>
        </w:rPr>
        <w:t xml:space="preserve"> و</w:t>
      </w:r>
      <w:r w:rsidRPr="007F7881">
        <w:rPr>
          <w:lang w:bidi="ar-MA"/>
        </w:rPr>
        <w:t>ST.61</w:t>
      </w:r>
      <w:r w:rsidRPr="007F7881">
        <w:rPr>
          <w:rtl/>
          <w:lang w:bidi="ar-MA"/>
        </w:rPr>
        <w:t xml:space="preserve">؛ وإعداد مواد مساعدة لتسهيل استخدام تلك المعايير في مجتمع الملكية الفكرية؛ </w:t>
      </w:r>
      <w:r w:rsidR="002244D1" w:rsidRPr="002244D1">
        <w:rPr>
          <w:rFonts w:hint="cs"/>
          <w:strike/>
          <w:rtl/>
          <w:lang w:bidi="ar-MA"/>
        </w:rPr>
        <w:t xml:space="preserve">وتحليل إمكانيات دمج المعايير الثلاثة </w:t>
      </w:r>
      <w:r w:rsidR="002244D1" w:rsidRPr="002244D1">
        <w:rPr>
          <w:strike/>
          <w:lang w:bidi="ar-MA"/>
        </w:rPr>
        <w:t>ST.27</w:t>
      </w:r>
      <w:r w:rsidR="002244D1" w:rsidRPr="002244D1">
        <w:rPr>
          <w:strike/>
          <w:rtl/>
          <w:lang w:bidi="ar-MA"/>
        </w:rPr>
        <w:t xml:space="preserve"> و</w:t>
      </w:r>
      <w:r w:rsidR="002244D1" w:rsidRPr="002244D1">
        <w:rPr>
          <w:strike/>
          <w:lang w:bidi="ar-MA"/>
        </w:rPr>
        <w:t>ST.87</w:t>
      </w:r>
      <w:r w:rsidR="002244D1" w:rsidRPr="002244D1">
        <w:rPr>
          <w:strike/>
          <w:rtl/>
          <w:lang w:bidi="ar-MA"/>
        </w:rPr>
        <w:t xml:space="preserve"> و</w:t>
      </w:r>
      <w:r w:rsidR="002244D1" w:rsidRPr="002244D1">
        <w:rPr>
          <w:strike/>
          <w:lang w:bidi="ar-MA"/>
        </w:rPr>
        <w:t>ST.61</w:t>
      </w:r>
      <w:r w:rsidR="002244D1" w:rsidRPr="002244D1">
        <w:rPr>
          <w:rFonts w:hint="cs"/>
          <w:strike/>
          <w:rtl/>
          <w:lang w:bidi="ar-MA"/>
        </w:rPr>
        <w:t xml:space="preserve">؛ </w:t>
      </w:r>
      <w:r w:rsidRPr="007F7881">
        <w:rPr>
          <w:rtl/>
          <w:lang w:bidi="ar-MA"/>
        </w:rPr>
        <w:t xml:space="preserve">ودعم فرقة عمل </w:t>
      </w:r>
      <w:r w:rsidRPr="007F7881">
        <w:rPr>
          <w:lang w:bidi="ar-MA"/>
        </w:rPr>
        <w:t>XML4IP</w:t>
      </w:r>
      <w:r w:rsidRPr="007F7881">
        <w:rPr>
          <w:rtl/>
          <w:lang w:bidi="ar-MA"/>
        </w:rPr>
        <w:t xml:space="preserve"> لتطوير مكونات </w:t>
      </w:r>
      <w:r w:rsidRPr="007F7881">
        <w:rPr>
          <w:lang w:bidi="ar-MA"/>
        </w:rPr>
        <w:t>XML</w:t>
      </w:r>
      <w:r w:rsidRPr="007F7881">
        <w:rPr>
          <w:rtl/>
          <w:lang w:bidi="ar-MA"/>
        </w:rPr>
        <w:t xml:space="preserve"> لبيانات أحداث الوضع القانوني.</w:t>
      </w:r>
    </w:p>
    <w:p w:rsidR="00F83EE3" w:rsidRPr="002244D1" w:rsidRDefault="004F3923" w:rsidP="00CD7CA3">
      <w:pPr>
        <w:pStyle w:val="ONUMA"/>
        <w:ind w:left="5527"/>
        <w:rPr>
          <w:i/>
          <w:iCs/>
        </w:rPr>
      </w:pPr>
      <w:r w:rsidRPr="002244D1">
        <w:rPr>
          <w:rFonts w:hint="cs"/>
          <w:i/>
          <w:iCs/>
          <w:rtl/>
        </w:rPr>
        <w:t>إن لجنة المعايير مدعوّة إلى ما يلي:</w:t>
      </w:r>
    </w:p>
    <w:p w:rsidR="004F3923" w:rsidRPr="002244D1" w:rsidRDefault="002244D1" w:rsidP="00CD7CA3">
      <w:pPr>
        <w:spacing w:after="220"/>
        <w:ind w:left="5528" w:firstLine="708"/>
        <w:rPr>
          <w:rFonts w:asciiTheme="minorHAnsi" w:hAnsiTheme="minorHAnsi" w:cstheme="minorHAnsi"/>
          <w:i/>
          <w:iCs/>
        </w:rPr>
      </w:pPr>
      <w:r w:rsidRPr="002244D1">
        <w:rPr>
          <w:rFonts w:asciiTheme="minorHAnsi" w:hAnsiTheme="minorHAnsi" w:hint="cs"/>
          <w:i/>
          <w:iCs/>
          <w:rtl/>
          <w:lang w:val="fr-CA" w:bidi="ar-EG"/>
        </w:rPr>
        <w:t>(أ)</w:t>
      </w:r>
      <w:r w:rsidRPr="002244D1">
        <w:rPr>
          <w:rFonts w:asciiTheme="minorHAnsi" w:hAnsiTheme="minorHAnsi" w:hint="cs"/>
          <w:i/>
          <w:iCs/>
          <w:rtl/>
          <w:lang w:val="fr-CA" w:bidi="ar-EG"/>
        </w:rPr>
        <w:tab/>
      </w:r>
      <w:r w:rsidR="004F3923" w:rsidRPr="002244D1">
        <w:rPr>
          <w:rFonts w:asciiTheme="minorHAnsi" w:hAnsiTheme="minorHAnsi"/>
          <w:i/>
          <w:iCs/>
          <w:rtl/>
          <w:lang w:val="fr-CA"/>
        </w:rPr>
        <w:t>الإحاطة علما</w:t>
      </w:r>
      <w:r w:rsidR="004F3923" w:rsidRPr="002244D1">
        <w:rPr>
          <w:rFonts w:asciiTheme="minorHAnsi" w:hAnsiTheme="minorHAnsi" w:hint="cs"/>
          <w:i/>
          <w:iCs/>
          <w:rtl/>
          <w:lang w:val="fr-CA"/>
        </w:rPr>
        <w:t>ً</w:t>
      </w:r>
      <w:r w:rsidR="004F3923" w:rsidRPr="002244D1">
        <w:rPr>
          <w:rFonts w:asciiTheme="minorHAnsi" w:hAnsiTheme="minorHAnsi"/>
          <w:i/>
          <w:iCs/>
          <w:rtl/>
          <w:lang w:val="fr-CA"/>
        </w:rPr>
        <w:t xml:space="preserve"> بمضمون هذه الوثيقة؛</w:t>
      </w:r>
    </w:p>
    <w:p w:rsidR="004F3923" w:rsidRPr="002244D1" w:rsidRDefault="002244D1" w:rsidP="00CD7CA3">
      <w:pPr>
        <w:spacing w:after="220"/>
        <w:ind w:left="5528" w:firstLine="708"/>
        <w:rPr>
          <w:rFonts w:asciiTheme="minorHAnsi" w:hAnsiTheme="minorHAnsi" w:cstheme="minorHAnsi"/>
          <w:i/>
          <w:iCs/>
        </w:rPr>
      </w:pPr>
      <w:r w:rsidRPr="002244D1">
        <w:rPr>
          <w:rFonts w:asciiTheme="minorHAnsi" w:hAnsiTheme="minorHAnsi" w:hint="cs"/>
          <w:i/>
          <w:iCs/>
          <w:rtl/>
        </w:rPr>
        <w:t>(ب)</w:t>
      </w:r>
      <w:r w:rsidRPr="002244D1">
        <w:rPr>
          <w:rFonts w:asciiTheme="minorHAnsi" w:hAnsiTheme="minorHAnsi" w:hint="cs"/>
          <w:i/>
          <w:iCs/>
          <w:rtl/>
        </w:rPr>
        <w:tab/>
      </w:r>
      <w:r w:rsidR="001D6E5B" w:rsidRPr="002244D1">
        <w:rPr>
          <w:rFonts w:asciiTheme="minorHAnsi" w:hAnsiTheme="minorHAnsi"/>
          <w:i/>
          <w:iCs/>
          <w:rtl/>
        </w:rPr>
        <w:t>النظر في ال</w:t>
      </w:r>
      <w:r w:rsidR="001D6E5B" w:rsidRPr="002244D1">
        <w:rPr>
          <w:rFonts w:asciiTheme="minorHAnsi" w:hAnsiTheme="minorHAnsi" w:hint="cs"/>
          <w:i/>
          <w:iCs/>
          <w:rtl/>
          <w:lang w:bidi="ar-MA"/>
        </w:rPr>
        <w:t>مراجعة</w:t>
      </w:r>
      <w:r w:rsidR="004F3923" w:rsidRPr="002244D1">
        <w:rPr>
          <w:rFonts w:asciiTheme="minorHAnsi" w:hAnsiTheme="minorHAnsi"/>
          <w:i/>
          <w:iCs/>
          <w:rtl/>
        </w:rPr>
        <w:t xml:space="preserve"> المقترح</w:t>
      </w:r>
      <w:r w:rsidR="001D6E5B" w:rsidRPr="002244D1">
        <w:rPr>
          <w:rFonts w:asciiTheme="minorHAnsi" w:hAnsiTheme="minorHAnsi" w:hint="cs"/>
          <w:i/>
          <w:iCs/>
          <w:rtl/>
        </w:rPr>
        <w:t>ة</w:t>
      </w:r>
      <w:r w:rsidR="001D6E5B" w:rsidRPr="002244D1">
        <w:rPr>
          <w:rFonts w:asciiTheme="minorHAnsi" w:hAnsiTheme="minorHAnsi"/>
          <w:i/>
          <w:iCs/>
          <w:rtl/>
        </w:rPr>
        <w:t xml:space="preserve"> </w:t>
      </w:r>
      <w:r w:rsidR="001D6E5B" w:rsidRPr="002244D1">
        <w:rPr>
          <w:rFonts w:asciiTheme="minorHAnsi" w:hAnsiTheme="minorHAnsi" w:hint="cs"/>
          <w:i/>
          <w:iCs/>
          <w:rtl/>
        </w:rPr>
        <w:t>ل</w:t>
      </w:r>
      <w:r w:rsidR="004F3923" w:rsidRPr="002244D1">
        <w:rPr>
          <w:rFonts w:asciiTheme="minorHAnsi" w:hAnsiTheme="minorHAnsi"/>
          <w:i/>
          <w:iCs/>
          <w:rtl/>
        </w:rPr>
        <w:t xml:space="preserve">لمعيار </w:t>
      </w:r>
      <w:r w:rsidR="004F3923" w:rsidRPr="002244D1">
        <w:rPr>
          <w:rFonts w:asciiTheme="minorHAnsi" w:hAnsiTheme="minorHAnsi" w:cstheme="minorHAnsi"/>
          <w:i/>
          <w:iCs/>
        </w:rPr>
        <w:t>ST.87</w:t>
      </w:r>
      <w:r w:rsidR="00E04697" w:rsidRPr="002244D1">
        <w:rPr>
          <w:rFonts w:asciiTheme="minorHAnsi" w:hAnsiTheme="minorHAnsi" w:hint="cs"/>
          <w:i/>
          <w:iCs/>
          <w:rtl/>
        </w:rPr>
        <w:t xml:space="preserve"> في المرفق الثاني لهذة الوث</w:t>
      </w:r>
      <w:bookmarkStart w:id="5" w:name="_GoBack"/>
      <w:bookmarkEnd w:id="5"/>
      <w:r w:rsidR="00E04697" w:rsidRPr="002244D1">
        <w:rPr>
          <w:rFonts w:asciiTheme="minorHAnsi" w:hAnsiTheme="minorHAnsi" w:hint="cs"/>
          <w:i/>
          <w:iCs/>
          <w:rtl/>
        </w:rPr>
        <w:t xml:space="preserve">يقة </w:t>
      </w:r>
      <w:r w:rsidR="004F3923" w:rsidRPr="002244D1">
        <w:rPr>
          <w:rFonts w:asciiTheme="minorHAnsi" w:hAnsiTheme="minorHAnsi"/>
          <w:i/>
          <w:iCs/>
          <w:rtl/>
        </w:rPr>
        <w:t>والموافقة عليه</w:t>
      </w:r>
      <w:r w:rsidR="001D6E5B" w:rsidRPr="002244D1">
        <w:rPr>
          <w:rFonts w:asciiTheme="minorHAnsi" w:hAnsiTheme="minorHAnsi" w:hint="cs"/>
          <w:i/>
          <w:iCs/>
          <w:rtl/>
        </w:rPr>
        <w:t>ا</w:t>
      </w:r>
      <w:r w:rsidR="004F3923" w:rsidRPr="002244D1">
        <w:rPr>
          <w:rFonts w:asciiTheme="minorHAnsi" w:hAnsiTheme="minorHAnsi"/>
          <w:i/>
          <w:iCs/>
          <w:rtl/>
        </w:rPr>
        <w:t>؛</w:t>
      </w:r>
    </w:p>
    <w:p w:rsidR="004F3923" w:rsidRPr="002244D1" w:rsidRDefault="002244D1" w:rsidP="00CD7CA3">
      <w:pPr>
        <w:spacing w:after="220"/>
        <w:ind w:left="5528" w:firstLine="708"/>
        <w:rPr>
          <w:rFonts w:asciiTheme="minorHAnsi" w:hAnsiTheme="minorHAnsi" w:cstheme="minorHAnsi"/>
          <w:i/>
          <w:iCs/>
        </w:rPr>
      </w:pPr>
      <w:r w:rsidRPr="002244D1">
        <w:rPr>
          <w:rFonts w:asciiTheme="minorHAnsi" w:hAnsiTheme="minorHAnsi" w:hint="cs"/>
          <w:i/>
          <w:iCs/>
          <w:rtl/>
        </w:rPr>
        <w:t>(ج)</w:t>
      </w:r>
      <w:r w:rsidRPr="002244D1">
        <w:rPr>
          <w:rFonts w:asciiTheme="minorHAnsi" w:hAnsiTheme="minorHAnsi" w:hint="cs"/>
          <w:i/>
          <w:iCs/>
          <w:rtl/>
        </w:rPr>
        <w:tab/>
      </w:r>
      <w:r w:rsidR="00E04697" w:rsidRPr="002244D1">
        <w:rPr>
          <w:rFonts w:asciiTheme="minorHAnsi" w:hAnsiTheme="minorHAnsi"/>
          <w:i/>
          <w:iCs/>
          <w:rtl/>
        </w:rPr>
        <w:t xml:space="preserve">الموافقة على </w:t>
      </w:r>
      <w:r w:rsidR="00E04697" w:rsidRPr="002244D1">
        <w:rPr>
          <w:rFonts w:asciiTheme="minorHAnsi" w:hAnsiTheme="minorHAnsi" w:hint="cs"/>
          <w:i/>
          <w:iCs/>
          <w:rtl/>
        </w:rPr>
        <w:t>مراجعة</w:t>
      </w:r>
      <w:r w:rsidR="004F3923" w:rsidRPr="002244D1">
        <w:rPr>
          <w:rFonts w:asciiTheme="minorHAnsi" w:hAnsiTheme="minorHAnsi"/>
          <w:i/>
          <w:iCs/>
          <w:rtl/>
        </w:rPr>
        <w:t xml:space="preserve"> وصف المهمة رقم 47 على نحو ما ورد في الفقرة 6 أعلاه.</w:t>
      </w:r>
    </w:p>
    <w:p w:rsidR="004422EE" w:rsidRDefault="004422EE" w:rsidP="002730D5">
      <w:pPr>
        <w:pStyle w:val="ListParagraph"/>
        <w:spacing w:after="220"/>
        <w:ind w:left="5885"/>
        <w:rPr>
          <w:rFonts w:asciiTheme="minorHAnsi" w:hAnsiTheme="minorHAnsi" w:cstheme="minorHAnsi"/>
          <w:rtl/>
        </w:rPr>
      </w:pPr>
    </w:p>
    <w:p w:rsidR="002730D5" w:rsidRDefault="002730D5" w:rsidP="002730D5">
      <w:pPr>
        <w:pStyle w:val="ListParagraph"/>
        <w:spacing w:after="220"/>
        <w:ind w:left="5885"/>
        <w:rPr>
          <w:rFonts w:asciiTheme="minorHAnsi" w:hAnsiTheme="minorHAnsi" w:cstheme="minorHAnsi"/>
          <w:rtl/>
        </w:rPr>
      </w:pPr>
    </w:p>
    <w:p w:rsidR="002730D5" w:rsidRDefault="002730D5" w:rsidP="002730D5">
      <w:pPr>
        <w:pStyle w:val="ListParagraph"/>
        <w:spacing w:after="220"/>
        <w:ind w:left="5885"/>
        <w:rPr>
          <w:rFonts w:asciiTheme="minorHAnsi" w:hAnsiTheme="minorHAnsi" w:cstheme="minorHAnsi"/>
          <w:rtl/>
        </w:rPr>
      </w:pPr>
    </w:p>
    <w:p w:rsidR="002730D5" w:rsidRPr="004422EE" w:rsidRDefault="002730D5" w:rsidP="002730D5">
      <w:pPr>
        <w:pStyle w:val="ListParagraph"/>
        <w:spacing w:after="220"/>
        <w:ind w:left="5885"/>
        <w:rPr>
          <w:rFonts w:asciiTheme="minorHAnsi" w:hAnsiTheme="minorHAnsi" w:cstheme="minorHAnsi"/>
          <w:rtl/>
        </w:rPr>
      </w:pPr>
    </w:p>
    <w:p w:rsidR="004F3923" w:rsidRPr="007F7881" w:rsidRDefault="004F3923" w:rsidP="002244D1">
      <w:pPr>
        <w:pStyle w:val="Endofdocument-Annex"/>
        <w:rPr>
          <w:rFonts w:cstheme="minorHAnsi"/>
          <w:rtl/>
        </w:rPr>
      </w:pPr>
      <w:r w:rsidRPr="007F7881">
        <w:rPr>
          <w:rtl/>
        </w:rPr>
        <w:t>[يلي ذلك المرفق]</w:t>
      </w:r>
    </w:p>
    <w:p w:rsidR="009B0855" w:rsidRPr="007F7881" w:rsidRDefault="009B0855" w:rsidP="002730D5">
      <w:pPr>
        <w:pStyle w:val="BodyText"/>
      </w:pPr>
    </w:p>
    <w:p w:rsidR="00FE5D75" w:rsidRPr="007F7881" w:rsidRDefault="00FE5D75" w:rsidP="002730D5">
      <w:pPr>
        <w:pStyle w:val="BodyText"/>
      </w:pPr>
    </w:p>
    <w:p w:rsidR="00FE5D75" w:rsidRPr="007F7881" w:rsidRDefault="00FE5D75" w:rsidP="002730D5">
      <w:pPr>
        <w:pStyle w:val="BodyText"/>
      </w:pPr>
    </w:p>
    <w:sectPr w:rsidR="00FE5D75" w:rsidRPr="007F7881"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E28" w:rsidRDefault="005C1E28">
      <w:r>
        <w:separator/>
      </w:r>
    </w:p>
  </w:endnote>
  <w:endnote w:type="continuationSeparator" w:id="0">
    <w:p w:rsidR="005C1E28" w:rsidRDefault="005C1E28" w:rsidP="003B38C1">
      <w:r>
        <w:separator/>
      </w:r>
    </w:p>
    <w:p w:rsidR="005C1E28" w:rsidRPr="003B38C1" w:rsidRDefault="005C1E28" w:rsidP="003B38C1">
      <w:pPr>
        <w:spacing w:after="60"/>
        <w:rPr>
          <w:sz w:val="17"/>
        </w:rPr>
      </w:pPr>
      <w:r>
        <w:rPr>
          <w:sz w:val="17"/>
        </w:rPr>
        <w:t>[Endnote continued from previous page]</w:t>
      </w:r>
    </w:p>
  </w:endnote>
  <w:endnote w:type="continuationNotice" w:id="1">
    <w:p w:rsidR="005C1E28" w:rsidRPr="003B38C1" w:rsidRDefault="005C1E2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E28" w:rsidRDefault="005C1E28">
      <w:r>
        <w:separator/>
      </w:r>
    </w:p>
  </w:footnote>
  <w:footnote w:type="continuationSeparator" w:id="0">
    <w:p w:rsidR="005C1E28" w:rsidRDefault="005C1E28" w:rsidP="008B60B2">
      <w:r>
        <w:separator/>
      </w:r>
    </w:p>
    <w:p w:rsidR="005C1E28" w:rsidRPr="00ED77FB" w:rsidRDefault="005C1E28" w:rsidP="008B60B2">
      <w:pPr>
        <w:spacing w:after="60"/>
        <w:rPr>
          <w:sz w:val="17"/>
          <w:szCs w:val="17"/>
        </w:rPr>
      </w:pPr>
      <w:r w:rsidRPr="00ED77FB">
        <w:rPr>
          <w:sz w:val="17"/>
          <w:szCs w:val="17"/>
        </w:rPr>
        <w:t>[Footnote continued from previous page]</w:t>
      </w:r>
    </w:p>
  </w:footnote>
  <w:footnote w:type="continuationNotice" w:id="1">
    <w:p w:rsidR="005C1E28" w:rsidRPr="00ED77FB" w:rsidRDefault="005C1E2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723" w:rsidRPr="002326AB" w:rsidRDefault="00E04697" w:rsidP="00FE5D75">
    <w:pPr>
      <w:bidi w:val="0"/>
      <w:rPr>
        <w:caps/>
      </w:rPr>
    </w:pPr>
    <w:r>
      <w:rPr>
        <w:caps/>
      </w:rPr>
      <w:t>CWS/</w:t>
    </w:r>
    <w:r>
      <w:rPr>
        <w:rFonts w:hint="cs"/>
        <w:caps/>
        <w:rtl/>
      </w:rPr>
      <w:t>10</w:t>
    </w:r>
    <w:r>
      <w:rPr>
        <w:caps/>
      </w:rPr>
      <w:t>/</w:t>
    </w:r>
    <w:r>
      <w:rPr>
        <w:rFonts w:hint="cs"/>
        <w:caps/>
        <w:rtl/>
      </w:rPr>
      <w:t>11</w:t>
    </w:r>
  </w:p>
  <w:p w:rsidR="009E3723" w:rsidRDefault="009E3723" w:rsidP="00210D5F">
    <w:pPr>
      <w:bidi w:val="0"/>
    </w:pPr>
    <w:r>
      <w:fldChar w:fldCharType="begin"/>
    </w:r>
    <w:r>
      <w:instrText xml:space="preserve"> PAGE  \* MERGEFORMAT </w:instrText>
    </w:r>
    <w:r>
      <w:fldChar w:fldCharType="separate"/>
    </w:r>
    <w:r w:rsidR="00800D55">
      <w:rPr>
        <w:noProof/>
      </w:rPr>
      <w:t>2</w:t>
    </w:r>
    <w:r>
      <w:fldChar w:fldCharType="end"/>
    </w:r>
  </w:p>
  <w:p w:rsidR="009E3723" w:rsidRDefault="009E3723" w:rsidP="00210D5F">
    <w:pPr>
      <w:bidi w:val="0"/>
    </w:pPr>
  </w:p>
  <w:p w:rsidR="009E3723" w:rsidRDefault="009E3723"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5524768"/>
    <w:multiLevelType w:val="hybridMultilevel"/>
    <w:tmpl w:val="408CD082"/>
    <w:lvl w:ilvl="0" w:tplc="1492A31C">
      <w:start w:val="1"/>
      <w:numFmt w:val="arabicAbjad"/>
      <w:lvlText w:val="(%1)"/>
      <w:lvlJc w:val="left"/>
      <w:pPr>
        <w:ind w:left="1440" w:hanging="360"/>
      </w:pPr>
      <w:rPr>
        <w:rFonts w:ascii="Arabic Typesetting" w:eastAsia="Times New Roman" w:hAnsi="Arabic Typesetting" w:cs="Arabic Typesetting" w:hint="default"/>
        <w:b w:val="0"/>
        <w:bCs w:val="0"/>
        <w:i w:val="0"/>
        <w:iCs/>
        <w:sz w:val="36"/>
        <w:szCs w:val="36"/>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70DA3D12"/>
    <w:multiLevelType w:val="hybridMultilevel"/>
    <w:tmpl w:val="ADDEB8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75C"/>
    <w:rsid w:val="00043CAA"/>
    <w:rsid w:val="00056816"/>
    <w:rsid w:val="00075432"/>
    <w:rsid w:val="000968ED"/>
    <w:rsid w:val="000A0944"/>
    <w:rsid w:val="000A3D97"/>
    <w:rsid w:val="000F5E56"/>
    <w:rsid w:val="0012066C"/>
    <w:rsid w:val="001362EE"/>
    <w:rsid w:val="001406E1"/>
    <w:rsid w:val="00155D8A"/>
    <w:rsid w:val="001647D5"/>
    <w:rsid w:val="00167832"/>
    <w:rsid w:val="00176B8D"/>
    <w:rsid w:val="001832A6"/>
    <w:rsid w:val="0019592A"/>
    <w:rsid w:val="001D4107"/>
    <w:rsid w:val="001D6E5B"/>
    <w:rsid w:val="00203D24"/>
    <w:rsid w:val="00210D5F"/>
    <w:rsid w:val="0021217E"/>
    <w:rsid w:val="002244D1"/>
    <w:rsid w:val="002326AB"/>
    <w:rsid w:val="00243430"/>
    <w:rsid w:val="00250149"/>
    <w:rsid w:val="002634C4"/>
    <w:rsid w:val="002730D5"/>
    <w:rsid w:val="002928D3"/>
    <w:rsid w:val="002F1FE6"/>
    <w:rsid w:val="002F4E68"/>
    <w:rsid w:val="00312F7F"/>
    <w:rsid w:val="00321316"/>
    <w:rsid w:val="00361450"/>
    <w:rsid w:val="003673CF"/>
    <w:rsid w:val="003845C1"/>
    <w:rsid w:val="003A6F89"/>
    <w:rsid w:val="003B355C"/>
    <w:rsid w:val="003B357D"/>
    <w:rsid w:val="003B38C1"/>
    <w:rsid w:val="003C34E9"/>
    <w:rsid w:val="00423E3E"/>
    <w:rsid w:val="00427AF4"/>
    <w:rsid w:val="004422EE"/>
    <w:rsid w:val="0045246E"/>
    <w:rsid w:val="004647DA"/>
    <w:rsid w:val="00474062"/>
    <w:rsid w:val="00477D6B"/>
    <w:rsid w:val="004F3923"/>
    <w:rsid w:val="005019FF"/>
    <w:rsid w:val="00514904"/>
    <w:rsid w:val="0053057A"/>
    <w:rsid w:val="00547D20"/>
    <w:rsid w:val="00556076"/>
    <w:rsid w:val="00560A29"/>
    <w:rsid w:val="005707D8"/>
    <w:rsid w:val="005B60FC"/>
    <w:rsid w:val="005C1E28"/>
    <w:rsid w:val="005C6649"/>
    <w:rsid w:val="005E7B89"/>
    <w:rsid w:val="00605827"/>
    <w:rsid w:val="00646050"/>
    <w:rsid w:val="00651AA9"/>
    <w:rsid w:val="006713CA"/>
    <w:rsid w:val="00676C5C"/>
    <w:rsid w:val="006B5C12"/>
    <w:rsid w:val="006F641A"/>
    <w:rsid w:val="00720EFD"/>
    <w:rsid w:val="007854AF"/>
    <w:rsid w:val="00785A6C"/>
    <w:rsid w:val="00793A7C"/>
    <w:rsid w:val="007A398A"/>
    <w:rsid w:val="007C4902"/>
    <w:rsid w:val="007D1613"/>
    <w:rsid w:val="007E4C0E"/>
    <w:rsid w:val="007F7881"/>
    <w:rsid w:val="00800D55"/>
    <w:rsid w:val="008777BB"/>
    <w:rsid w:val="008A134B"/>
    <w:rsid w:val="008B2CC1"/>
    <w:rsid w:val="008B60B2"/>
    <w:rsid w:val="008E0CD1"/>
    <w:rsid w:val="0090731E"/>
    <w:rsid w:val="00916EE2"/>
    <w:rsid w:val="00966A22"/>
    <w:rsid w:val="0096722F"/>
    <w:rsid w:val="00980843"/>
    <w:rsid w:val="009B0855"/>
    <w:rsid w:val="009E1721"/>
    <w:rsid w:val="009E2791"/>
    <w:rsid w:val="009E3723"/>
    <w:rsid w:val="009E3F6F"/>
    <w:rsid w:val="009F499F"/>
    <w:rsid w:val="00A37342"/>
    <w:rsid w:val="00A42DAF"/>
    <w:rsid w:val="00A45BD8"/>
    <w:rsid w:val="00A56841"/>
    <w:rsid w:val="00A56CFC"/>
    <w:rsid w:val="00A869B7"/>
    <w:rsid w:val="00A90F0A"/>
    <w:rsid w:val="00AC205C"/>
    <w:rsid w:val="00AF0A6B"/>
    <w:rsid w:val="00B05A69"/>
    <w:rsid w:val="00B42CA9"/>
    <w:rsid w:val="00B51FF7"/>
    <w:rsid w:val="00B75281"/>
    <w:rsid w:val="00B92F1F"/>
    <w:rsid w:val="00B9734B"/>
    <w:rsid w:val="00BA30E2"/>
    <w:rsid w:val="00C11BFE"/>
    <w:rsid w:val="00C15122"/>
    <w:rsid w:val="00C4075C"/>
    <w:rsid w:val="00C5068F"/>
    <w:rsid w:val="00C86D74"/>
    <w:rsid w:val="00CA571F"/>
    <w:rsid w:val="00CB3DBA"/>
    <w:rsid w:val="00CC3E2D"/>
    <w:rsid w:val="00CD04F1"/>
    <w:rsid w:val="00CD7CA3"/>
    <w:rsid w:val="00CE19F8"/>
    <w:rsid w:val="00CF681A"/>
    <w:rsid w:val="00D07C78"/>
    <w:rsid w:val="00D23794"/>
    <w:rsid w:val="00D45252"/>
    <w:rsid w:val="00D60B2C"/>
    <w:rsid w:val="00D67EAE"/>
    <w:rsid w:val="00D71B4D"/>
    <w:rsid w:val="00D90B96"/>
    <w:rsid w:val="00D93D55"/>
    <w:rsid w:val="00DD7B7F"/>
    <w:rsid w:val="00E04697"/>
    <w:rsid w:val="00E15015"/>
    <w:rsid w:val="00E319DF"/>
    <w:rsid w:val="00E335FE"/>
    <w:rsid w:val="00E66CC5"/>
    <w:rsid w:val="00E96F9A"/>
    <w:rsid w:val="00EA7D6E"/>
    <w:rsid w:val="00EB2F76"/>
    <w:rsid w:val="00EC4E49"/>
    <w:rsid w:val="00ED77FB"/>
    <w:rsid w:val="00EE45FA"/>
    <w:rsid w:val="00F043DE"/>
    <w:rsid w:val="00F4597F"/>
    <w:rsid w:val="00F66152"/>
    <w:rsid w:val="00F76CB4"/>
    <w:rsid w:val="00F81A74"/>
    <w:rsid w:val="00F83EE3"/>
    <w:rsid w:val="00F9165B"/>
    <w:rsid w:val="00F94340"/>
    <w:rsid w:val="00FC482F"/>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7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CD7CA3"/>
    <w:pPr>
      <w:keepNext/>
      <w:spacing w:before="240" w:after="60"/>
      <w:outlineLvl w:val="1"/>
    </w:pPr>
    <w:rPr>
      <w:bCs/>
      <w:i/>
      <w:caps/>
      <w:sz w:val="24"/>
      <w:szCs w:val="24"/>
      <w:lang w:bidi="ar-MA"/>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120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940C7-75AE-47B0-9921-32F7EECA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CWS/10/11</vt:lpstr>
    </vt:vector>
  </TitlesOfParts>
  <Manager/>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CWS/10/11</dc:title>
  <dc:subject>تقرير فرقة العمل المعنية بالوضع القانوني</dc:subject>
  <dc:creator/>
  <cp:keywords>FOR OFFICIAL USE ONLY</cp:keywords>
  <cp:lastModifiedBy/>
  <cp:revision>1</cp:revision>
  <dcterms:created xsi:type="dcterms:W3CDTF">2022-09-23T20:19:00Z</dcterms:created>
  <dcterms:modified xsi:type="dcterms:W3CDTF">2022-09-26T13:21:00Z</dcterms:modified>
</cp:coreProperties>
</file>