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C071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58CF3B2D" wp14:editId="211E04CB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3168667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59B0848B" w14:textId="77777777" w:rsidR="008B2CC1" w:rsidRPr="002326AB" w:rsidRDefault="0070778E" w:rsidP="00250149">
      <w:pPr>
        <w:bidi w:val="0"/>
        <w:rPr>
          <w:rFonts w:ascii="Arial Black" w:hAnsi="Arial Black"/>
          <w:caps/>
          <w:sz w:val="15"/>
          <w:szCs w:val="15"/>
          <w:rtl/>
        </w:rPr>
      </w:pPr>
      <w:bookmarkStart w:id="0" w:name="Code"/>
      <w:bookmarkEnd w:id="0"/>
      <w:r>
        <w:rPr>
          <w:rFonts w:ascii="Arial Black" w:hAnsi="Arial Black"/>
          <w:caps/>
          <w:sz w:val="15"/>
          <w:szCs w:val="15"/>
        </w:rPr>
        <w:t>CWS/1</w:t>
      </w:r>
      <w:r w:rsidR="00E15F75">
        <w:rPr>
          <w:rFonts w:ascii="Arial Black" w:hAnsi="Arial Black"/>
          <w:caps/>
          <w:sz w:val="15"/>
          <w:szCs w:val="15"/>
        </w:rPr>
        <w:t>1</w:t>
      </w:r>
      <w:r w:rsidR="00FE5D75" w:rsidRPr="00FE5D75">
        <w:rPr>
          <w:rFonts w:ascii="Arial Black" w:hAnsi="Arial Black"/>
          <w:caps/>
          <w:sz w:val="15"/>
          <w:szCs w:val="15"/>
        </w:rPr>
        <w:t>/</w:t>
      </w:r>
      <w:r w:rsidR="00733057">
        <w:rPr>
          <w:rFonts w:ascii="Arial Black" w:hAnsi="Arial Black"/>
          <w:caps/>
          <w:sz w:val="15"/>
          <w:szCs w:val="15"/>
        </w:rPr>
        <w:t>20</w:t>
      </w:r>
    </w:p>
    <w:p w14:paraId="63D9AC00" w14:textId="77777777" w:rsidR="008B2CC1" w:rsidRPr="00143A43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val="fr-CH"/>
        </w:rPr>
      </w:pPr>
      <w:bookmarkStart w:id="1" w:name="Original"/>
      <w:r w:rsidRPr="0070778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143A43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/>
        </w:rPr>
        <w:t>بالإنكليزية</w:t>
      </w:r>
    </w:p>
    <w:p w14:paraId="30A85E3B" w14:textId="77777777" w:rsidR="008B2CC1" w:rsidRPr="0070778E" w:rsidRDefault="00CC3E2D" w:rsidP="00143A43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 w:rsidRPr="0070778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143A43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73305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6</w:t>
      </w:r>
      <w:r w:rsidR="00B2522A">
        <w:rPr>
          <w:rFonts w:asciiTheme="minorHAnsi" w:hAnsiTheme="minorHAnsi"/>
          <w:b/>
          <w:bCs/>
          <w:caps/>
          <w:sz w:val="15"/>
          <w:szCs w:val="15"/>
          <w:rtl/>
        </w:rPr>
        <w:t xml:space="preserve"> </w:t>
      </w:r>
      <w:r w:rsidR="00733057">
        <w:rPr>
          <w:rFonts w:asciiTheme="minorHAnsi" w:hAnsiTheme="minorHAnsi" w:hint="cs"/>
          <w:b/>
          <w:bCs/>
          <w:caps/>
          <w:sz w:val="15"/>
          <w:szCs w:val="15"/>
          <w:rtl/>
        </w:rPr>
        <w:t>نوفمبر</w:t>
      </w:r>
      <w:r w:rsidR="00B2522A">
        <w:rPr>
          <w:rFonts w:asciiTheme="minorHAnsi" w:hAnsiTheme="minorHAnsi"/>
          <w:b/>
          <w:bCs/>
          <w:caps/>
          <w:sz w:val="15"/>
          <w:szCs w:val="15"/>
          <w:rtl/>
        </w:rPr>
        <w:t xml:space="preserve"> 2023</w:t>
      </w:r>
    </w:p>
    <w:bookmarkEnd w:id="2"/>
    <w:p w14:paraId="4633DC4B" w14:textId="77777777" w:rsidR="008B2CC1" w:rsidRPr="00D67EAE" w:rsidRDefault="00250149" w:rsidP="00FE5D75">
      <w:pPr>
        <w:pStyle w:val="Heading1"/>
      </w:pPr>
      <w:r>
        <w:rPr>
          <w:rFonts w:hint="cs"/>
          <w:rtl/>
        </w:rPr>
        <w:t xml:space="preserve">اللجنة </w:t>
      </w:r>
      <w:r w:rsidR="00FE5D75">
        <w:rPr>
          <w:rFonts w:hint="cs"/>
          <w:rtl/>
        </w:rPr>
        <w:t>المعنية بمعايير الويبو</w:t>
      </w:r>
    </w:p>
    <w:p w14:paraId="4E970170" w14:textId="77777777" w:rsidR="00A90F0A" w:rsidRPr="00D67EAE" w:rsidRDefault="00D67EAE" w:rsidP="0070778E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E15F75">
        <w:rPr>
          <w:rFonts w:asciiTheme="minorHAnsi" w:hAnsiTheme="minorHAnsi" w:cstheme="minorHAnsi" w:hint="cs"/>
          <w:bCs/>
          <w:sz w:val="24"/>
          <w:szCs w:val="24"/>
          <w:rtl/>
        </w:rPr>
        <w:t>الحادية عشرة</w:t>
      </w:r>
    </w:p>
    <w:p w14:paraId="121EF783" w14:textId="77777777" w:rsidR="008B2CC1" w:rsidRPr="00D67EAE" w:rsidRDefault="00D67EAE" w:rsidP="0070778E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E15F75">
        <w:rPr>
          <w:rFonts w:asciiTheme="minorHAnsi" w:hAnsiTheme="minorHAnsi" w:cstheme="minorHAnsi" w:hint="cs"/>
          <w:bCs/>
          <w:sz w:val="24"/>
          <w:szCs w:val="24"/>
          <w:rtl/>
        </w:rPr>
        <w:t>4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E15F75">
        <w:rPr>
          <w:rFonts w:asciiTheme="minorHAnsi" w:hAnsiTheme="minorHAnsi" w:cstheme="minorHAnsi" w:hint="cs"/>
          <w:bCs/>
          <w:sz w:val="24"/>
          <w:szCs w:val="24"/>
          <w:rtl/>
        </w:rPr>
        <w:t>8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E15F75">
        <w:rPr>
          <w:rFonts w:asciiTheme="minorHAnsi" w:hAnsiTheme="minorHAnsi" w:cstheme="minorHAnsi" w:hint="cs"/>
          <w:bCs/>
          <w:sz w:val="24"/>
          <w:szCs w:val="24"/>
          <w:rtl/>
        </w:rPr>
        <w:t>ديسمبر</w:t>
      </w:r>
      <w:r w:rsidR="00250149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E15F75">
        <w:rPr>
          <w:rFonts w:asciiTheme="minorHAnsi" w:hAnsiTheme="minorHAnsi" w:cstheme="minorHAnsi" w:hint="cs"/>
          <w:bCs/>
          <w:sz w:val="24"/>
          <w:szCs w:val="24"/>
          <w:rtl/>
        </w:rPr>
        <w:t>2023</w:t>
      </w:r>
    </w:p>
    <w:p w14:paraId="490A1D8D" w14:textId="77777777" w:rsidR="008B2CC1" w:rsidRPr="00262607" w:rsidRDefault="0073103B" w:rsidP="00143A43">
      <w:pPr>
        <w:spacing w:after="360"/>
        <w:outlineLvl w:val="0"/>
        <w:rPr>
          <w:rFonts w:asciiTheme="minorHAnsi" w:hAnsiTheme="minorHAnsi" w:cstheme="minorHAnsi"/>
          <w:caps/>
          <w:sz w:val="24"/>
          <w:szCs w:val="24"/>
        </w:rPr>
      </w:pPr>
      <w:bookmarkStart w:id="3" w:name="TitleOfDoc"/>
      <w:r w:rsidRPr="0073103B">
        <w:rPr>
          <w:rFonts w:asciiTheme="minorHAnsi" w:hAnsiTheme="minorHAnsi"/>
          <w:caps/>
          <w:sz w:val="24"/>
          <w:szCs w:val="24"/>
          <w:rtl/>
        </w:rPr>
        <w:t xml:space="preserve">اقتراح معيار جديد للويبو بشأن نسق حزم البيانات من أجل التبادل الإلكتروني للوثائق ذات الأولوية والنسخ </w:t>
      </w:r>
      <w:r w:rsidR="000673BF">
        <w:rPr>
          <w:rFonts w:asciiTheme="minorHAnsi" w:hAnsiTheme="minorHAnsi"/>
          <w:caps/>
          <w:sz w:val="24"/>
          <w:szCs w:val="24"/>
          <w:rtl/>
        </w:rPr>
        <w:t>المعتمدة</w:t>
      </w:r>
      <w:r>
        <w:rPr>
          <w:rFonts w:asciiTheme="minorHAnsi" w:hAnsiTheme="minorHAnsi" w:hint="cs"/>
          <w:caps/>
          <w:sz w:val="24"/>
          <w:szCs w:val="24"/>
          <w:rtl/>
        </w:rPr>
        <w:t xml:space="preserve"> </w:t>
      </w:r>
    </w:p>
    <w:p w14:paraId="241C9692" w14:textId="77777777" w:rsidR="007969D1" w:rsidRPr="00143A43" w:rsidRDefault="0073103B" w:rsidP="00E15F75">
      <w:pPr>
        <w:pStyle w:val="BodyText"/>
        <w:rPr>
          <w:i/>
          <w:iCs/>
          <w:rtl/>
        </w:rPr>
      </w:pPr>
      <w:bookmarkStart w:id="4" w:name="Prepared"/>
      <w:bookmarkEnd w:id="3"/>
      <w:bookmarkEnd w:id="4"/>
      <w:r w:rsidRPr="0073103B">
        <w:rPr>
          <w:i/>
          <w:iCs/>
          <w:rtl/>
        </w:rPr>
        <w:t>وثيقة من إعداد الهيئة المشرفة على فرقة العمل المعنية بالتحول الرقمي</w:t>
      </w:r>
    </w:p>
    <w:p w14:paraId="77C92B8A" w14:textId="77777777" w:rsidR="00E15F75" w:rsidRDefault="00E15F75" w:rsidP="00E15F75">
      <w:pPr>
        <w:pStyle w:val="BodyText"/>
        <w:rPr>
          <w:rFonts w:eastAsia="Times New Roman"/>
          <w:rtl/>
          <w:lang w:eastAsia="en-US"/>
        </w:rPr>
      </w:pPr>
    </w:p>
    <w:p w14:paraId="7B98386D" w14:textId="77777777" w:rsidR="00143A43" w:rsidRPr="00143A43" w:rsidRDefault="00143A43" w:rsidP="00143A43">
      <w:pPr>
        <w:pStyle w:val="Heading2"/>
        <w:rPr>
          <w:rtl/>
        </w:rPr>
      </w:pPr>
      <w:r w:rsidRPr="00143A43">
        <w:rPr>
          <w:rFonts w:hint="cs"/>
          <w:rtl/>
        </w:rPr>
        <w:t>ملخص</w:t>
      </w:r>
    </w:p>
    <w:p w14:paraId="19B9B200" w14:textId="77777777" w:rsidR="00143A43" w:rsidRPr="001A09F4" w:rsidRDefault="006F4FF2" w:rsidP="00143A43">
      <w:pPr>
        <w:pStyle w:val="ONUMA"/>
        <w:rPr>
          <w:rtl/>
        </w:rPr>
      </w:pPr>
      <w:r w:rsidRPr="006F4FF2">
        <w:rPr>
          <w:rtl/>
        </w:rPr>
        <w:t xml:space="preserve">تقدم فرقة العمل المعنية بالتحول الرقمي مسودة نهائية </w:t>
      </w:r>
      <w:r w:rsidR="009738CE">
        <w:rPr>
          <w:rFonts w:hint="cs"/>
          <w:rtl/>
        </w:rPr>
        <w:t xml:space="preserve">تخص </w:t>
      </w:r>
      <w:r w:rsidRPr="006F4FF2">
        <w:rPr>
          <w:rtl/>
        </w:rPr>
        <w:t xml:space="preserve">معيار الويبو الجديد بشأن الحزمة الرقمية </w:t>
      </w:r>
      <w:r w:rsidR="00845CCF">
        <w:rPr>
          <w:rFonts w:hint="cs"/>
          <w:rtl/>
        </w:rPr>
        <w:t xml:space="preserve">المشتملة على </w:t>
      </w:r>
      <w:r w:rsidRPr="006F4FF2">
        <w:rPr>
          <w:rtl/>
        </w:rPr>
        <w:t xml:space="preserve">وثائق الأولوية </w:t>
      </w:r>
      <w:r w:rsidR="000673BF">
        <w:rPr>
          <w:rFonts w:hint="cs"/>
          <w:rtl/>
        </w:rPr>
        <w:t>المعتمدة</w:t>
      </w:r>
      <w:r w:rsidRPr="006F4FF2">
        <w:rPr>
          <w:rtl/>
        </w:rPr>
        <w:t>، للنظر فيها واعتمادها في الدورة الحادية عشرة للجنة</w:t>
      </w:r>
      <w:r w:rsidR="009738CE">
        <w:rPr>
          <w:rFonts w:hint="cs"/>
          <w:rtl/>
        </w:rPr>
        <w:t xml:space="preserve"> المعنية</w:t>
      </w:r>
      <w:r w:rsidRPr="006F4FF2">
        <w:rPr>
          <w:rtl/>
        </w:rPr>
        <w:t xml:space="preserve"> </w:t>
      </w:r>
      <w:r w:rsidR="009738CE">
        <w:rPr>
          <w:rFonts w:hint="cs"/>
          <w:rtl/>
        </w:rPr>
        <w:t>ب</w:t>
      </w:r>
      <w:r w:rsidRPr="006F4FF2">
        <w:rPr>
          <w:rtl/>
        </w:rPr>
        <w:t>معايير الويبو (</w:t>
      </w:r>
      <w:r w:rsidR="009738CE">
        <w:rPr>
          <w:rFonts w:hint="cs"/>
          <w:rtl/>
        </w:rPr>
        <w:t>لجنة المعايير</w:t>
      </w:r>
      <w:r w:rsidRPr="006F4FF2">
        <w:rPr>
          <w:rtl/>
        </w:rPr>
        <w:t>)</w:t>
      </w:r>
      <w:r w:rsidR="000042F0">
        <w:rPr>
          <w:rFonts w:hint="cs"/>
          <w:rtl/>
        </w:rPr>
        <w:t>.</w:t>
      </w:r>
    </w:p>
    <w:p w14:paraId="03EE5BFB" w14:textId="77777777" w:rsidR="00143A43" w:rsidRDefault="00143A43" w:rsidP="00143A43">
      <w:pPr>
        <w:pStyle w:val="Heading2"/>
        <w:rPr>
          <w:rtl/>
        </w:rPr>
      </w:pPr>
      <w:r>
        <w:rPr>
          <w:rFonts w:hint="cs"/>
          <w:rtl/>
        </w:rPr>
        <w:t>معلومات أساسية</w:t>
      </w:r>
    </w:p>
    <w:p w14:paraId="6A4B6594" w14:textId="77777777" w:rsidR="00143A43" w:rsidRDefault="006F4FF2" w:rsidP="00143A43">
      <w:pPr>
        <w:pStyle w:val="ONUMA"/>
      </w:pPr>
      <w:r w:rsidRPr="006F4FF2">
        <w:rPr>
          <w:rtl/>
        </w:rPr>
        <w:t xml:space="preserve">وافقت لجنة المعايير في دورتها العاشرة على إضافة المهمة رقم 65، التي </w:t>
      </w:r>
      <w:r w:rsidR="00845CCF">
        <w:rPr>
          <w:rFonts w:hint="cs"/>
          <w:rtl/>
        </w:rPr>
        <w:t>اقتُرحت</w:t>
      </w:r>
      <w:r w:rsidRPr="006F4FF2">
        <w:rPr>
          <w:rtl/>
        </w:rPr>
        <w:t xml:space="preserve"> بعد </w:t>
      </w:r>
      <w:r w:rsidR="00845CCF">
        <w:rPr>
          <w:rFonts w:hint="cs"/>
          <w:rtl/>
        </w:rPr>
        <w:t xml:space="preserve">توصية من </w:t>
      </w:r>
      <w:r w:rsidRPr="006F4FF2">
        <w:rPr>
          <w:rtl/>
        </w:rPr>
        <w:t xml:space="preserve">الفريق العامل المعني بمعاهدة البراءات، في دورته الخامسة عشرة، بوضع معيار جديد للويبو لتمكين نقل قوائم </w:t>
      </w:r>
      <w:r w:rsidR="00845CCF">
        <w:rPr>
          <w:rFonts w:hint="cs"/>
          <w:rtl/>
        </w:rPr>
        <w:t>التسلسل بنسق</w:t>
      </w:r>
      <w:r w:rsidRPr="006F4FF2">
        <w:rPr>
          <w:rtl/>
        </w:rPr>
        <w:t xml:space="preserve"> معيار الويبو </w:t>
      </w:r>
      <w:r w:rsidRPr="006F4FF2">
        <w:t>ST.26</w:t>
      </w:r>
      <w:r w:rsidRPr="006F4FF2">
        <w:rPr>
          <w:rtl/>
        </w:rPr>
        <w:t xml:space="preserve">، كجزء من وثائق الأولوية والنسخ </w:t>
      </w:r>
      <w:r w:rsidR="000673BF">
        <w:rPr>
          <w:rFonts w:hint="cs"/>
          <w:rtl/>
        </w:rPr>
        <w:t>المعتمدة</w:t>
      </w:r>
      <w:r w:rsidRPr="006F4FF2">
        <w:rPr>
          <w:rtl/>
        </w:rPr>
        <w:t xml:space="preserve">. </w:t>
      </w:r>
      <w:r w:rsidR="00845CCF">
        <w:rPr>
          <w:rFonts w:hint="cs"/>
          <w:rtl/>
        </w:rPr>
        <w:t>وأُسندت</w:t>
      </w:r>
      <w:r w:rsidRPr="006F4FF2">
        <w:rPr>
          <w:rtl/>
        </w:rPr>
        <w:t xml:space="preserve"> هذه المهمة إلى </w:t>
      </w:r>
      <w:r w:rsidR="00845CCF">
        <w:rPr>
          <w:rFonts w:hint="cs"/>
          <w:rtl/>
        </w:rPr>
        <w:t>فرقة العمل المعنية</w:t>
      </w:r>
      <w:r w:rsidRPr="006F4FF2">
        <w:rPr>
          <w:rtl/>
        </w:rPr>
        <w:t xml:space="preserve"> </w:t>
      </w:r>
      <w:r w:rsidR="00845CCF">
        <w:rPr>
          <w:rFonts w:hint="cs"/>
          <w:rtl/>
        </w:rPr>
        <w:t>ب</w:t>
      </w:r>
      <w:r w:rsidRPr="006F4FF2">
        <w:rPr>
          <w:rtl/>
        </w:rPr>
        <w:t>التحول الرقمي، وفيما يلي وصف المهمة</w:t>
      </w:r>
      <w:r>
        <w:rPr>
          <w:rFonts w:hint="cs"/>
          <w:rtl/>
        </w:rPr>
        <w:t>:</w:t>
      </w:r>
    </w:p>
    <w:p w14:paraId="6984BDD9" w14:textId="77777777" w:rsidR="006F4FF2" w:rsidRPr="006F4FF2" w:rsidRDefault="006F4FF2" w:rsidP="006F4FF2">
      <w:pPr>
        <w:pStyle w:val="ONUMA"/>
        <w:numPr>
          <w:ilvl w:val="0"/>
          <w:numId w:val="0"/>
        </w:numPr>
        <w:ind w:left="567"/>
        <w:rPr>
          <w:i/>
          <w:iCs/>
          <w:rtl/>
        </w:rPr>
      </w:pPr>
      <w:r w:rsidRPr="006F4FF2">
        <w:rPr>
          <w:rFonts w:hint="cs"/>
          <w:i/>
          <w:iCs/>
          <w:rtl/>
        </w:rPr>
        <w:t>"</w:t>
      </w:r>
      <w:r w:rsidR="000673BF" w:rsidRPr="000673BF">
        <w:rPr>
          <w:rtl/>
        </w:rPr>
        <w:t xml:space="preserve"> </w:t>
      </w:r>
      <w:r w:rsidR="000673BF" w:rsidRPr="000673BF">
        <w:rPr>
          <w:i/>
          <w:iCs/>
          <w:rtl/>
        </w:rPr>
        <w:t>إعداد اقتراح توصيات بشأن نسق حزمة البيانات من أجل التبادل الإلكتروني لوثائق الأولوية والنسخ المعتمدة للبراءات والعلامات والتصاميم الصناعية</w:t>
      </w:r>
      <w:r w:rsidRPr="006F4FF2">
        <w:rPr>
          <w:i/>
          <w:iCs/>
          <w:rtl/>
        </w:rPr>
        <w:t>.</w:t>
      </w:r>
      <w:r w:rsidRPr="006F4FF2">
        <w:rPr>
          <w:rFonts w:hint="cs"/>
          <w:i/>
          <w:iCs/>
          <w:rtl/>
        </w:rPr>
        <w:t>"</w:t>
      </w:r>
    </w:p>
    <w:p w14:paraId="24741AEE" w14:textId="77777777" w:rsidR="00143A43" w:rsidRPr="00864FF7" w:rsidRDefault="00143A43" w:rsidP="006F4FF2">
      <w:pPr>
        <w:pStyle w:val="ONUMA"/>
        <w:rPr>
          <w:rtl/>
        </w:rPr>
      </w:pPr>
      <w:r>
        <w:rPr>
          <w:rFonts w:hint="cs"/>
          <w:rtl/>
        </w:rPr>
        <w:t xml:space="preserve"> </w:t>
      </w:r>
      <w:r w:rsidR="000A69E7">
        <w:rPr>
          <w:rFonts w:hint="cs"/>
          <w:rtl/>
        </w:rPr>
        <w:t>و</w:t>
      </w:r>
      <w:r w:rsidR="006F4FF2" w:rsidRPr="006F4FF2">
        <w:rPr>
          <w:rtl/>
        </w:rPr>
        <w:t xml:space="preserve">اجتمعت فرقة العمل المعنية بالتحول الرقمي أثناء قيامها بهذه المهمة </w:t>
      </w:r>
      <w:r w:rsidR="000673BF">
        <w:rPr>
          <w:rFonts w:hint="cs"/>
          <w:rtl/>
        </w:rPr>
        <w:t>افتراضيا</w:t>
      </w:r>
      <w:r w:rsidR="006F4FF2" w:rsidRPr="006F4FF2">
        <w:rPr>
          <w:rtl/>
        </w:rPr>
        <w:t xml:space="preserve"> وأجرت مناقشات على </w:t>
      </w:r>
      <w:r w:rsidR="000673BF">
        <w:rPr>
          <w:rFonts w:hint="cs"/>
          <w:rtl/>
        </w:rPr>
        <w:t>صفحة</w:t>
      </w:r>
      <w:r w:rsidR="006F4FF2" w:rsidRPr="006F4FF2">
        <w:rPr>
          <w:rtl/>
        </w:rPr>
        <w:t xml:space="preserve"> الويكي الخاصة </w:t>
      </w:r>
      <w:r w:rsidR="000673BF">
        <w:rPr>
          <w:rFonts w:hint="cs"/>
          <w:rtl/>
        </w:rPr>
        <w:t>بها</w:t>
      </w:r>
      <w:r w:rsidR="006F4FF2" w:rsidRPr="006F4FF2">
        <w:rPr>
          <w:rtl/>
        </w:rPr>
        <w:t xml:space="preserve">. </w:t>
      </w:r>
      <w:r w:rsidR="00652971">
        <w:rPr>
          <w:rFonts w:hint="cs"/>
          <w:rtl/>
        </w:rPr>
        <w:t>وتُتاح</w:t>
      </w:r>
      <w:r w:rsidR="006F4FF2" w:rsidRPr="006F4FF2">
        <w:rPr>
          <w:rtl/>
        </w:rPr>
        <w:t xml:space="preserve"> المزيد من التفاصيل حول الأنشطة التحضيرية لفرقة العمل في الوثيقة </w:t>
      </w:r>
      <w:r w:rsidR="006F4FF2" w:rsidRPr="006F4FF2">
        <w:t>CWS/11/11</w:t>
      </w:r>
      <w:r w:rsidR="006F4FF2" w:rsidRPr="006F4FF2">
        <w:rPr>
          <w:rtl/>
        </w:rPr>
        <w:t>.</w:t>
      </w:r>
    </w:p>
    <w:p w14:paraId="1539E1EC" w14:textId="77777777" w:rsidR="00143A43" w:rsidRPr="00143A43" w:rsidRDefault="006F4FF2" w:rsidP="00143A43">
      <w:pPr>
        <w:pStyle w:val="Heading2"/>
        <w:rPr>
          <w:rtl/>
        </w:rPr>
      </w:pPr>
      <w:bookmarkStart w:id="5" w:name="_Hlk150422374"/>
      <w:r w:rsidRPr="006F4FF2">
        <w:rPr>
          <w:rtl/>
        </w:rPr>
        <w:t xml:space="preserve">اقتراح معيار جديد </w:t>
      </w:r>
    </w:p>
    <w:p w14:paraId="689CDCD2" w14:textId="77777777" w:rsidR="00B75776" w:rsidRPr="00B75776" w:rsidRDefault="00B75776" w:rsidP="00B75776">
      <w:pPr>
        <w:pStyle w:val="ONUMA"/>
      </w:pPr>
      <w:r w:rsidRPr="00B75776">
        <w:rPr>
          <w:rtl/>
        </w:rPr>
        <w:t xml:space="preserve">تبحث مكاتب الملكية الفكرية حاليًا عن وسيلة لإرسال وثائق الأولوية التي تتضمن قائمة تسلسل </w:t>
      </w:r>
      <w:r w:rsidR="000B0A8B">
        <w:rPr>
          <w:rFonts w:hint="cs"/>
          <w:rtl/>
        </w:rPr>
        <w:t>ب</w:t>
      </w:r>
      <w:r w:rsidRPr="00B75776">
        <w:rPr>
          <w:rtl/>
        </w:rPr>
        <w:t>نسق</w:t>
      </w:r>
      <w:r w:rsidR="00DC06F8">
        <w:rPr>
          <w:rFonts w:hint="cs"/>
          <w:rtl/>
        </w:rPr>
        <w:t xml:space="preserve"> </w:t>
      </w:r>
      <w:r w:rsidR="00DC06F8" w:rsidRPr="00DC06F8">
        <w:rPr>
          <w:rtl/>
        </w:rPr>
        <w:t>لغة الترميز الموسعة</w:t>
      </w:r>
      <w:r w:rsidR="00DC06F8" w:rsidRPr="00DC06F8">
        <w:rPr>
          <w:rFonts w:hint="cs"/>
          <w:rtl/>
        </w:rPr>
        <w:t xml:space="preserve"> </w:t>
      </w:r>
      <w:r w:rsidR="00DC06F8">
        <w:rPr>
          <w:rFonts w:hint="cs"/>
          <w:rtl/>
        </w:rPr>
        <w:t>(</w:t>
      </w:r>
      <w:r w:rsidR="00DC06F8" w:rsidRPr="00B75776">
        <w:t>XML</w:t>
      </w:r>
      <w:r w:rsidR="00DC06F8">
        <w:rPr>
          <w:rFonts w:hint="cs"/>
          <w:rtl/>
        </w:rPr>
        <w:t>) لمعيار</w:t>
      </w:r>
      <w:r w:rsidRPr="00B75776">
        <w:rPr>
          <w:rtl/>
        </w:rPr>
        <w:t xml:space="preserve"> الويبو</w:t>
      </w:r>
      <w:r w:rsidR="00C939AE">
        <w:rPr>
          <w:rFonts w:hint="cs"/>
          <w:rtl/>
        </w:rPr>
        <w:t xml:space="preserve"> </w:t>
      </w:r>
      <w:r w:rsidRPr="00B75776">
        <w:t>ST.</w:t>
      </w:r>
      <w:r w:rsidR="00C939AE" w:rsidRPr="00B75776">
        <w:t>26</w:t>
      </w:r>
      <w:r w:rsidR="00C939AE" w:rsidRPr="00B75776">
        <w:rPr>
          <w:rtl/>
        </w:rPr>
        <w:t>،</w:t>
      </w:r>
      <w:r w:rsidRPr="00B75776">
        <w:rPr>
          <w:rtl/>
        </w:rPr>
        <w:t xml:space="preserve"> عند الطلب، في نسقها الأصلي. </w:t>
      </w:r>
      <w:r w:rsidR="00DC06F8">
        <w:rPr>
          <w:rFonts w:hint="cs"/>
          <w:rtl/>
        </w:rPr>
        <w:t>و</w:t>
      </w:r>
      <w:r w:rsidRPr="00B75776">
        <w:rPr>
          <w:rtl/>
        </w:rPr>
        <w:t>تم التوصل إلى عدة حلول منذ دخول معيار</w:t>
      </w:r>
      <w:r w:rsidR="007913A1">
        <w:rPr>
          <w:rFonts w:hint="cs"/>
          <w:rtl/>
        </w:rPr>
        <w:t xml:space="preserve"> الويبو</w:t>
      </w:r>
      <w:r w:rsidRPr="00B75776">
        <w:rPr>
          <w:rtl/>
        </w:rPr>
        <w:t xml:space="preserve"> </w:t>
      </w:r>
      <w:r w:rsidRPr="00B75776">
        <w:t>ST.26</w:t>
      </w:r>
      <w:r w:rsidRPr="00B75776">
        <w:rPr>
          <w:rtl/>
        </w:rPr>
        <w:t xml:space="preserve"> حيز </w:t>
      </w:r>
      <w:r w:rsidR="00DC06F8">
        <w:rPr>
          <w:rFonts w:hint="cs"/>
          <w:rtl/>
        </w:rPr>
        <w:t>النفاذ</w:t>
      </w:r>
      <w:r w:rsidRPr="00B75776">
        <w:rPr>
          <w:rtl/>
        </w:rPr>
        <w:t xml:space="preserve">، بما في ذلك استخدام </w:t>
      </w:r>
      <w:r w:rsidR="00DC06F8">
        <w:rPr>
          <w:rFonts w:hint="cs"/>
          <w:rtl/>
        </w:rPr>
        <w:t>الأنماط الأسلوبية</w:t>
      </w:r>
      <w:r w:rsidRPr="00B75776">
        <w:rPr>
          <w:rtl/>
        </w:rPr>
        <w:t xml:space="preserve"> </w:t>
      </w:r>
      <w:r w:rsidR="00DC06F8">
        <w:rPr>
          <w:rFonts w:hint="cs"/>
          <w:rtl/>
        </w:rPr>
        <w:t>لتحويل</w:t>
      </w:r>
      <w:r w:rsidRPr="00B75776">
        <w:rPr>
          <w:rtl/>
        </w:rPr>
        <w:t xml:space="preserve"> نسخة</w:t>
      </w:r>
      <w:r w:rsidR="00DC06F8" w:rsidRPr="00DC06F8">
        <w:rPr>
          <w:rtl/>
        </w:rPr>
        <w:t xml:space="preserve"> </w:t>
      </w:r>
      <w:r w:rsidR="00DC06F8">
        <w:rPr>
          <w:rFonts w:hint="cs"/>
          <w:rtl/>
        </w:rPr>
        <w:t>بنسق لغة الترميز الموسعة</w:t>
      </w:r>
      <w:r w:rsidRPr="00B75776">
        <w:rPr>
          <w:rtl/>
        </w:rPr>
        <w:t xml:space="preserve"> </w:t>
      </w:r>
      <w:r w:rsidR="00DC06F8">
        <w:rPr>
          <w:rFonts w:hint="cs"/>
          <w:rtl/>
        </w:rPr>
        <w:t>إلى نسخة بنسق</w:t>
      </w:r>
      <w:r w:rsidR="00DC06F8" w:rsidRPr="00B75776">
        <w:rPr>
          <w:rtl/>
        </w:rPr>
        <w:t xml:space="preserve"> </w:t>
      </w:r>
      <w:r w:rsidR="00DC06F8" w:rsidRPr="00B75776">
        <w:t>PDF</w:t>
      </w:r>
      <w:r w:rsidR="00DC06F8" w:rsidRPr="00B75776">
        <w:rPr>
          <w:rtl/>
        </w:rPr>
        <w:t xml:space="preserve"> </w:t>
      </w:r>
      <w:r w:rsidRPr="00B75776">
        <w:rPr>
          <w:rtl/>
        </w:rPr>
        <w:t>قابلة للقراءة البشرية.</w:t>
      </w:r>
    </w:p>
    <w:p w14:paraId="64D04612" w14:textId="77777777" w:rsidR="00B75776" w:rsidRPr="00B75776" w:rsidRDefault="00BD6F15" w:rsidP="00B75776">
      <w:pPr>
        <w:pStyle w:val="ONUMA"/>
      </w:pPr>
      <w:r>
        <w:rPr>
          <w:rFonts w:hint="cs"/>
          <w:rtl/>
        </w:rPr>
        <w:t>وتوصي</w:t>
      </w:r>
      <w:r w:rsidR="00B75776" w:rsidRPr="00B75776">
        <w:rPr>
          <w:rtl/>
        </w:rPr>
        <w:t xml:space="preserve"> </w:t>
      </w:r>
      <w:r>
        <w:rPr>
          <w:rFonts w:hint="cs"/>
          <w:rtl/>
        </w:rPr>
        <w:t>مسودة</w:t>
      </w:r>
      <w:r w:rsidR="00B75776" w:rsidRPr="00B75776">
        <w:rPr>
          <w:rtl/>
        </w:rPr>
        <w:t xml:space="preserve"> المعيار المقترح، </w:t>
      </w:r>
      <w:r>
        <w:rPr>
          <w:rFonts w:hint="cs"/>
          <w:rtl/>
        </w:rPr>
        <w:t>والتي ترد في مرفق</w:t>
      </w:r>
      <w:r w:rsidR="00B75776" w:rsidRPr="00B75776">
        <w:rPr>
          <w:rtl/>
        </w:rPr>
        <w:t xml:space="preserve"> هذه الوثيقة، </w:t>
      </w:r>
      <w:r>
        <w:rPr>
          <w:rFonts w:hint="cs"/>
          <w:rtl/>
        </w:rPr>
        <w:t>باعتماد نسق</w:t>
      </w:r>
      <w:r w:rsidR="00B75776" w:rsidRPr="00B75776">
        <w:rPr>
          <w:rtl/>
        </w:rPr>
        <w:t xml:space="preserve"> حزمة بيانات لتبادل</w:t>
      </w:r>
      <w:r w:rsidRPr="00BD6F15">
        <w:rPr>
          <w:rtl/>
        </w:rPr>
        <w:t xml:space="preserve"> </w:t>
      </w:r>
      <w:r w:rsidRPr="00B75776">
        <w:rPr>
          <w:rtl/>
        </w:rPr>
        <w:t>وثائق الأولوية</w:t>
      </w:r>
      <w:r w:rsidR="00B75776" w:rsidRPr="00B75776">
        <w:rPr>
          <w:rtl/>
        </w:rPr>
        <w:t xml:space="preserve"> </w:t>
      </w:r>
      <w:r>
        <w:rPr>
          <w:rFonts w:hint="cs"/>
          <w:rtl/>
        </w:rPr>
        <w:t>إلكترونيا</w:t>
      </w:r>
      <w:r w:rsidR="00B75776" w:rsidRPr="00B75776">
        <w:rPr>
          <w:rtl/>
        </w:rPr>
        <w:t>، لكنه يتجاهل عن قصد التفاصيل المتعلقة بوسائل نقل حزمة البيانات.</w:t>
      </w:r>
    </w:p>
    <w:bookmarkEnd w:id="5"/>
    <w:p w14:paraId="251CFBF4" w14:textId="77777777" w:rsidR="00B75776" w:rsidRPr="008E3564" w:rsidRDefault="008E3564" w:rsidP="008E3564">
      <w:pPr>
        <w:pStyle w:val="Heading3"/>
        <w:rPr>
          <w:b/>
          <w:bCs w:val="0"/>
          <w:sz w:val="22"/>
          <w:szCs w:val="22"/>
        </w:rPr>
      </w:pPr>
      <w:r w:rsidRPr="008E3564">
        <w:rPr>
          <w:rFonts w:hint="cs"/>
          <w:b/>
          <w:bCs w:val="0"/>
          <w:sz w:val="22"/>
          <w:szCs w:val="22"/>
          <w:rtl/>
        </w:rPr>
        <w:lastRenderedPageBreak/>
        <w:t>ال</w:t>
      </w:r>
      <w:r w:rsidR="00B75776" w:rsidRPr="008E3564">
        <w:rPr>
          <w:b/>
          <w:bCs w:val="0"/>
          <w:sz w:val="22"/>
          <w:szCs w:val="22"/>
          <w:rtl/>
        </w:rPr>
        <w:t>أهداف</w:t>
      </w:r>
    </w:p>
    <w:p w14:paraId="63FA8A31" w14:textId="77777777" w:rsidR="00B75776" w:rsidRPr="00B75776" w:rsidRDefault="00B75776" w:rsidP="00B75776">
      <w:pPr>
        <w:pStyle w:val="ONUMA"/>
      </w:pPr>
      <w:r w:rsidRPr="00B75776">
        <w:rPr>
          <w:rtl/>
        </w:rPr>
        <w:t xml:space="preserve">يهدف هذا المعيار إلى تقديم توصيات بشأن </w:t>
      </w:r>
      <w:r w:rsidR="009E03C8">
        <w:rPr>
          <w:rFonts w:hint="cs"/>
          <w:rtl/>
        </w:rPr>
        <w:t>نسق</w:t>
      </w:r>
      <w:r w:rsidRPr="00B75776">
        <w:rPr>
          <w:rtl/>
        </w:rPr>
        <w:t xml:space="preserve"> حزمة البيانات </w:t>
      </w:r>
      <w:r w:rsidR="009431B5" w:rsidRPr="009431B5">
        <w:rPr>
          <w:rtl/>
        </w:rPr>
        <w:t xml:space="preserve">لتبادل وثائق الأولوية والوثائق الأخرى ذات الصلة إلكترونيا </w:t>
      </w:r>
      <w:r w:rsidRPr="00B75776">
        <w:rPr>
          <w:rtl/>
        </w:rPr>
        <w:t>وفقا لما يلي:</w:t>
      </w:r>
    </w:p>
    <w:p w14:paraId="1D946FBE" w14:textId="77777777" w:rsidR="00B75776" w:rsidRPr="00B75776" w:rsidRDefault="005D3E92" w:rsidP="008E3564">
      <w:pPr>
        <w:pStyle w:val="ONUMA"/>
        <w:numPr>
          <w:ilvl w:val="0"/>
          <w:numId w:val="35"/>
        </w:numPr>
        <w:ind w:left="850" w:hanging="284"/>
      </w:pPr>
      <w:r>
        <w:rPr>
          <w:rFonts w:hint="cs"/>
          <w:rtl/>
        </w:rPr>
        <w:t xml:space="preserve">البند د-3 من </w:t>
      </w:r>
      <w:r w:rsidR="00B75776" w:rsidRPr="00B75776">
        <w:rPr>
          <w:rtl/>
        </w:rPr>
        <w:t>المادة 4</w:t>
      </w:r>
      <w:r>
        <w:rPr>
          <w:rFonts w:hint="cs"/>
          <w:rtl/>
        </w:rPr>
        <w:t xml:space="preserve"> </w:t>
      </w:r>
      <w:r w:rsidR="00B75776" w:rsidRPr="00B75776">
        <w:rPr>
          <w:rtl/>
        </w:rPr>
        <w:t xml:space="preserve">من اتفاقية باريس لحماية الملكية الصناعية </w:t>
      </w:r>
      <w:r w:rsidR="00445EAF">
        <w:rPr>
          <w:rFonts w:hint="cs"/>
          <w:rtl/>
        </w:rPr>
        <w:t xml:space="preserve">الذي يجيز </w:t>
      </w:r>
      <w:r w:rsidR="00B75776" w:rsidRPr="00B75776">
        <w:rPr>
          <w:rtl/>
        </w:rPr>
        <w:t xml:space="preserve">لدول الاتحاد بأن تطلب </w:t>
      </w:r>
      <w:r w:rsidR="001A4C81">
        <w:rPr>
          <w:rFonts w:hint="cs"/>
          <w:rtl/>
        </w:rPr>
        <w:t>ممن يقدم إقرارا بالأولوية</w:t>
      </w:r>
      <w:r w:rsidR="00B75776" w:rsidRPr="00B75776">
        <w:rPr>
          <w:rtl/>
        </w:rPr>
        <w:t xml:space="preserve"> </w:t>
      </w:r>
      <w:r w:rsidR="001A4C81">
        <w:rPr>
          <w:rFonts w:hint="cs"/>
          <w:rtl/>
        </w:rPr>
        <w:t>أن يورد صورة</w:t>
      </w:r>
      <w:r w:rsidR="00B75776" w:rsidRPr="00B75776">
        <w:rPr>
          <w:rtl/>
        </w:rPr>
        <w:t xml:space="preserve"> من طلب الملكية الصناعية </w:t>
      </w:r>
      <w:r w:rsidR="001A4C81">
        <w:rPr>
          <w:rFonts w:hint="cs"/>
          <w:rtl/>
        </w:rPr>
        <w:t>السابق إيداعه</w:t>
      </w:r>
      <w:r w:rsidR="00B75776" w:rsidRPr="00B75776">
        <w:rPr>
          <w:rtl/>
        </w:rPr>
        <w:t xml:space="preserve">؛ </w:t>
      </w:r>
    </w:p>
    <w:p w14:paraId="628F7BC0" w14:textId="77777777" w:rsidR="00B75776" w:rsidRPr="00B75776" w:rsidRDefault="00B75776" w:rsidP="008E3564">
      <w:pPr>
        <w:pStyle w:val="ONUMA"/>
        <w:numPr>
          <w:ilvl w:val="0"/>
          <w:numId w:val="35"/>
        </w:numPr>
        <w:ind w:left="850" w:hanging="284"/>
      </w:pPr>
      <w:r w:rsidRPr="00B75776">
        <w:rPr>
          <w:rtl/>
        </w:rPr>
        <w:t>التفاهم المتفق عليه بين جمعيتي اتحاد باريس واتحاد معاهدة التعاون بشأن البراءات (معاهدة التعاون بشأن البراءات) في عام 2004</w:t>
      </w:r>
      <w:r w:rsidR="00445EAF">
        <w:rPr>
          <w:rStyle w:val="FootnoteReference"/>
          <w:rtl/>
        </w:rPr>
        <w:footnoteReference w:id="2"/>
      </w:r>
      <w:r w:rsidR="001F0210">
        <w:rPr>
          <w:rFonts w:hint="cs"/>
          <w:rtl/>
        </w:rPr>
        <w:t xml:space="preserve"> </w:t>
      </w:r>
      <w:r w:rsidRPr="00B75776">
        <w:rPr>
          <w:rtl/>
        </w:rPr>
        <w:t xml:space="preserve">والذي يشير، في جملة أمور، إلى أن السلطة المختصة التي تقدم وثيقة الأولوية هي التي تحدد ما يشكل وثيقة أولوية </w:t>
      </w:r>
      <w:r w:rsidR="00B73E7D">
        <w:rPr>
          <w:rFonts w:hint="cs"/>
          <w:rtl/>
        </w:rPr>
        <w:t>معتمدة</w:t>
      </w:r>
      <w:r w:rsidR="004E2B01">
        <w:rPr>
          <w:rFonts w:hint="cs"/>
          <w:rtl/>
        </w:rPr>
        <w:t xml:space="preserve"> وتاريخ إيداعها</w:t>
      </w:r>
      <w:r w:rsidRPr="00B75776">
        <w:rPr>
          <w:rtl/>
        </w:rPr>
        <w:t>، وكيف</w:t>
      </w:r>
      <w:r w:rsidR="004E2B01">
        <w:rPr>
          <w:rFonts w:hint="cs"/>
          <w:rtl/>
        </w:rPr>
        <w:t>ية</w:t>
      </w:r>
      <w:r w:rsidRPr="00B75776">
        <w:rPr>
          <w:rtl/>
        </w:rPr>
        <w:t xml:space="preserve"> </w:t>
      </w:r>
      <w:r w:rsidR="00356725">
        <w:rPr>
          <w:rFonts w:hint="cs"/>
          <w:rtl/>
        </w:rPr>
        <w:t>اعتماد</w:t>
      </w:r>
      <w:r w:rsidRPr="00B75776">
        <w:rPr>
          <w:rtl/>
        </w:rPr>
        <w:t xml:space="preserve"> </w:t>
      </w:r>
      <w:r w:rsidR="00356725">
        <w:rPr>
          <w:rFonts w:hint="cs"/>
          <w:rtl/>
        </w:rPr>
        <w:t>تلك</w:t>
      </w:r>
      <w:r w:rsidRPr="00B75776">
        <w:rPr>
          <w:rtl/>
        </w:rPr>
        <w:t xml:space="preserve"> الوثيقة.</w:t>
      </w:r>
    </w:p>
    <w:p w14:paraId="358B69A4" w14:textId="77777777" w:rsidR="00B75776" w:rsidRPr="00B75776" w:rsidRDefault="00C2796F" w:rsidP="00B75776">
      <w:pPr>
        <w:pStyle w:val="ONUMA"/>
      </w:pPr>
      <w:r>
        <w:rPr>
          <w:rFonts w:hint="cs"/>
          <w:rtl/>
        </w:rPr>
        <w:t>و</w:t>
      </w:r>
      <w:r w:rsidR="00B75776" w:rsidRPr="00B75776">
        <w:rPr>
          <w:rtl/>
        </w:rPr>
        <w:t xml:space="preserve">يهدف هذا المعيار المقترح إلى تحديد </w:t>
      </w:r>
      <w:r>
        <w:rPr>
          <w:rFonts w:hint="cs"/>
          <w:rtl/>
        </w:rPr>
        <w:t>نسق</w:t>
      </w:r>
      <w:r w:rsidR="00B75776" w:rsidRPr="00B75776">
        <w:rPr>
          <w:rtl/>
        </w:rPr>
        <w:t xml:space="preserve"> الحزمة وبنيتها، والمحتويات الإلزامية للحزمة، واصطلاحات تسمية </w:t>
      </w:r>
      <w:r>
        <w:rPr>
          <w:rFonts w:hint="cs"/>
          <w:rtl/>
        </w:rPr>
        <w:t>ا</w:t>
      </w:r>
      <w:r w:rsidR="00B75776" w:rsidRPr="00B75776">
        <w:rPr>
          <w:rtl/>
        </w:rPr>
        <w:t xml:space="preserve">لملفات المضمنة في الحزمة. </w:t>
      </w:r>
      <w:r>
        <w:rPr>
          <w:rFonts w:hint="cs"/>
          <w:rtl/>
        </w:rPr>
        <w:t xml:space="preserve">وتتمثل </w:t>
      </w:r>
      <w:r w:rsidR="00B75776" w:rsidRPr="00B75776">
        <w:rPr>
          <w:rtl/>
        </w:rPr>
        <w:t xml:space="preserve">الأهداف الرئيسية لهذا المعيار </w:t>
      </w:r>
      <w:r>
        <w:rPr>
          <w:rFonts w:hint="cs"/>
          <w:rtl/>
        </w:rPr>
        <w:t>فيما يلي</w:t>
      </w:r>
      <w:r w:rsidR="00B75776" w:rsidRPr="00B75776">
        <w:rPr>
          <w:rtl/>
        </w:rPr>
        <w:t>:</w:t>
      </w:r>
    </w:p>
    <w:p w14:paraId="406079D7" w14:textId="77777777" w:rsidR="00B75776" w:rsidRPr="00B75776" w:rsidRDefault="00B75776" w:rsidP="008E3564">
      <w:pPr>
        <w:pStyle w:val="ONUMA"/>
        <w:numPr>
          <w:ilvl w:val="0"/>
          <w:numId w:val="35"/>
        </w:numPr>
        <w:ind w:left="850" w:hanging="284"/>
      </w:pPr>
      <w:r w:rsidRPr="00B75776">
        <w:rPr>
          <w:rtl/>
        </w:rPr>
        <w:t>السماح ب</w:t>
      </w:r>
      <w:r w:rsidR="00541D5B">
        <w:rPr>
          <w:rFonts w:hint="cs"/>
          <w:rtl/>
        </w:rPr>
        <w:t xml:space="preserve">أن يتم بشكل موحد وفعال تبادل </w:t>
      </w:r>
      <w:r w:rsidRPr="00B75776">
        <w:rPr>
          <w:rtl/>
        </w:rPr>
        <w:t>وثائق الأولوية المعتمدة والوثائق الأخرى ذات الصلة المتعلقة بطلبات البراءات والعلامات التجارية والتص</w:t>
      </w:r>
      <w:r w:rsidR="00541D5B">
        <w:rPr>
          <w:rFonts w:hint="cs"/>
          <w:rtl/>
        </w:rPr>
        <w:t>ا</w:t>
      </w:r>
      <w:r w:rsidRPr="00B75776">
        <w:rPr>
          <w:rtl/>
        </w:rPr>
        <w:t>ميم الصناعية؛</w:t>
      </w:r>
    </w:p>
    <w:p w14:paraId="502F0EF6" w14:textId="77777777" w:rsidR="00B75776" w:rsidRPr="00B75776" w:rsidRDefault="003B59D3" w:rsidP="008E3564">
      <w:pPr>
        <w:pStyle w:val="ONUMA"/>
        <w:numPr>
          <w:ilvl w:val="0"/>
          <w:numId w:val="35"/>
        </w:numPr>
        <w:ind w:left="850" w:hanging="284"/>
      </w:pPr>
      <w:r>
        <w:rPr>
          <w:rFonts w:hint="cs"/>
          <w:rtl/>
        </w:rPr>
        <w:t>و</w:t>
      </w:r>
      <w:r w:rsidR="00B75776" w:rsidRPr="00B75776">
        <w:rPr>
          <w:rtl/>
        </w:rPr>
        <w:t xml:space="preserve">دعم </w:t>
      </w:r>
      <w:r>
        <w:rPr>
          <w:rFonts w:hint="cs"/>
          <w:rtl/>
        </w:rPr>
        <w:t>تبادل تلك</w:t>
      </w:r>
      <w:r w:rsidR="00B75776" w:rsidRPr="00B75776">
        <w:rPr>
          <w:rtl/>
        </w:rPr>
        <w:t xml:space="preserve"> الوثائق ذات الأولوية</w:t>
      </w:r>
      <w:r>
        <w:rPr>
          <w:rFonts w:hint="cs"/>
          <w:rtl/>
        </w:rPr>
        <w:t xml:space="preserve"> بين الأجهزة</w:t>
      </w:r>
      <w:r w:rsidR="00B75776" w:rsidRPr="00B75776">
        <w:rPr>
          <w:rtl/>
        </w:rPr>
        <w:t xml:space="preserve"> </w:t>
      </w:r>
      <w:r>
        <w:rPr>
          <w:rFonts w:hint="cs"/>
          <w:rtl/>
        </w:rPr>
        <w:t>وزيادة مستويات معالجتها آلبا</w:t>
      </w:r>
      <w:r w:rsidR="00B75776" w:rsidRPr="00B75776">
        <w:rPr>
          <w:rtl/>
        </w:rPr>
        <w:t xml:space="preserve">؛ </w:t>
      </w:r>
    </w:p>
    <w:p w14:paraId="385DD5C0" w14:textId="77777777" w:rsidR="00B75776" w:rsidRPr="00B75776" w:rsidRDefault="003B59D3" w:rsidP="008E3564">
      <w:pPr>
        <w:pStyle w:val="ONUMA"/>
        <w:numPr>
          <w:ilvl w:val="0"/>
          <w:numId w:val="35"/>
        </w:numPr>
        <w:ind w:left="850" w:hanging="284"/>
      </w:pPr>
      <w:r>
        <w:rPr>
          <w:rFonts w:hint="cs"/>
          <w:rtl/>
        </w:rPr>
        <w:t>و</w:t>
      </w:r>
      <w:r w:rsidR="00B75776" w:rsidRPr="00B75776">
        <w:rPr>
          <w:rtl/>
        </w:rPr>
        <w:t xml:space="preserve">تحسين معالجة الوثائق من خلال تبادل أنساق النصوص </w:t>
      </w:r>
      <w:r w:rsidR="008A24CC">
        <w:rPr>
          <w:rFonts w:hint="cs"/>
          <w:rtl/>
        </w:rPr>
        <w:t>المهيكلة</w:t>
      </w:r>
      <w:r w:rsidR="00B75776" w:rsidRPr="00B75776">
        <w:rPr>
          <w:rtl/>
        </w:rPr>
        <w:t xml:space="preserve"> مثل قوائم التسلسل المدرجة في وثائق البراءات </w:t>
      </w:r>
      <w:r w:rsidR="008A24CC">
        <w:rPr>
          <w:rFonts w:hint="cs"/>
          <w:rtl/>
        </w:rPr>
        <w:t>بنسق</w:t>
      </w:r>
      <w:r w:rsidR="00B75776" w:rsidRPr="00B75776">
        <w:rPr>
          <w:rtl/>
        </w:rPr>
        <w:t xml:space="preserve"> </w:t>
      </w:r>
      <w:r w:rsidR="008A24CC">
        <w:rPr>
          <w:rFonts w:hint="cs"/>
          <w:rtl/>
        </w:rPr>
        <w:t>لغة الترميز الموسعة</w:t>
      </w:r>
      <w:r w:rsidR="00B75776" w:rsidRPr="00B75776">
        <w:rPr>
          <w:rtl/>
        </w:rPr>
        <w:t xml:space="preserve"> لمعيار الويبو </w:t>
      </w:r>
      <w:r w:rsidR="00B75776" w:rsidRPr="00B75776">
        <w:t>ST.26</w:t>
      </w:r>
      <w:r w:rsidR="00B75776" w:rsidRPr="00B75776">
        <w:rPr>
          <w:rtl/>
        </w:rPr>
        <w:t xml:space="preserve">، </w:t>
      </w:r>
      <w:r w:rsidR="008A24CC">
        <w:rPr>
          <w:rFonts w:hint="cs"/>
          <w:rtl/>
        </w:rPr>
        <w:t>ومتن</w:t>
      </w:r>
      <w:r w:rsidR="00B75776" w:rsidRPr="00B75776">
        <w:rPr>
          <w:rtl/>
        </w:rPr>
        <w:t xml:space="preserve"> الطلب والبيانات الببليوغرافية </w:t>
      </w:r>
      <w:r w:rsidR="0091713E">
        <w:rPr>
          <w:rFonts w:hint="cs"/>
          <w:rtl/>
        </w:rPr>
        <w:t>بأنساق</w:t>
      </w:r>
      <w:r w:rsidR="00B75776" w:rsidRPr="00B75776">
        <w:rPr>
          <w:rtl/>
        </w:rPr>
        <w:t xml:space="preserve"> </w:t>
      </w:r>
      <w:r w:rsidR="0091713E">
        <w:rPr>
          <w:rFonts w:hint="cs"/>
          <w:rtl/>
        </w:rPr>
        <w:t>معايير</w:t>
      </w:r>
      <w:r w:rsidR="00B75776" w:rsidRPr="00B75776">
        <w:rPr>
          <w:rtl/>
        </w:rPr>
        <w:t xml:space="preserve"> الويبو </w:t>
      </w:r>
      <w:r w:rsidR="00B75776" w:rsidRPr="00B75776">
        <w:t>ST.36</w:t>
      </w:r>
      <w:r w:rsidR="00B75776" w:rsidRPr="00B75776">
        <w:rPr>
          <w:rtl/>
        </w:rPr>
        <w:t xml:space="preserve"> و</w:t>
      </w:r>
      <w:r w:rsidR="00B75776" w:rsidRPr="00B75776">
        <w:t>ST.96</w:t>
      </w:r>
      <w:r w:rsidR="00B75776" w:rsidRPr="00B75776">
        <w:rPr>
          <w:rtl/>
        </w:rPr>
        <w:t xml:space="preserve"> و</w:t>
      </w:r>
      <w:r w:rsidR="00B75776" w:rsidRPr="00B75776">
        <w:t>ST. 97</w:t>
      </w:r>
      <w:r w:rsidR="00B75776" w:rsidRPr="00B75776">
        <w:rPr>
          <w:rtl/>
        </w:rPr>
        <w:t>.</w:t>
      </w:r>
    </w:p>
    <w:p w14:paraId="02DDED30" w14:textId="77777777" w:rsidR="00B75776" w:rsidRPr="00682DB4" w:rsidRDefault="00682DB4" w:rsidP="00682DB4">
      <w:pPr>
        <w:pStyle w:val="Heading3"/>
        <w:rPr>
          <w:b/>
          <w:bCs w:val="0"/>
          <w:sz w:val="22"/>
          <w:szCs w:val="22"/>
        </w:rPr>
      </w:pPr>
      <w:r>
        <w:rPr>
          <w:rFonts w:hint="cs"/>
          <w:b/>
          <w:bCs w:val="0"/>
          <w:sz w:val="22"/>
          <w:szCs w:val="22"/>
          <w:rtl/>
        </w:rPr>
        <w:t>ال</w:t>
      </w:r>
      <w:r w:rsidR="00B75776" w:rsidRPr="00682DB4">
        <w:rPr>
          <w:b/>
          <w:bCs w:val="0"/>
          <w:sz w:val="22"/>
          <w:szCs w:val="22"/>
          <w:rtl/>
        </w:rPr>
        <w:t>نِطَاق</w:t>
      </w:r>
    </w:p>
    <w:p w14:paraId="16E0F407" w14:textId="77777777" w:rsidR="00B75776" w:rsidRPr="00B75776" w:rsidRDefault="008F28F6" w:rsidP="00B75776">
      <w:pPr>
        <w:pStyle w:val="ONUMA"/>
      </w:pPr>
      <w:r>
        <w:rPr>
          <w:rFonts w:hint="cs"/>
          <w:rtl/>
        </w:rPr>
        <w:t xml:space="preserve">يتسم </w:t>
      </w:r>
      <w:r w:rsidR="00B75776" w:rsidRPr="00B75776">
        <w:rPr>
          <w:rtl/>
        </w:rPr>
        <w:t xml:space="preserve">المعيار </w:t>
      </w:r>
      <w:r>
        <w:rPr>
          <w:rFonts w:hint="cs"/>
          <w:rtl/>
        </w:rPr>
        <w:t>بالحيادية</w:t>
      </w:r>
      <w:r w:rsidR="00B75776" w:rsidRPr="00B75776">
        <w:rPr>
          <w:rtl/>
        </w:rPr>
        <w:t xml:space="preserve"> فيما يتعلق بطريقة النقل المستخدمة </w:t>
      </w:r>
      <w:r>
        <w:rPr>
          <w:rFonts w:hint="cs"/>
          <w:rtl/>
        </w:rPr>
        <w:t>في ا</w:t>
      </w:r>
      <w:r w:rsidR="00B75776" w:rsidRPr="00B75776">
        <w:rPr>
          <w:rtl/>
        </w:rPr>
        <w:t xml:space="preserve">لتبادل. بل إنه يحدد نوع البيانات </w:t>
      </w:r>
      <w:r>
        <w:rPr>
          <w:rFonts w:hint="cs"/>
          <w:rtl/>
        </w:rPr>
        <w:t>وأنساق</w:t>
      </w:r>
      <w:r w:rsidR="00B75776" w:rsidRPr="00B75776">
        <w:rPr>
          <w:rtl/>
        </w:rPr>
        <w:t xml:space="preserve"> الملفات التي </w:t>
      </w:r>
      <w:r>
        <w:rPr>
          <w:rFonts w:hint="cs"/>
          <w:rtl/>
        </w:rPr>
        <w:t>ستُدرج</w:t>
      </w:r>
      <w:r w:rsidR="00B75776" w:rsidRPr="00B75776">
        <w:rPr>
          <w:rtl/>
        </w:rPr>
        <w:t xml:space="preserve"> في الحزمة، وبنية هذه الحزمة واصطلاحات التسمية. وبخلاف المكونات التي يشار إليها على أنها إلزامية وفقا للتوصيات، يحدد مكتب </w:t>
      </w:r>
      <w:r w:rsidR="0041388D">
        <w:rPr>
          <w:rFonts w:hint="cs"/>
          <w:rtl/>
        </w:rPr>
        <w:t>الاعتماد</w:t>
      </w:r>
      <w:r w:rsidR="00B75776" w:rsidRPr="00B75776">
        <w:rPr>
          <w:rtl/>
        </w:rPr>
        <w:t xml:space="preserve"> ما </w:t>
      </w:r>
      <w:r>
        <w:rPr>
          <w:rFonts w:hint="cs"/>
          <w:rtl/>
        </w:rPr>
        <w:t>سيُدرج</w:t>
      </w:r>
      <w:r w:rsidR="00B75776" w:rsidRPr="00B75776">
        <w:rPr>
          <w:rtl/>
        </w:rPr>
        <w:t xml:space="preserve"> في حزمة البيانات </w:t>
      </w:r>
      <w:r>
        <w:rPr>
          <w:rFonts w:hint="cs"/>
          <w:rtl/>
        </w:rPr>
        <w:t>تلك</w:t>
      </w:r>
      <w:r w:rsidR="00B75776" w:rsidRPr="00B75776">
        <w:rPr>
          <w:rtl/>
        </w:rPr>
        <w:t>.</w:t>
      </w:r>
    </w:p>
    <w:p w14:paraId="4EFE5CC1" w14:textId="77777777" w:rsidR="00B75776" w:rsidRPr="00B75776" w:rsidRDefault="0027412D" w:rsidP="00B75776">
      <w:pPr>
        <w:pStyle w:val="ONUMA"/>
      </w:pPr>
      <w:r>
        <w:rPr>
          <w:rFonts w:hint="cs"/>
          <w:rtl/>
        </w:rPr>
        <w:t>وفيما يلي هيكلة</w:t>
      </w:r>
      <w:r w:rsidR="00B75776" w:rsidRPr="00B75776">
        <w:rPr>
          <w:rtl/>
        </w:rPr>
        <w:t xml:space="preserve"> المعيار المقترح:</w:t>
      </w:r>
    </w:p>
    <w:p w14:paraId="0F39290A" w14:textId="77777777" w:rsidR="00B75776" w:rsidRPr="00B75776" w:rsidRDefault="00FB39FE" w:rsidP="00EF3C0D">
      <w:pPr>
        <w:pStyle w:val="ONUMA"/>
        <w:numPr>
          <w:ilvl w:val="0"/>
          <w:numId w:val="35"/>
        </w:numPr>
        <w:ind w:left="850" w:hanging="284"/>
      </w:pPr>
      <w:r w:rsidRPr="00FB39FE">
        <w:rPr>
          <w:rFonts w:hint="cs"/>
          <w:u w:val="single"/>
          <w:rtl/>
        </w:rPr>
        <w:t>المتن</w:t>
      </w:r>
      <w:r w:rsidR="00B75776" w:rsidRPr="00FB39FE">
        <w:rPr>
          <w:u w:val="single"/>
          <w:rtl/>
        </w:rPr>
        <w:t xml:space="preserve"> الرئيسي</w:t>
      </w:r>
      <w:r w:rsidR="00B75776" w:rsidRPr="00B75776">
        <w:rPr>
          <w:rtl/>
        </w:rPr>
        <w:t>: يحدد بنية حزمة البيانات واصطلاحات التسمية؛</w:t>
      </w:r>
    </w:p>
    <w:p w14:paraId="1EE81EB4" w14:textId="77777777" w:rsidR="00B75776" w:rsidRPr="00B75776" w:rsidRDefault="00C82566" w:rsidP="00EF3C0D">
      <w:pPr>
        <w:pStyle w:val="ONUMA"/>
        <w:numPr>
          <w:ilvl w:val="0"/>
          <w:numId w:val="35"/>
        </w:numPr>
        <w:ind w:left="850" w:hanging="284"/>
      </w:pPr>
      <w:r w:rsidRPr="00C82566">
        <w:rPr>
          <w:rFonts w:hint="cs"/>
          <w:u w:val="single"/>
          <w:rtl/>
        </w:rPr>
        <w:t>المرفق</w:t>
      </w:r>
      <w:r w:rsidR="00B75776" w:rsidRPr="00C82566">
        <w:rPr>
          <w:u w:val="single"/>
          <w:rtl/>
        </w:rPr>
        <w:t xml:space="preserve"> الأول</w:t>
      </w:r>
      <w:r w:rsidR="00B75776" w:rsidRPr="00B75776">
        <w:rPr>
          <w:rtl/>
        </w:rPr>
        <w:t xml:space="preserve">: يقدم نموذجاً </w:t>
      </w:r>
      <w:r>
        <w:rPr>
          <w:rFonts w:hint="cs"/>
          <w:rtl/>
        </w:rPr>
        <w:t xml:space="preserve">من </w:t>
      </w:r>
      <w:r w:rsidR="00B75776" w:rsidRPr="00B75776">
        <w:rPr>
          <w:rtl/>
        </w:rPr>
        <w:t>عينة حزمة بيانات</w:t>
      </w:r>
      <w:r>
        <w:rPr>
          <w:rFonts w:hint="cs"/>
          <w:rtl/>
        </w:rPr>
        <w:t xml:space="preserve"> المتضمنة في</w:t>
      </w:r>
      <w:r w:rsidR="00B75776" w:rsidRPr="00B75776">
        <w:rPr>
          <w:rtl/>
        </w:rPr>
        <w:t xml:space="preserve"> وثيقة الأولوية </w:t>
      </w:r>
      <w:r>
        <w:rPr>
          <w:rFonts w:hint="cs"/>
          <w:rtl/>
        </w:rPr>
        <w:t xml:space="preserve">على شكل </w:t>
      </w:r>
      <w:r w:rsidR="00B75776" w:rsidRPr="00B75776">
        <w:rPr>
          <w:rtl/>
        </w:rPr>
        <w:t>جدول</w:t>
      </w:r>
      <w:r>
        <w:rPr>
          <w:rFonts w:hint="cs"/>
          <w:rtl/>
        </w:rPr>
        <w:t>،</w:t>
      </w:r>
      <w:r w:rsidR="00B75776" w:rsidRPr="00B75776">
        <w:rPr>
          <w:rtl/>
        </w:rPr>
        <w:t xml:space="preserve"> و</w:t>
      </w:r>
      <w:r>
        <w:rPr>
          <w:rFonts w:hint="cs"/>
          <w:rtl/>
        </w:rPr>
        <w:t xml:space="preserve">ترد </w:t>
      </w:r>
      <w:r w:rsidR="00B75776" w:rsidRPr="00B75776">
        <w:rPr>
          <w:rtl/>
        </w:rPr>
        <w:t xml:space="preserve">في ملحق </w:t>
      </w:r>
      <w:r>
        <w:rPr>
          <w:rFonts w:hint="cs"/>
          <w:rtl/>
        </w:rPr>
        <w:t>المرفق</w:t>
      </w:r>
      <w:r w:rsidR="00B75776" w:rsidRPr="00B75776">
        <w:rPr>
          <w:rtl/>
        </w:rPr>
        <w:t xml:space="preserve"> الأول نفس المعلومات </w:t>
      </w:r>
      <w:r>
        <w:rPr>
          <w:rFonts w:hint="cs"/>
          <w:rtl/>
        </w:rPr>
        <w:t>في</w:t>
      </w:r>
      <w:r w:rsidR="00B75776" w:rsidRPr="00B75776">
        <w:rPr>
          <w:rtl/>
        </w:rPr>
        <w:t xml:space="preserve"> شكل هيكل </w:t>
      </w:r>
      <w:r>
        <w:rPr>
          <w:rFonts w:hint="cs"/>
          <w:rtl/>
        </w:rPr>
        <w:t>شجرة</w:t>
      </w:r>
      <w:r w:rsidR="00B75776" w:rsidRPr="00B75776">
        <w:rPr>
          <w:rtl/>
        </w:rPr>
        <w:t>؛</w:t>
      </w:r>
    </w:p>
    <w:p w14:paraId="49EEB076" w14:textId="77777777" w:rsidR="00B75776" w:rsidRPr="00B75776" w:rsidRDefault="00B6779D" w:rsidP="00EF3C0D">
      <w:pPr>
        <w:pStyle w:val="ONUMA"/>
        <w:numPr>
          <w:ilvl w:val="0"/>
          <w:numId w:val="35"/>
        </w:numPr>
        <w:ind w:left="850" w:hanging="284"/>
      </w:pPr>
      <w:r w:rsidRPr="00B6779D">
        <w:rPr>
          <w:rFonts w:hint="cs"/>
          <w:u w:val="single"/>
          <w:rtl/>
        </w:rPr>
        <w:t>المرفق الثاني</w:t>
      </w:r>
      <w:r w:rsidR="00B75776" w:rsidRPr="00B75776">
        <w:rPr>
          <w:rtl/>
        </w:rPr>
        <w:t xml:space="preserve">: </w:t>
      </w:r>
      <w:r w:rsidR="00F91B3A">
        <w:rPr>
          <w:rFonts w:hint="cs"/>
          <w:rtl/>
        </w:rPr>
        <w:t>يقدم</w:t>
      </w:r>
      <w:r w:rsidR="00B75776" w:rsidRPr="00B75776">
        <w:rPr>
          <w:rtl/>
        </w:rPr>
        <w:t xml:space="preserve"> تعريف</w:t>
      </w:r>
      <w:r w:rsidR="00F91B3A">
        <w:rPr>
          <w:rFonts w:hint="cs"/>
          <w:rtl/>
        </w:rPr>
        <w:t>ا</w:t>
      </w:r>
      <w:r w:rsidR="00B75776" w:rsidRPr="00B75776">
        <w:rPr>
          <w:rtl/>
        </w:rPr>
        <w:t xml:space="preserve"> </w:t>
      </w:r>
      <w:r w:rsidR="00F91B3A">
        <w:rPr>
          <w:rFonts w:hint="cs"/>
          <w:rtl/>
        </w:rPr>
        <w:t>ل</w:t>
      </w:r>
      <w:r w:rsidR="00B75776" w:rsidRPr="00B75776">
        <w:rPr>
          <w:rtl/>
        </w:rPr>
        <w:t xml:space="preserve">مخطط </w:t>
      </w:r>
      <w:r w:rsidR="00F91B3A">
        <w:rPr>
          <w:rFonts w:hint="cs"/>
          <w:rtl/>
        </w:rPr>
        <w:t>لغة الترميز الموسعة</w:t>
      </w:r>
      <w:r w:rsidR="00B75776" w:rsidRPr="00B75776">
        <w:rPr>
          <w:rtl/>
        </w:rPr>
        <w:t xml:space="preserve"> </w:t>
      </w:r>
      <w:r w:rsidR="00F91B3A">
        <w:rPr>
          <w:rFonts w:hint="cs"/>
          <w:rtl/>
        </w:rPr>
        <w:t xml:space="preserve">فيما يخص </w:t>
      </w:r>
      <w:r w:rsidR="00B75776" w:rsidRPr="00B75776">
        <w:rPr>
          <w:rtl/>
        </w:rPr>
        <w:t>ملف فهرس الأولوية</w:t>
      </w:r>
      <w:r w:rsidR="00F677AB">
        <w:rPr>
          <w:rFonts w:hint="cs"/>
          <w:rtl/>
        </w:rPr>
        <w:t>،</w:t>
      </w:r>
      <w:r w:rsidR="00B75776" w:rsidRPr="00B75776">
        <w:rPr>
          <w:rtl/>
        </w:rPr>
        <w:t xml:space="preserve"> و</w:t>
      </w:r>
      <w:r w:rsidR="00F677AB">
        <w:rPr>
          <w:rFonts w:hint="cs"/>
          <w:rtl/>
        </w:rPr>
        <w:t xml:space="preserve">يرد </w:t>
      </w:r>
      <w:r w:rsidR="00B75776" w:rsidRPr="00B75776">
        <w:rPr>
          <w:rtl/>
        </w:rPr>
        <w:t xml:space="preserve">في ملحق </w:t>
      </w:r>
      <w:r w:rsidR="003C2DB9">
        <w:rPr>
          <w:rFonts w:hint="cs"/>
          <w:rtl/>
        </w:rPr>
        <w:t>المرفق</w:t>
      </w:r>
      <w:r w:rsidR="00B75776" w:rsidRPr="00B75776">
        <w:rPr>
          <w:rtl/>
        </w:rPr>
        <w:t xml:space="preserve"> </w:t>
      </w:r>
      <w:r w:rsidR="003C2DB9">
        <w:rPr>
          <w:rFonts w:hint="cs"/>
          <w:rtl/>
        </w:rPr>
        <w:t>الثاني</w:t>
      </w:r>
      <w:r w:rsidR="00B75776" w:rsidRPr="00B75776">
        <w:rPr>
          <w:rtl/>
        </w:rPr>
        <w:t xml:space="preserve"> </w:t>
      </w:r>
      <w:r w:rsidR="00F677AB">
        <w:rPr>
          <w:rFonts w:hint="cs"/>
          <w:rtl/>
        </w:rPr>
        <w:t>نموذج عن لغة الترميز الموسعة</w:t>
      </w:r>
      <w:r w:rsidR="00B75776" w:rsidRPr="00B75776">
        <w:rPr>
          <w:rtl/>
        </w:rPr>
        <w:t>.</w:t>
      </w:r>
    </w:p>
    <w:p w14:paraId="64F48D3C" w14:textId="77777777" w:rsidR="00B75776" w:rsidRPr="00B75776" w:rsidRDefault="007913A1" w:rsidP="00B75776">
      <w:pPr>
        <w:pStyle w:val="ONUMA"/>
      </w:pPr>
      <w:r>
        <w:rPr>
          <w:rFonts w:hint="cs"/>
          <w:rtl/>
        </w:rPr>
        <w:t>و</w:t>
      </w:r>
      <w:r w:rsidR="00B75776" w:rsidRPr="00B75776">
        <w:rPr>
          <w:rtl/>
        </w:rPr>
        <w:t>يُقترح الاسم التالي لمعيار الويبو الجديد:</w:t>
      </w:r>
    </w:p>
    <w:p w14:paraId="14DB25FE" w14:textId="77777777" w:rsidR="00143A43" w:rsidRDefault="00B75776" w:rsidP="00CE37F1">
      <w:pPr>
        <w:pStyle w:val="ONUMA"/>
        <w:numPr>
          <w:ilvl w:val="0"/>
          <w:numId w:val="0"/>
        </w:numPr>
        <w:ind w:left="567"/>
        <w:rPr>
          <w:rtl/>
        </w:rPr>
      </w:pPr>
      <w:r w:rsidRPr="00B75776">
        <w:rPr>
          <w:rtl/>
        </w:rPr>
        <w:t xml:space="preserve">"معيار الويبو </w:t>
      </w:r>
      <w:r w:rsidRPr="00B75776">
        <w:t>ST.92</w:t>
      </w:r>
      <w:r w:rsidRPr="00B75776">
        <w:rPr>
          <w:rtl/>
        </w:rPr>
        <w:t xml:space="preserve"> - </w:t>
      </w:r>
      <w:r w:rsidR="00CE37F1" w:rsidRPr="00CE37F1">
        <w:rPr>
          <w:rtl/>
        </w:rPr>
        <w:t>توصيات بشأن نسق حزمة البيانات من أجل التبادل الإلكتروني لوثائق الأولوية والنسخ المعتمدة.</w:t>
      </w:r>
      <w:r w:rsidRPr="00B75776">
        <w:rPr>
          <w:rtl/>
        </w:rPr>
        <w:t>"</w:t>
      </w:r>
    </w:p>
    <w:p w14:paraId="364D4A08" w14:textId="77777777" w:rsidR="00152158" w:rsidRPr="00143A43" w:rsidRDefault="00152158" w:rsidP="00152158">
      <w:pPr>
        <w:pStyle w:val="Heading2"/>
        <w:rPr>
          <w:rtl/>
        </w:rPr>
      </w:pPr>
      <w:r w:rsidRPr="00152158">
        <w:rPr>
          <w:rtl/>
        </w:rPr>
        <w:t>تنفيذ معيار الويبو الجديد</w:t>
      </w:r>
      <w:r w:rsidRPr="006F4FF2">
        <w:rPr>
          <w:rtl/>
        </w:rPr>
        <w:t xml:space="preserve"> </w:t>
      </w:r>
    </w:p>
    <w:p w14:paraId="4E1DD6B1" w14:textId="77777777" w:rsidR="00B77C5C" w:rsidRDefault="00B77C5C" w:rsidP="00B77C5C">
      <w:pPr>
        <w:pStyle w:val="ONUMA"/>
      </w:pPr>
      <w:r>
        <w:rPr>
          <w:rtl/>
        </w:rPr>
        <w:t>بمجرد أن تعتمد لجنة المعايير معيار الويبو الجديد المقترح، ينبغي لمكاتب الملكية الفكرية أن تنظر في تنفيذ المعيار. و</w:t>
      </w:r>
      <w:r w:rsidR="00E9080A">
        <w:rPr>
          <w:rFonts w:hint="cs"/>
          <w:rtl/>
        </w:rPr>
        <w:t>ت</w:t>
      </w:r>
      <w:r>
        <w:rPr>
          <w:rtl/>
        </w:rPr>
        <w:t xml:space="preserve">قترح </w:t>
      </w:r>
      <w:r w:rsidR="00E9080A">
        <w:rPr>
          <w:rFonts w:hint="cs"/>
          <w:rtl/>
        </w:rPr>
        <w:t>الهيئة المشرفة على</w:t>
      </w:r>
      <w:r>
        <w:rPr>
          <w:rtl/>
        </w:rPr>
        <w:t xml:space="preserve"> فرقة العمل والمكتب الدولي نهجًا تدريجيًا يتضمن "</w:t>
      </w:r>
      <w:r w:rsidR="00E9080A">
        <w:rPr>
          <w:rFonts w:hint="cs"/>
          <w:rtl/>
        </w:rPr>
        <w:t>مرحلة أفول</w:t>
      </w:r>
      <w:r>
        <w:rPr>
          <w:rtl/>
        </w:rPr>
        <w:t xml:space="preserve">" بحلول نهاية عام 2025، مما يسمح لكل مكتب </w:t>
      </w:r>
      <w:r w:rsidR="001F1186">
        <w:rPr>
          <w:rFonts w:hint="cs"/>
          <w:rtl/>
        </w:rPr>
        <w:t>من مكاتب ا</w:t>
      </w:r>
      <w:r>
        <w:rPr>
          <w:rtl/>
        </w:rPr>
        <w:t xml:space="preserve">لملكية الفكرية بإكمال تنفيذ المعيار الجديد بالوتيرة التي تناسبه. </w:t>
      </w:r>
      <w:r w:rsidR="001F1186">
        <w:rPr>
          <w:rFonts w:hint="cs"/>
          <w:rtl/>
        </w:rPr>
        <w:t>و</w:t>
      </w:r>
      <w:r>
        <w:rPr>
          <w:rtl/>
        </w:rPr>
        <w:t xml:space="preserve">اعتبارًا من 1 يناير 2026، يُقترح أن يقبل </w:t>
      </w:r>
      <w:r w:rsidR="001F1186">
        <w:rPr>
          <w:rFonts w:hint="cs"/>
          <w:rtl/>
        </w:rPr>
        <w:t>مكتب الملكية الفكرية</w:t>
      </w:r>
      <w:r>
        <w:rPr>
          <w:rtl/>
        </w:rPr>
        <w:t xml:space="preserve"> ويقدم وثائق الأولوية المتوافقة فقط مع هذا المعيار.</w:t>
      </w:r>
    </w:p>
    <w:p w14:paraId="69C23092" w14:textId="77777777" w:rsidR="00B77C5C" w:rsidRDefault="001F1186" w:rsidP="00B77C5C">
      <w:pPr>
        <w:pStyle w:val="ONUMA"/>
      </w:pPr>
      <w:r>
        <w:rPr>
          <w:rFonts w:hint="cs"/>
          <w:rtl/>
        </w:rPr>
        <w:t>و</w:t>
      </w:r>
      <w:r w:rsidR="00B77C5C">
        <w:rPr>
          <w:rtl/>
        </w:rPr>
        <w:t>فيما يتعلق بتنفيذ المعيار ضمن خدمة الويبو للنفاذ الرقمي (</w:t>
      </w:r>
      <w:r w:rsidR="00B77C5C">
        <w:t>DAS</w:t>
      </w:r>
      <w:r w:rsidR="00B77C5C">
        <w:rPr>
          <w:rtl/>
        </w:rPr>
        <w:t xml:space="preserve">)، يخطط المكتب الدولي لقبول وتقديم وثائق الأولوية المتوافقة مع المعيار الجديد اعتبارًا من 1 يوليو 2024، بالتوازي مع </w:t>
      </w:r>
      <w:r>
        <w:rPr>
          <w:rFonts w:hint="cs"/>
          <w:rtl/>
        </w:rPr>
        <w:t>النسق</w:t>
      </w:r>
      <w:r w:rsidR="00B77C5C">
        <w:rPr>
          <w:rtl/>
        </w:rPr>
        <w:t xml:space="preserve"> الحالي، </w:t>
      </w:r>
      <w:r>
        <w:rPr>
          <w:rFonts w:hint="cs"/>
          <w:rtl/>
        </w:rPr>
        <w:t>مع</w:t>
      </w:r>
      <w:r w:rsidR="00B77C5C">
        <w:rPr>
          <w:rtl/>
        </w:rPr>
        <w:t xml:space="preserve"> استكمال </w:t>
      </w:r>
      <w:r>
        <w:rPr>
          <w:rFonts w:hint="cs"/>
          <w:rtl/>
        </w:rPr>
        <w:t>الانتقال إليه</w:t>
      </w:r>
      <w:r w:rsidR="00B77C5C">
        <w:rPr>
          <w:rtl/>
        </w:rPr>
        <w:t xml:space="preserve"> بحلول نهاية عام 2025. واعتبارًا من 1 يناير 2026، تخطط </w:t>
      </w:r>
      <w:r w:rsidR="008D21B3" w:rsidRPr="008D21B3">
        <w:rPr>
          <w:rtl/>
        </w:rPr>
        <w:t xml:space="preserve">خدمة الويبو للنفاذ الرقمي </w:t>
      </w:r>
      <w:r w:rsidR="00B77C5C">
        <w:rPr>
          <w:rtl/>
        </w:rPr>
        <w:t xml:space="preserve">لقبول وتقديم وثائق الأولوية المتوافقة مع هذا المعيار فقط مع </w:t>
      </w:r>
      <w:r w:rsidR="00B77C5C">
        <w:rPr>
          <w:rtl/>
        </w:rPr>
        <w:lastRenderedPageBreak/>
        <w:t>مراعاة "</w:t>
      </w:r>
      <w:r w:rsidR="008D21B3">
        <w:rPr>
          <w:rFonts w:hint="cs"/>
          <w:rtl/>
        </w:rPr>
        <w:t>مرحلة الأفول</w:t>
      </w:r>
      <w:r w:rsidR="00B77C5C">
        <w:rPr>
          <w:rtl/>
        </w:rPr>
        <w:t xml:space="preserve">" المقترحة في الفقرة 11 أعلاه. وينبغي مناقشة المزيد من التفاصيل التقنية بشأن تنفيذ المعيار المقترح في </w:t>
      </w:r>
      <w:r w:rsidR="008D21B3" w:rsidRPr="008D21B3">
        <w:rPr>
          <w:rtl/>
        </w:rPr>
        <w:t xml:space="preserve">خدمة الويبو للنفاذ الرقمي </w:t>
      </w:r>
      <w:r w:rsidR="00B77C5C">
        <w:rPr>
          <w:rtl/>
        </w:rPr>
        <w:t xml:space="preserve">بشكل منفصل بين مكاتب الملكية الفكرية المشاركة في </w:t>
      </w:r>
      <w:r w:rsidR="008D21B3">
        <w:rPr>
          <w:rFonts w:hint="cs"/>
          <w:rtl/>
        </w:rPr>
        <w:t>تلك الخدمة</w:t>
      </w:r>
      <w:r w:rsidR="00B77C5C">
        <w:rPr>
          <w:rtl/>
        </w:rPr>
        <w:t>.</w:t>
      </w:r>
    </w:p>
    <w:p w14:paraId="59CE3CEF" w14:textId="77777777" w:rsidR="00B77C5C" w:rsidRDefault="00B77C5C" w:rsidP="00400EE4">
      <w:pPr>
        <w:pStyle w:val="Heading2"/>
      </w:pPr>
      <w:r>
        <w:rPr>
          <w:rtl/>
        </w:rPr>
        <w:t>اقتراح مراجعة المهمة رقم</w:t>
      </w:r>
      <w:r w:rsidR="00400EE4">
        <w:rPr>
          <w:rFonts w:hint="cs"/>
          <w:rtl/>
        </w:rPr>
        <w:t xml:space="preserve"> </w:t>
      </w:r>
      <w:r>
        <w:rPr>
          <w:rtl/>
        </w:rPr>
        <w:t>65</w:t>
      </w:r>
    </w:p>
    <w:p w14:paraId="58048C3E" w14:textId="77777777" w:rsidR="00B77C5C" w:rsidRDefault="00B77C5C" w:rsidP="00B77C5C">
      <w:pPr>
        <w:pStyle w:val="ONUMA"/>
      </w:pPr>
      <w:r>
        <w:rPr>
          <w:rtl/>
        </w:rPr>
        <w:t xml:space="preserve">بمجرد اعتماد لجنة معايير المعايير الجديدة المقترحة بشأن حزمة بيانات وثائق الأولوية المعتمدة، ينبغي اعتبار المهمة رقم 65 مكتملة، </w:t>
      </w:r>
      <w:r w:rsidR="00783507">
        <w:rPr>
          <w:rFonts w:hint="cs"/>
          <w:rtl/>
        </w:rPr>
        <w:t>وستكون فرقة العمل المعنية</w:t>
      </w:r>
      <w:r>
        <w:rPr>
          <w:rtl/>
        </w:rPr>
        <w:t xml:space="preserve"> </w:t>
      </w:r>
      <w:r w:rsidR="00783507">
        <w:rPr>
          <w:rFonts w:hint="cs"/>
          <w:rtl/>
        </w:rPr>
        <w:t>ب</w:t>
      </w:r>
      <w:r>
        <w:rPr>
          <w:rtl/>
        </w:rPr>
        <w:t>التحول الرقمي قد اختتم</w:t>
      </w:r>
      <w:r w:rsidR="00845079">
        <w:rPr>
          <w:rFonts w:hint="cs"/>
          <w:rtl/>
        </w:rPr>
        <w:t>ت</w:t>
      </w:r>
      <w:r>
        <w:rPr>
          <w:rtl/>
        </w:rPr>
        <w:t xml:space="preserve"> عمله</w:t>
      </w:r>
      <w:r w:rsidR="00845079">
        <w:rPr>
          <w:rFonts w:hint="cs"/>
          <w:rtl/>
        </w:rPr>
        <w:t>ا</w:t>
      </w:r>
      <w:r>
        <w:rPr>
          <w:rtl/>
        </w:rPr>
        <w:t xml:space="preserve"> في هذه المهمة بنجاح. </w:t>
      </w:r>
      <w:r w:rsidR="00845079">
        <w:rPr>
          <w:rFonts w:hint="cs"/>
          <w:rtl/>
        </w:rPr>
        <w:t>و</w:t>
      </w:r>
      <w:r>
        <w:rPr>
          <w:rtl/>
        </w:rPr>
        <w:t xml:space="preserve">عند تنفيذ المعيار الجديد، قد تتطلب مكاتب الملكية الفكرية إدخال بعض التحسينات على معيار الويبو </w:t>
      </w:r>
      <w:r>
        <w:t>ST.92</w:t>
      </w:r>
      <w:r>
        <w:rPr>
          <w:rtl/>
        </w:rPr>
        <w:t>. ولذلك يقترح تعديل وصف المهمة رقم 65 على النحو التالي:</w:t>
      </w:r>
    </w:p>
    <w:p w14:paraId="4185042F" w14:textId="3E8EFFC4" w:rsidR="00152158" w:rsidRPr="00B75776" w:rsidRDefault="00B77C5C" w:rsidP="00783507">
      <w:pPr>
        <w:pStyle w:val="ONUMA"/>
        <w:numPr>
          <w:ilvl w:val="0"/>
          <w:numId w:val="0"/>
        </w:numPr>
        <w:ind w:left="567"/>
      </w:pPr>
      <w:r>
        <w:rPr>
          <w:rtl/>
        </w:rPr>
        <w:t>"</w:t>
      </w:r>
      <w:r w:rsidR="00845079">
        <w:rPr>
          <w:rFonts w:hint="cs"/>
          <w:rtl/>
        </w:rPr>
        <w:t>ضمان إدخال التعديلات</w:t>
      </w:r>
      <w:r>
        <w:rPr>
          <w:rtl/>
        </w:rPr>
        <w:t xml:space="preserve"> والتحديثات اللازمة </w:t>
      </w:r>
      <w:r w:rsidR="00845079">
        <w:rPr>
          <w:rFonts w:hint="cs"/>
          <w:rtl/>
        </w:rPr>
        <w:t xml:space="preserve">على </w:t>
      </w:r>
      <w:r>
        <w:rPr>
          <w:rtl/>
        </w:rPr>
        <w:t xml:space="preserve">معيار الويبو </w:t>
      </w:r>
      <w:r>
        <w:t>ST.92</w:t>
      </w:r>
      <w:r>
        <w:rPr>
          <w:rtl/>
        </w:rPr>
        <w:t xml:space="preserve"> ودعم مكاتب الملكية الفكرية في تنفيذها للمعيار قبل نهاية عام 2024"</w:t>
      </w:r>
    </w:p>
    <w:p w14:paraId="26FE5ADD" w14:textId="77777777" w:rsidR="00152158" w:rsidRDefault="00152158" w:rsidP="00CE37F1">
      <w:pPr>
        <w:pStyle w:val="ONUMA"/>
        <w:numPr>
          <w:ilvl w:val="0"/>
          <w:numId w:val="0"/>
        </w:numPr>
        <w:ind w:left="567"/>
        <w:rPr>
          <w:rtl/>
        </w:rPr>
      </w:pPr>
    </w:p>
    <w:p w14:paraId="06F09752" w14:textId="77777777" w:rsidR="00143A43" w:rsidRDefault="00143A43" w:rsidP="00143A43">
      <w:pPr>
        <w:rPr>
          <w:i/>
          <w:rtl/>
        </w:rPr>
      </w:pPr>
    </w:p>
    <w:p w14:paraId="56E9DFC2" w14:textId="77777777" w:rsidR="00143A43" w:rsidRPr="00EE06A6" w:rsidRDefault="00143A43" w:rsidP="00EE06A6">
      <w:pPr>
        <w:pStyle w:val="ONUMA"/>
        <w:ind w:left="5527"/>
        <w:rPr>
          <w:i/>
          <w:iCs/>
          <w:rtl/>
        </w:rPr>
      </w:pPr>
      <w:r w:rsidRPr="00EE06A6">
        <w:rPr>
          <w:rFonts w:hint="cs"/>
          <w:i/>
          <w:iCs/>
          <w:rtl/>
        </w:rPr>
        <w:t>إن لجنة المعايير مدعوّة إلى:</w:t>
      </w:r>
    </w:p>
    <w:p w14:paraId="6539ED71" w14:textId="77777777" w:rsidR="006D7531" w:rsidRPr="006D7531" w:rsidRDefault="000E2AA8" w:rsidP="00EE06A6">
      <w:pPr>
        <w:pStyle w:val="ListParagraph"/>
        <w:widowControl w:val="0"/>
        <w:numPr>
          <w:ilvl w:val="0"/>
          <w:numId w:val="31"/>
        </w:numPr>
        <w:autoSpaceDE w:val="0"/>
        <w:autoSpaceDN w:val="0"/>
        <w:spacing w:after="240"/>
        <w:ind w:left="5527" w:right="488" w:firstLine="567"/>
        <w:contextualSpacing w:val="0"/>
        <w:rPr>
          <w:i/>
          <w:iCs/>
        </w:rPr>
      </w:pPr>
      <w:r>
        <w:rPr>
          <w:rFonts w:hint="cs"/>
          <w:i/>
          <w:iCs/>
          <w:rtl/>
        </w:rPr>
        <w:t>النظر في</w:t>
      </w:r>
      <w:r w:rsidR="006D7531" w:rsidRPr="006D7531">
        <w:rPr>
          <w:i/>
          <w:iCs/>
          <w:rtl/>
        </w:rPr>
        <w:t xml:space="preserve"> محتوى هذه الوثيقة ومرفق</w:t>
      </w:r>
      <w:r>
        <w:rPr>
          <w:rFonts w:hint="cs"/>
          <w:i/>
          <w:iCs/>
          <w:rtl/>
        </w:rPr>
        <w:t>ها</w:t>
      </w:r>
      <w:r w:rsidR="006D7531" w:rsidRPr="006D7531">
        <w:rPr>
          <w:i/>
          <w:iCs/>
          <w:rtl/>
        </w:rPr>
        <w:t>؛</w:t>
      </w:r>
    </w:p>
    <w:p w14:paraId="7A56EB54" w14:textId="77777777" w:rsidR="006D7531" w:rsidRPr="006D7531" w:rsidRDefault="00415868" w:rsidP="00EE06A6">
      <w:pPr>
        <w:pStyle w:val="ListParagraph"/>
        <w:widowControl w:val="0"/>
        <w:numPr>
          <w:ilvl w:val="0"/>
          <w:numId w:val="31"/>
        </w:numPr>
        <w:autoSpaceDE w:val="0"/>
        <w:autoSpaceDN w:val="0"/>
        <w:spacing w:after="240"/>
        <w:ind w:left="5527" w:right="488" w:firstLine="567"/>
        <w:contextualSpacing w:val="0"/>
        <w:rPr>
          <w:i/>
          <w:iCs/>
        </w:rPr>
      </w:pPr>
      <w:r>
        <w:rPr>
          <w:rFonts w:hint="cs"/>
          <w:i/>
          <w:iCs/>
          <w:rtl/>
        </w:rPr>
        <w:t>و</w:t>
      </w:r>
      <w:r w:rsidR="006D7531" w:rsidRPr="006D7531">
        <w:rPr>
          <w:i/>
          <w:iCs/>
          <w:rtl/>
        </w:rPr>
        <w:t xml:space="preserve">النظر في اسم المعيار المقترح "معيار الويبو </w:t>
      </w:r>
      <w:r w:rsidR="006D7531" w:rsidRPr="006D7531">
        <w:rPr>
          <w:i/>
          <w:iCs/>
        </w:rPr>
        <w:t>ST.92</w:t>
      </w:r>
      <w:r w:rsidR="006D7531" w:rsidRPr="006D7531">
        <w:rPr>
          <w:i/>
          <w:iCs/>
          <w:rtl/>
        </w:rPr>
        <w:t xml:space="preserve"> - </w:t>
      </w:r>
      <w:r w:rsidR="000E2AA8" w:rsidRPr="000E2AA8">
        <w:rPr>
          <w:i/>
          <w:iCs/>
          <w:rtl/>
        </w:rPr>
        <w:t>توصيات بشأن نسق حزمة البيانات من أجل التبادل الإلكتروني لوثائق الأولوية والنسخ المعتمدة</w:t>
      </w:r>
      <w:r w:rsidR="006D7531" w:rsidRPr="006D7531">
        <w:rPr>
          <w:i/>
          <w:iCs/>
          <w:rtl/>
        </w:rPr>
        <w:t>"، على النحو المشار إليه في الفقرة 10 أعلاه والموافقة عليه؛</w:t>
      </w:r>
    </w:p>
    <w:p w14:paraId="738EE934" w14:textId="77777777" w:rsidR="006D7531" w:rsidRPr="006D7531" w:rsidRDefault="00415868" w:rsidP="00EE06A6">
      <w:pPr>
        <w:pStyle w:val="ListParagraph"/>
        <w:widowControl w:val="0"/>
        <w:numPr>
          <w:ilvl w:val="0"/>
          <w:numId w:val="31"/>
        </w:numPr>
        <w:autoSpaceDE w:val="0"/>
        <w:autoSpaceDN w:val="0"/>
        <w:spacing w:after="240"/>
        <w:ind w:left="5527" w:right="488" w:firstLine="567"/>
        <w:contextualSpacing w:val="0"/>
        <w:rPr>
          <w:i/>
          <w:iCs/>
        </w:rPr>
      </w:pPr>
      <w:r>
        <w:rPr>
          <w:rFonts w:hint="cs"/>
          <w:i/>
          <w:iCs/>
          <w:rtl/>
        </w:rPr>
        <w:t>و</w:t>
      </w:r>
      <w:r w:rsidR="006D7531" w:rsidRPr="006D7531">
        <w:rPr>
          <w:i/>
          <w:iCs/>
          <w:rtl/>
        </w:rPr>
        <w:t xml:space="preserve">النظر في معيار الويبو </w:t>
      </w:r>
      <w:r w:rsidR="006D7531" w:rsidRPr="006D7531">
        <w:rPr>
          <w:i/>
          <w:iCs/>
        </w:rPr>
        <w:t>ST.92</w:t>
      </w:r>
      <w:r w:rsidR="006D7531" w:rsidRPr="006D7531">
        <w:rPr>
          <w:i/>
          <w:iCs/>
          <w:rtl/>
        </w:rPr>
        <w:t xml:space="preserve"> الجديد واعتماده على النحو المشار إليه في الفقرات من 8 إلى 9 أعلاه وعلى النحو الوارد في مرفق هذه الوثيقة؛</w:t>
      </w:r>
    </w:p>
    <w:p w14:paraId="4C955B1D" w14:textId="77777777" w:rsidR="006D7531" w:rsidRPr="006D7531" w:rsidRDefault="00415868" w:rsidP="00EE06A6">
      <w:pPr>
        <w:pStyle w:val="ListParagraph"/>
        <w:widowControl w:val="0"/>
        <w:numPr>
          <w:ilvl w:val="0"/>
          <w:numId w:val="31"/>
        </w:numPr>
        <w:autoSpaceDE w:val="0"/>
        <w:autoSpaceDN w:val="0"/>
        <w:spacing w:after="240"/>
        <w:ind w:left="5527" w:right="488" w:firstLine="567"/>
        <w:contextualSpacing w:val="0"/>
        <w:rPr>
          <w:i/>
          <w:iCs/>
        </w:rPr>
      </w:pPr>
      <w:r>
        <w:rPr>
          <w:rFonts w:hint="cs"/>
          <w:i/>
          <w:iCs/>
          <w:rtl/>
        </w:rPr>
        <w:t>و</w:t>
      </w:r>
      <w:r w:rsidR="006D7531" w:rsidRPr="006D7531">
        <w:rPr>
          <w:i/>
          <w:iCs/>
          <w:rtl/>
        </w:rPr>
        <w:t xml:space="preserve">النظر في خطة التنفيذ على النحو المشار إليه في الفقرتين 11 و12 أعلاه والموافقة عليها؛ </w:t>
      </w:r>
    </w:p>
    <w:p w14:paraId="18D53EAE" w14:textId="77777777" w:rsidR="00143A43" w:rsidRPr="003D7E2C" w:rsidRDefault="00415868" w:rsidP="00EE06A6">
      <w:pPr>
        <w:pStyle w:val="ListParagraph"/>
        <w:widowControl w:val="0"/>
        <w:numPr>
          <w:ilvl w:val="0"/>
          <w:numId w:val="31"/>
        </w:numPr>
        <w:autoSpaceDE w:val="0"/>
        <w:autoSpaceDN w:val="0"/>
        <w:spacing w:after="240"/>
        <w:ind w:left="5527" w:right="488" w:firstLine="567"/>
        <w:contextualSpacing w:val="0"/>
        <w:rPr>
          <w:i/>
          <w:iCs/>
          <w:rtl/>
        </w:rPr>
      </w:pPr>
      <w:r>
        <w:rPr>
          <w:rFonts w:hint="cs"/>
          <w:i/>
          <w:iCs/>
          <w:rtl/>
        </w:rPr>
        <w:t>و</w:t>
      </w:r>
      <w:r w:rsidR="006D7531" w:rsidRPr="006D7531">
        <w:rPr>
          <w:i/>
          <w:iCs/>
          <w:rtl/>
        </w:rPr>
        <w:t xml:space="preserve">النظر </w:t>
      </w:r>
      <w:r>
        <w:rPr>
          <w:rFonts w:hint="cs"/>
          <w:i/>
          <w:iCs/>
          <w:rtl/>
        </w:rPr>
        <w:t xml:space="preserve">في </w:t>
      </w:r>
      <w:r w:rsidR="006D7531" w:rsidRPr="006D7531">
        <w:rPr>
          <w:i/>
          <w:iCs/>
          <w:rtl/>
        </w:rPr>
        <w:t>تعديل المهمة رقم 65 كما هو مبين في الفقرة 13 أعلاه</w:t>
      </w:r>
      <w:r w:rsidRPr="00415868">
        <w:rPr>
          <w:i/>
          <w:iCs/>
          <w:rtl/>
        </w:rPr>
        <w:t xml:space="preserve"> </w:t>
      </w:r>
      <w:r w:rsidRPr="006D7531">
        <w:rPr>
          <w:i/>
          <w:iCs/>
          <w:rtl/>
        </w:rPr>
        <w:t>والموافقة عل</w:t>
      </w:r>
      <w:r>
        <w:rPr>
          <w:rFonts w:hint="cs"/>
          <w:i/>
          <w:iCs/>
          <w:rtl/>
        </w:rPr>
        <w:t>يه</w:t>
      </w:r>
      <w:r w:rsidR="00143A43">
        <w:rPr>
          <w:rFonts w:hint="cs"/>
          <w:i/>
          <w:iCs/>
          <w:rtl/>
        </w:rPr>
        <w:t>.</w:t>
      </w:r>
    </w:p>
    <w:p w14:paraId="47D25634" w14:textId="77777777" w:rsidR="00143A43" w:rsidRDefault="00143A43" w:rsidP="00143A43">
      <w:pPr>
        <w:pStyle w:val="ListParagraph"/>
        <w:ind w:left="5530"/>
        <w:jc w:val="center"/>
        <w:rPr>
          <w:rtl/>
        </w:rPr>
      </w:pPr>
    </w:p>
    <w:p w14:paraId="6B41DD2F" w14:textId="77777777" w:rsidR="00143A43" w:rsidRPr="00143A43" w:rsidRDefault="00143A43" w:rsidP="00143A43">
      <w:pPr>
        <w:pStyle w:val="Endofdocument-Annex"/>
        <w:rPr>
          <w:i/>
          <w:rtl/>
        </w:rPr>
      </w:pPr>
      <w:r>
        <w:rPr>
          <w:rFonts w:hint="cs"/>
          <w:rtl/>
        </w:rPr>
        <w:t>[يلي ذلك المرفق]</w:t>
      </w:r>
    </w:p>
    <w:sectPr w:rsidR="00143A43" w:rsidRPr="00143A43" w:rsidSect="00CC3E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395EE" w14:textId="77777777" w:rsidR="007553E7" w:rsidRDefault="007553E7">
      <w:r>
        <w:separator/>
      </w:r>
    </w:p>
  </w:endnote>
  <w:endnote w:type="continuationSeparator" w:id="0">
    <w:p w14:paraId="3EC188B5" w14:textId="77777777" w:rsidR="007553E7" w:rsidRDefault="007553E7" w:rsidP="003B38C1">
      <w:r>
        <w:separator/>
      </w:r>
    </w:p>
    <w:p w14:paraId="21A66D0F" w14:textId="77777777" w:rsidR="007553E7" w:rsidRPr="003B38C1" w:rsidRDefault="007553E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801AE7D" w14:textId="77777777" w:rsidR="007553E7" w:rsidRPr="003B38C1" w:rsidRDefault="007553E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D90B" w14:textId="77777777" w:rsidR="00EE06A6" w:rsidRDefault="00EE06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50802" w14:textId="77777777" w:rsidR="00EE06A6" w:rsidRDefault="00EE06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7CAB2" w14:textId="77777777" w:rsidR="00EE06A6" w:rsidRDefault="00EE0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27C16" w14:textId="77777777" w:rsidR="007553E7" w:rsidRDefault="007553E7">
      <w:r>
        <w:separator/>
      </w:r>
    </w:p>
  </w:footnote>
  <w:footnote w:type="continuationSeparator" w:id="0">
    <w:p w14:paraId="6E0CD390" w14:textId="77777777" w:rsidR="007553E7" w:rsidRDefault="007553E7" w:rsidP="008B60B2">
      <w:r>
        <w:separator/>
      </w:r>
    </w:p>
    <w:p w14:paraId="7D1D2748" w14:textId="77777777" w:rsidR="007553E7" w:rsidRPr="00ED77FB" w:rsidRDefault="007553E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3F3ECFB" w14:textId="77777777" w:rsidR="007553E7" w:rsidRPr="00ED77FB" w:rsidRDefault="007553E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2D0FA030" w14:textId="77777777" w:rsidR="00445EAF" w:rsidRDefault="00445EAF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445EAF">
        <w:rPr>
          <w:rtl/>
        </w:rPr>
        <w:t xml:space="preserve">انظر الفقرة 9 من الوثيقة </w:t>
      </w:r>
      <w:r w:rsidRPr="00445EAF">
        <w:t>A/40/6</w:t>
      </w:r>
      <w:r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0A85" w14:textId="77777777" w:rsidR="00EE06A6" w:rsidRDefault="00EE06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2FB5D" w14:textId="77777777" w:rsidR="00D07C78" w:rsidRPr="002326AB" w:rsidRDefault="00FE5D75" w:rsidP="007969D1">
    <w:pPr>
      <w:bidi w:val="0"/>
      <w:rPr>
        <w:caps/>
      </w:rPr>
    </w:pPr>
    <w:r>
      <w:rPr>
        <w:caps/>
      </w:rPr>
      <w:t>CWS</w:t>
    </w:r>
    <w:r w:rsidR="00250149">
      <w:rPr>
        <w:caps/>
      </w:rPr>
      <w:t>/</w:t>
    </w:r>
    <w:r w:rsidR="00E15F75">
      <w:rPr>
        <w:caps/>
      </w:rPr>
      <w:t>11</w:t>
    </w:r>
    <w:r w:rsidR="00250149">
      <w:rPr>
        <w:caps/>
      </w:rPr>
      <w:t>/</w:t>
    </w:r>
    <w:r w:rsidR="00C939AE">
      <w:rPr>
        <w:caps/>
      </w:rPr>
      <w:t>20</w:t>
    </w:r>
  </w:p>
  <w:p w14:paraId="35220104" w14:textId="77777777"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87243D">
      <w:rPr>
        <w:noProof/>
      </w:rPr>
      <w:t>3</w:t>
    </w:r>
    <w:r>
      <w:fldChar w:fldCharType="end"/>
    </w:r>
  </w:p>
  <w:p w14:paraId="748DD562" w14:textId="77777777" w:rsidR="00D07C78" w:rsidRDefault="00D07C78" w:rsidP="00210D5F">
    <w:pPr>
      <w:bidi w:val="0"/>
    </w:pPr>
  </w:p>
  <w:p w14:paraId="00401621" w14:textId="77777777" w:rsidR="00D07C78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F20AF" w14:textId="77777777" w:rsidR="00EE06A6" w:rsidRDefault="00EE06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6650FB"/>
    <w:multiLevelType w:val="hybridMultilevel"/>
    <w:tmpl w:val="DA78CB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30C02"/>
    <w:multiLevelType w:val="hybridMultilevel"/>
    <w:tmpl w:val="9A461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8B3D68"/>
    <w:multiLevelType w:val="hybridMultilevel"/>
    <w:tmpl w:val="E04E90D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0C70E7"/>
    <w:multiLevelType w:val="hybridMultilevel"/>
    <w:tmpl w:val="811CA0D4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  <w:b w:val="0"/>
        <w:strike w:val="0"/>
        <w:color w:val="auto"/>
        <w:sz w:val="22"/>
        <w:szCs w:val="2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95AD9"/>
    <w:multiLevelType w:val="hybridMultilevel"/>
    <w:tmpl w:val="6E9A9A90"/>
    <w:lvl w:ilvl="0" w:tplc="5AAE2C2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23E94AE6"/>
    <w:multiLevelType w:val="multilevel"/>
    <w:tmpl w:val="176CC856"/>
    <w:lvl w:ilvl="0">
      <w:start w:val="1"/>
      <w:numFmt w:val="bullet"/>
      <w:lvlText w:val="−"/>
      <w:lvlJc w:val="left"/>
      <w:pPr>
        <w:ind w:left="567" w:firstLine="0"/>
      </w:pPr>
      <w:rPr>
        <w:rFonts w:ascii="Times New Roman" w:eastAsia="DejaVu Sans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  <w:lang w:val="en-US"/>
      </w:rPr>
    </w:lvl>
    <w:lvl w:ilvl="1">
      <w:start w:val="1"/>
      <w:numFmt w:val="arabicAbjad"/>
      <w:lvlText w:val="(%2)"/>
      <w:lvlJc w:val="left"/>
      <w:pPr>
        <w:ind w:left="1134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2268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2268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835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5103" w:firstLine="0"/>
      </w:pPr>
      <w:rPr>
        <w:rFonts w:hint="default"/>
      </w:rPr>
    </w:lvl>
  </w:abstractNum>
  <w:abstractNum w:abstractNumId="10" w15:restartNumberingAfterBreak="0">
    <w:nsid w:val="2E077CC9"/>
    <w:multiLevelType w:val="hybridMultilevel"/>
    <w:tmpl w:val="FDA2BEE6"/>
    <w:lvl w:ilvl="0" w:tplc="B5B69CE8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C735C3"/>
    <w:multiLevelType w:val="hybridMultilevel"/>
    <w:tmpl w:val="C220E612"/>
    <w:lvl w:ilvl="0" w:tplc="533824A8">
      <w:start w:val="1"/>
      <w:numFmt w:val="arabicAlpha"/>
      <w:lvlText w:val="(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851AC8"/>
    <w:multiLevelType w:val="hybridMultilevel"/>
    <w:tmpl w:val="BA9098E2"/>
    <w:lvl w:ilvl="0" w:tplc="9B9AEF30">
      <w:start w:val="1"/>
      <w:numFmt w:val="arabicAbjad"/>
      <w:lvlText w:val="(%1)"/>
      <w:lvlJc w:val="left"/>
      <w:pPr>
        <w:ind w:left="720" w:hanging="360"/>
      </w:pPr>
      <w:rPr>
        <w:rFonts w:asciiTheme="minorHAnsi" w:eastAsia="Arial" w:hAnsiTheme="minorHAnsi" w:cstheme="minorHAnsi" w:hint="default"/>
        <w:color w:val="auto"/>
        <w:spacing w:val="-1"/>
        <w:w w:val="99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90CFF"/>
    <w:multiLevelType w:val="hybridMultilevel"/>
    <w:tmpl w:val="8390AA42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5" w15:restartNumberingAfterBreak="0">
    <w:nsid w:val="3F683FE3"/>
    <w:multiLevelType w:val="hybridMultilevel"/>
    <w:tmpl w:val="4EEE9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23AB3"/>
    <w:multiLevelType w:val="hybridMultilevel"/>
    <w:tmpl w:val="E786B1F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0A73FF"/>
    <w:multiLevelType w:val="hybridMultilevel"/>
    <w:tmpl w:val="6378755A"/>
    <w:lvl w:ilvl="0" w:tplc="9E20BBF6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7DA3EAA"/>
    <w:multiLevelType w:val="hybridMultilevel"/>
    <w:tmpl w:val="30161D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B94212"/>
    <w:multiLevelType w:val="hybridMultilevel"/>
    <w:tmpl w:val="BD8C314A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DF5788"/>
    <w:multiLevelType w:val="hybridMultilevel"/>
    <w:tmpl w:val="3CA6FAFA"/>
    <w:lvl w:ilvl="0" w:tplc="669848F8">
      <w:start w:val="1"/>
      <w:numFmt w:val="arabicAlpha"/>
      <w:lvlText w:val="(%1)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C50665"/>
    <w:multiLevelType w:val="hybridMultilevel"/>
    <w:tmpl w:val="FDA06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2B7CA7"/>
    <w:multiLevelType w:val="hybridMultilevel"/>
    <w:tmpl w:val="51AA377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5FD25130"/>
    <w:multiLevelType w:val="hybridMultilevel"/>
    <w:tmpl w:val="91BC472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957AC6"/>
    <w:multiLevelType w:val="hybridMultilevel"/>
    <w:tmpl w:val="3CE444C6"/>
    <w:lvl w:ilvl="0" w:tplc="4CF825E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C84356"/>
    <w:multiLevelType w:val="hybridMultilevel"/>
    <w:tmpl w:val="E43ED76A"/>
    <w:lvl w:ilvl="0" w:tplc="7AF46518">
      <w:start w:val="1"/>
      <w:numFmt w:val="arabicAbjad"/>
      <w:lvlText w:val="(%1)"/>
      <w:lvlJc w:val="left"/>
      <w:pPr>
        <w:ind w:left="5630" w:hanging="576"/>
      </w:pPr>
      <w:rPr>
        <w:rFonts w:asciiTheme="minorHAnsi" w:eastAsia="Arial" w:hAnsiTheme="minorHAnsi" w:cstheme="minorHAnsi" w:hint="default"/>
        <w:i/>
        <w:color w:val="auto"/>
        <w:spacing w:val="-1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6660" w:hanging="360"/>
      </w:pPr>
    </w:lvl>
    <w:lvl w:ilvl="2" w:tplc="0409001B" w:tentative="1">
      <w:start w:val="1"/>
      <w:numFmt w:val="lowerRoman"/>
      <w:lvlText w:val="%3."/>
      <w:lvlJc w:val="right"/>
      <w:pPr>
        <w:ind w:left="7380" w:hanging="180"/>
      </w:pPr>
    </w:lvl>
    <w:lvl w:ilvl="3" w:tplc="0409000F" w:tentative="1">
      <w:start w:val="1"/>
      <w:numFmt w:val="decimal"/>
      <w:lvlText w:val="%4."/>
      <w:lvlJc w:val="left"/>
      <w:pPr>
        <w:ind w:left="8100" w:hanging="360"/>
      </w:pPr>
    </w:lvl>
    <w:lvl w:ilvl="4" w:tplc="04090019" w:tentative="1">
      <w:start w:val="1"/>
      <w:numFmt w:val="lowerLetter"/>
      <w:lvlText w:val="%5."/>
      <w:lvlJc w:val="left"/>
      <w:pPr>
        <w:ind w:left="8820" w:hanging="360"/>
      </w:pPr>
    </w:lvl>
    <w:lvl w:ilvl="5" w:tplc="0409001B" w:tentative="1">
      <w:start w:val="1"/>
      <w:numFmt w:val="lowerRoman"/>
      <w:lvlText w:val="%6."/>
      <w:lvlJc w:val="right"/>
      <w:pPr>
        <w:ind w:left="9540" w:hanging="180"/>
      </w:pPr>
    </w:lvl>
    <w:lvl w:ilvl="6" w:tplc="0409000F" w:tentative="1">
      <w:start w:val="1"/>
      <w:numFmt w:val="decimal"/>
      <w:lvlText w:val="%7."/>
      <w:lvlJc w:val="left"/>
      <w:pPr>
        <w:ind w:left="10260" w:hanging="360"/>
      </w:pPr>
    </w:lvl>
    <w:lvl w:ilvl="7" w:tplc="04090019" w:tentative="1">
      <w:start w:val="1"/>
      <w:numFmt w:val="lowerLetter"/>
      <w:lvlText w:val="%8."/>
      <w:lvlJc w:val="left"/>
      <w:pPr>
        <w:ind w:left="10980" w:hanging="360"/>
      </w:pPr>
    </w:lvl>
    <w:lvl w:ilvl="8" w:tplc="0409001B" w:tentative="1">
      <w:start w:val="1"/>
      <w:numFmt w:val="lowerRoman"/>
      <w:lvlText w:val="%9."/>
      <w:lvlJc w:val="right"/>
      <w:pPr>
        <w:ind w:left="11700" w:hanging="180"/>
      </w:pPr>
    </w:lvl>
  </w:abstractNum>
  <w:abstractNum w:abstractNumId="29" w15:restartNumberingAfterBreak="0">
    <w:nsid w:val="6DA92C3E"/>
    <w:multiLevelType w:val="hybridMultilevel"/>
    <w:tmpl w:val="766684B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B10E47"/>
    <w:multiLevelType w:val="hybridMultilevel"/>
    <w:tmpl w:val="5DC4C026"/>
    <w:lvl w:ilvl="0" w:tplc="4FD074E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4A0617"/>
    <w:multiLevelType w:val="hybridMultilevel"/>
    <w:tmpl w:val="7FA8F634"/>
    <w:lvl w:ilvl="0" w:tplc="9E20BBF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A71F1D"/>
    <w:multiLevelType w:val="hybridMultilevel"/>
    <w:tmpl w:val="5DC4C026"/>
    <w:lvl w:ilvl="0" w:tplc="4FD074E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374A85"/>
    <w:multiLevelType w:val="hybridMultilevel"/>
    <w:tmpl w:val="00D8A3F0"/>
    <w:lvl w:ilvl="0" w:tplc="C3FC3E24">
      <w:start w:val="1"/>
      <w:numFmt w:val="arabicAbjad"/>
      <w:lvlText w:val="(%1)"/>
      <w:lvlJc w:val="left"/>
      <w:pPr>
        <w:ind w:left="720" w:hanging="360"/>
      </w:pPr>
      <w:rPr>
        <w:rFonts w:asciiTheme="minorHAnsi" w:eastAsia="Arial" w:hAnsiTheme="minorHAnsi" w:cstheme="minorHAnsi" w:hint="default"/>
        <w:color w:val="auto"/>
        <w:spacing w:val="-1"/>
        <w:w w:val="99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460660">
    <w:abstractNumId w:val="4"/>
  </w:num>
  <w:num w:numId="2" w16cid:durableId="1461804429">
    <w:abstractNumId w:val="18"/>
  </w:num>
  <w:num w:numId="3" w16cid:durableId="1939017263">
    <w:abstractNumId w:val="0"/>
  </w:num>
  <w:num w:numId="4" w16cid:durableId="872809720">
    <w:abstractNumId w:val="21"/>
  </w:num>
  <w:num w:numId="5" w16cid:durableId="374741850">
    <w:abstractNumId w:val="1"/>
  </w:num>
  <w:num w:numId="6" w16cid:durableId="787238300">
    <w:abstractNumId w:val="8"/>
  </w:num>
  <w:num w:numId="7" w16cid:durableId="956982504">
    <w:abstractNumId w:val="25"/>
  </w:num>
  <w:num w:numId="8" w16cid:durableId="639192739">
    <w:abstractNumId w:val="14"/>
  </w:num>
  <w:num w:numId="9" w16cid:durableId="130371217">
    <w:abstractNumId w:val="15"/>
  </w:num>
  <w:num w:numId="10" w16cid:durableId="246967835">
    <w:abstractNumId w:val="19"/>
  </w:num>
  <w:num w:numId="11" w16cid:durableId="1791125394">
    <w:abstractNumId w:val="24"/>
  </w:num>
  <w:num w:numId="12" w16cid:durableId="1082604431">
    <w:abstractNumId w:val="20"/>
  </w:num>
  <w:num w:numId="13" w16cid:durableId="583537162">
    <w:abstractNumId w:val="26"/>
  </w:num>
  <w:num w:numId="14" w16cid:durableId="1776168181">
    <w:abstractNumId w:val="5"/>
  </w:num>
  <w:num w:numId="15" w16cid:durableId="2009677215">
    <w:abstractNumId w:val="13"/>
  </w:num>
  <w:num w:numId="16" w16cid:durableId="1554198095">
    <w:abstractNumId w:val="2"/>
  </w:num>
  <w:num w:numId="17" w16cid:durableId="1642953426">
    <w:abstractNumId w:val="16"/>
  </w:num>
  <w:num w:numId="18" w16cid:durableId="510606355">
    <w:abstractNumId w:val="22"/>
  </w:num>
  <w:num w:numId="19" w16cid:durableId="39326601">
    <w:abstractNumId w:val="7"/>
  </w:num>
  <w:num w:numId="20" w16cid:durableId="1828395883">
    <w:abstractNumId w:val="27"/>
  </w:num>
  <w:num w:numId="21" w16cid:durableId="1867404476">
    <w:abstractNumId w:val="10"/>
  </w:num>
  <w:num w:numId="22" w16cid:durableId="1107655201">
    <w:abstractNumId w:val="29"/>
  </w:num>
  <w:num w:numId="23" w16cid:durableId="679238236">
    <w:abstractNumId w:val="17"/>
  </w:num>
  <w:num w:numId="24" w16cid:durableId="256597755">
    <w:abstractNumId w:val="23"/>
  </w:num>
  <w:num w:numId="25" w16cid:durableId="196896331">
    <w:abstractNumId w:val="31"/>
  </w:num>
  <w:num w:numId="26" w16cid:durableId="776753388">
    <w:abstractNumId w:val="3"/>
  </w:num>
  <w:num w:numId="27" w16cid:durableId="1004891748">
    <w:abstractNumId w:val="11"/>
  </w:num>
  <w:num w:numId="28" w16cid:durableId="1778718406">
    <w:abstractNumId w:val="30"/>
  </w:num>
  <w:num w:numId="29" w16cid:durableId="2005814184">
    <w:abstractNumId w:val="32"/>
  </w:num>
  <w:num w:numId="30" w16cid:durableId="752047088">
    <w:abstractNumId w:val="6"/>
  </w:num>
  <w:num w:numId="31" w16cid:durableId="700402729">
    <w:abstractNumId w:val="28"/>
  </w:num>
  <w:num w:numId="32" w16cid:durableId="561256471">
    <w:abstractNumId w:val="12"/>
  </w:num>
  <w:num w:numId="33" w16cid:durableId="686446599">
    <w:abstractNumId w:val="33"/>
  </w:num>
  <w:num w:numId="34" w16cid:durableId="796029933">
    <w:abstractNumId w:val="25"/>
  </w:num>
  <w:num w:numId="35" w16cid:durableId="407265490">
    <w:abstractNumId w:val="9"/>
  </w:num>
  <w:num w:numId="36" w16cid:durableId="1976568586">
    <w:abstractNumId w:val="25"/>
  </w:num>
  <w:num w:numId="37" w16cid:durableId="1117288756">
    <w:abstractNumId w:val="25"/>
  </w:num>
  <w:num w:numId="38" w16cid:durableId="1213155274">
    <w:abstractNumId w:val="25"/>
  </w:num>
  <w:num w:numId="39" w16cid:durableId="2011443150">
    <w:abstractNumId w:val="25"/>
  </w:num>
  <w:num w:numId="40" w16cid:durableId="423454953">
    <w:abstractNumId w:val="25"/>
  </w:num>
  <w:num w:numId="41" w16cid:durableId="56499056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970"/>
    <w:rsid w:val="000042F0"/>
    <w:rsid w:val="000325C5"/>
    <w:rsid w:val="00041A0A"/>
    <w:rsid w:val="00043CAA"/>
    <w:rsid w:val="00056816"/>
    <w:rsid w:val="00063AEF"/>
    <w:rsid w:val="00067134"/>
    <w:rsid w:val="000673BF"/>
    <w:rsid w:val="00075432"/>
    <w:rsid w:val="000910E5"/>
    <w:rsid w:val="000968ED"/>
    <w:rsid w:val="000A3D97"/>
    <w:rsid w:val="000A69E7"/>
    <w:rsid w:val="000B0A8B"/>
    <w:rsid w:val="000B5B36"/>
    <w:rsid w:val="000D3DAB"/>
    <w:rsid w:val="000D42A9"/>
    <w:rsid w:val="000E2AA8"/>
    <w:rsid w:val="000F5E56"/>
    <w:rsid w:val="001362EE"/>
    <w:rsid w:val="001406E1"/>
    <w:rsid w:val="00140F22"/>
    <w:rsid w:val="00143A43"/>
    <w:rsid w:val="00152158"/>
    <w:rsid w:val="00155D8A"/>
    <w:rsid w:val="001647D5"/>
    <w:rsid w:val="00167832"/>
    <w:rsid w:val="00176FD1"/>
    <w:rsid w:val="001832A6"/>
    <w:rsid w:val="0019592A"/>
    <w:rsid w:val="001A4C81"/>
    <w:rsid w:val="001D4107"/>
    <w:rsid w:val="001F0210"/>
    <w:rsid w:val="001F1186"/>
    <w:rsid w:val="00203D24"/>
    <w:rsid w:val="00210D5F"/>
    <w:rsid w:val="0021217E"/>
    <w:rsid w:val="002326AB"/>
    <w:rsid w:val="00243430"/>
    <w:rsid w:val="00250149"/>
    <w:rsid w:val="00262607"/>
    <w:rsid w:val="002634C4"/>
    <w:rsid w:val="00265354"/>
    <w:rsid w:val="00273181"/>
    <w:rsid w:val="0027412D"/>
    <w:rsid w:val="00285A16"/>
    <w:rsid w:val="002928D3"/>
    <w:rsid w:val="002A7B3A"/>
    <w:rsid w:val="002F1FE6"/>
    <w:rsid w:val="002F4E68"/>
    <w:rsid w:val="00303282"/>
    <w:rsid w:val="00312F7F"/>
    <w:rsid w:val="00321316"/>
    <w:rsid w:val="00321EB3"/>
    <w:rsid w:val="00327E12"/>
    <w:rsid w:val="00330247"/>
    <w:rsid w:val="003452A8"/>
    <w:rsid w:val="00356725"/>
    <w:rsid w:val="00361450"/>
    <w:rsid w:val="003673CF"/>
    <w:rsid w:val="00376168"/>
    <w:rsid w:val="003845C1"/>
    <w:rsid w:val="003A6F89"/>
    <w:rsid w:val="003B355C"/>
    <w:rsid w:val="003B3581"/>
    <w:rsid w:val="003B38C1"/>
    <w:rsid w:val="003B59D3"/>
    <w:rsid w:val="003C17A1"/>
    <w:rsid w:val="003C2DB9"/>
    <w:rsid w:val="003C34E9"/>
    <w:rsid w:val="003D3B5F"/>
    <w:rsid w:val="003F042A"/>
    <w:rsid w:val="003F20F4"/>
    <w:rsid w:val="003F60CB"/>
    <w:rsid w:val="00400EE4"/>
    <w:rsid w:val="0041388D"/>
    <w:rsid w:val="00415868"/>
    <w:rsid w:val="00423E3E"/>
    <w:rsid w:val="00427970"/>
    <w:rsid w:val="00427AF4"/>
    <w:rsid w:val="004434C3"/>
    <w:rsid w:val="00445EAF"/>
    <w:rsid w:val="0045246E"/>
    <w:rsid w:val="00452F85"/>
    <w:rsid w:val="00461B51"/>
    <w:rsid w:val="004647DA"/>
    <w:rsid w:val="00474062"/>
    <w:rsid w:val="00477D6B"/>
    <w:rsid w:val="0048522D"/>
    <w:rsid w:val="004A0F38"/>
    <w:rsid w:val="004D0C25"/>
    <w:rsid w:val="004D29A8"/>
    <w:rsid w:val="004E2B01"/>
    <w:rsid w:val="004F2DEB"/>
    <w:rsid w:val="005019FF"/>
    <w:rsid w:val="0050470A"/>
    <w:rsid w:val="00511E80"/>
    <w:rsid w:val="0053057A"/>
    <w:rsid w:val="00541D5B"/>
    <w:rsid w:val="00556076"/>
    <w:rsid w:val="00560A29"/>
    <w:rsid w:val="005740C5"/>
    <w:rsid w:val="00591C37"/>
    <w:rsid w:val="0059409E"/>
    <w:rsid w:val="005B2C79"/>
    <w:rsid w:val="005B453D"/>
    <w:rsid w:val="005C5B64"/>
    <w:rsid w:val="005C6649"/>
    <w:rsid w:val="005D3E92"/>
    <w:rsid w:val="005E7B89"/>
    <w:rsid w:val="005F0828"/>
    <w:rsid w:val="005F2B65"/>
    <w:rsid w:val="00600D30"/>
    <w:rsid w:val="00605827"/>
    <w:rsid w:val="00646050"/>
    <w:rsid w:val="00652971"/>
    <w:rsid w:val="006713CA"/>
    <w:rsid w:val="00676C5C"/>
    <w:rsid w:val="00682DB4"/>
    <w:rsid w:val="006A516B"/>
    <w:rsid w:val="006B5C12"/>
    <w:rsid w:val="006D27D2"/>
    <w:rsid w:val="006D7531"/>
    <w:rsid w:val="006D7AAB"/>
    <w:rsid w:val="006D7C7A"/>
    <w:rsid w:val="006F4FF2"/>
    <w:rsid w:val="006F641A"/>
    <w:rsid w:val="0070778E"/>
    <w:rsid w:val="00720EFD"/>
    <w:rsid w:val="0073103B"/>
    <w:rsid w:val="00733057"/>
    <w:rsid w:val="00750C1A"/>
    <w:rsid w:val="007553E7"/>
    <w:rsid w:val="00755C93"/>
    <w:rsid w:val="00783507"/>
    <w:rsid w:val="007854AF"/>
    <w:rsid w:val="007913A1"/>
    <w:rsid w:val="0079149A"/>
    <w:rsid w:val="00793A7C"/>
    <w:rsid w:val="007969D1"/>
    <w:rsid w:val="007A0217"/>
    <w:rsid w:val="007A0E2A"/>
    <w:rsid w:val="007A207F"/>
    <w:rsid w:val="007A398A"/>
    <w:rsid w:val="007C4902"/>
    <w:rsid w:val="007D1613"/>
    <w:rsid w:val="007E4889"/>
    <w:rsid w:val="007E4C0E"/>
    <w:rsid w:val="00820911"/>
    <w:rsid w:val="008243C0"/>
    <w:rsid w:val="00825328"/>
    <w:rsid w:val="00845079"/>
    <w:rsid w:val="00845CCF"/>
    <w:rsid w:val="00863886"/>
    <w:rsid w:val="0087243D"/>
    <w:rsid w:val="008A134B"/>
    <w:rsid w:val="008A24CC"/>
    <w:rsid w:val="008A5C4D"/>
    <w:rsid w:val="008B2CC1"/>
    <w:rsid w:val="008B60B2"/>
    <w:rsid w:val="008D1B10"/>
    <w:rsid w:val="008D21B3"/>
    <w:rsid w:val="008E3564"/>
    <w:rsid w:val="008F28F6"/>
    <w:rsid w:val="0090587D"/>
    <w:rsid w:val="0090731E"/>
    <w:rsid w:val="00916EE2"/>
    <w:rsid w:val="0091713E"/>
    <w:rsid w:val="0093527D"/>
    <w:rsid w:val="009431B5"/>
    <w:rsid w:val="0094554E"/>
    <w:rsid w:val="00947238"/>
    <w:rsid w:val="009476FE"/>
    <w:rsid w:val="00966A22"/>
    <w:rsid w:val="0096722F"/>
    <w:rsid w:val="009738CE"/>
    <w:rsid w:val="00980843"/>
    <w:rsid w:val="0099406E"/>
    <w:rsid w:val="009B0855"/>
    <w:rsid w:val="009B48A1"/>
    <w:rsid w:val="009B51CF"/>
    <w:rsid w:val="009E03C8"/>
    <w:rsid w:val="009E1721"/>
    <w:rsid w:val="009E2791"/>
    <w:rsid w:val="009E3F6F"/>
    <w:rsid w:val="009F499F"/>
    <w:rsid w:val="00A33241"/>
    <w:rsid w:val="00A37342"/>
    <w:rsid w:val="00A42DAF"/>
    <w:rsid w:val="00A448AB"/>
    <w:rsid w:val="00A45BD8"/>
    <w:rsid w:val="00A869B7"/>
    <w:rsid w:val="00A90F0A"/>
    <w:rsid w:val="00AA589B"/>
    <w:rsid w:val="00AC205C"/>
    <w:rsid w:val="00AC20E9"/>
    <w:rsid w:val="00AD30FC"/>
    <w:rsid w:val="00AD5F3C"/>
    <w:rsid w:val="00AF0A6B"/>
    <w:rsid w:val="00B05A69"/>
    <w:rsid w:val="00B2522A"/>
    <w:rsid w:val="00B26A4F"/>
    <w:rsid w:val="00B42CA9"/>
    <w:rsid w:val="00B51FF7"/>
    <w:rsid w:val="00B61419"/>
    <w:rsid w:val="00B6779D"/>
    <w:rsid w:val="00B73E7D"/>
    <w:rsid w:val="00B75281"/>
    <w:rsid w:val="00B75776"/>
    <w:rsid w:val="00B77C5C"/>
    <w:rsid w:val="00B86A18"/>
    <w:rsid w:val="00B92F1F"/>
    <w:rsid w:val="00B953D5"/>
    <w:rsid w:val="00B9734B"/>
    <w:rsid w:val="00BA277B"/>
    <w:rsid w:val="00BA30E2"/>
    <w:rsid w:val="00BB781F"/>
    <w:rsid w:val="00BC63F0"/>
    <w:rsid w:val="00BC6536"/>
    <w:rsid w:val="00BD6F15"/>
    <w:rsid w:val="00C11BFE"/>
    <w:rsid w:val="00C2796F"/>
    <w:rsid w:val="00C3436A"/>
    <w:rsid w:val="00C5068F"/>
    <w:rsid w:val="00C60E4B"/>
    <w:rsid w:val="00C73194"/>
    <w:rsid w:val="00C82566"/>
    <w:rsid w:val="00C86D74"/>
    <w:rsid w:val="00C91553"/>
    <w:rsid w:val="00C925E7"/>
    <w:rsid w:val="00C939AE"/>
    <w:rsid w:val="00CB3DBA"/>
    <w:rsid w:val="00CC3E2D"/>
    <w:rsid w:val="00CD04F1"/>
    <w:rsid w:val="00CE19F8"/>
    <w:rsid w:val="00CE244D"/>
    <w:rsid w:val="00CE37F1"/>
    <w:rsid w:val="00CF681A"/>
    <w:rsid w:val="00D005CC"/>
    <w:rsid w:val="00D07C78"/>
    <w:rsid w:val="00D45252"/>
    <w:rsid w:val="00D512F3"/>
    <w:rsid w:val="00D60B2C"/>
    <w:rsid w:val="00D67EAE"/>
    <w:rsid w:val="00D71B4D"/>
    <w:rsid w:val="00D76FF8"/>
    <w:rsid w:val="00D90B96"/>
    <w:rsid w:val="00D93D55"/>
    <w:rsid w:val="00DC06F8"/>
    <w:rsid w:val="00DC17E3"/>
    <w:rsid w:val="00DC6F42"/>
    <w:rsid w:val="00DD7B7F"/>
    <w:rsid w:val="00E15015"/>
    <w:rsid w:val="00E15F75"/>
    <w:rsid w:val="00E17738"/>
    <w:rsid w:val="00E23ECB"/>
    <w:rsid w:val="00E319DF"/>
    <w:rsid w:val="00E335FE"/>
    <w:rsid w:val="00E66CC5"/>
    <w:rsid w:val="00E9080A"/>
    <w:rsid w:val="00E91C3A"/>
    <w:rsid w:val="00EA2B00"/>
    <w:rsid w:val="00EA7D6E"/>
    <w:rsid w:val="00EB2F76"/>
    <w:rsid w:val="00EC4E49"/>
    <w:rsid w:val="00ED6EB7"/>
    <w:rsid w:val="00ED77FB"/>
    <w:rsid w:val="00EE06A6"/>
    <w:rsid w:val="00EE307E"/>
    <w:rsid w:val="00EE45FA"/>
    <w:rsid w:val="00EF3C0D"/>
    <w:rsid w:val="00F043DE"/>
    <w:rsid w:val="00F10E7C"/>
    <w:rsid w:val="00F1217E"/>
    <w:rsid w:val="00F248CE"/>
    <w:rsid w:val="00F52F5F"/>
    <w:rsid w:val="00F66152"/>
    <w:rsid w:val="00F677AB"/>
    <w:rsid w:val="00F76CB4"/>
    <w:rsid w:val="00F90C07"/>
    <w:rsid w:val="00F9165B"/>
    <w:rsid w:val="00F91B3A"/>
    <w:rsid w:val="00FA17DA"/>
    <w:rsid w:val="00FA6CAF"/>
    <w:rsid w:val="00FB39FE"/>
    <w:rsid w:val="00FC482F"/>
    <w:rsid w:val="00FD0B86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D26DF7"/>
  <w15:docId w15:val="{C7F2449A-9937-4424-B65D-7B71A239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41A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43A43"/>
    <w:pPr>
      <w:keepNext/>
      <w:spacing w:before="240" w:after="240"/>
      <w:outlineLvl w:val="1"/>
    </w:pPr>
    <w:rPr>
      <w:bCs/>
      <w:i/>
      <w:caps/>
      <w:sz w:val="24"/>
      <w:szCs w:val="24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4D29A8"/>
    <w:rPr>
      <w:rFonts w:ascii="Arial" w:eastAsia="SimSun" w:hAnsi="Arial" w:cs="Calibr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1"/>
    <w:qFormat/>
    <w:rsid w:val="0079149A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143A43"/>
    <w:rPr>
      <w:rFonts w:ascii="Arial" w:eastAsia="SimSun" w:hAnsi="Arial" w:cs="Calibri"/>
      <w:sz w:val="22"/>
      <w:szCs w:val="22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445E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del\Downloads\CWS_1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4241D-9A7D-4172-9650-4767D05B6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CWS_11_AR</Template>
  <TotalTime>1</TotalTime>
  <Pages>3</Pages>
  <Words>976</Words>
  <Characters>4981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CWS/11/5 (Arabic)</vt:lpstr>
      <vt:lpstr>CWS/11/5 (Arabic)</vt:lpstr>
    </vt:vector>
  </TitlesOfParts>
  <Company>WIPO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CWS/11/20 (Arabic)</dc:title>
  <dc:creator>WIPO</dc:creator>
  <cp:keywords>FOR OFFICIAL USE ONLY</cp:keywords>
  <cp:lastModifiedBy>MOSTAJO Apolonia</cp:lastModifiedBy>
  <cp:revision>2</cp:revision>
  <cp:lastPrinted>2023-11-10T08:51:00Z</cp:lastPrinted>
  <dcterms:created xsi:type="dcterms:W3CDTF">2023-11-27T15:31:00Z</dcterms:created>
  <dcterms:modified xsi:type="dcterms:W3CDTF">2023-11-27T15:31:00Z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fb579b81-4821-48d9-a92c-679b3f27fe89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2023-09-27T11:42:27Z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86d19c91-698b-4933-b3f7-818b3fc4bbe3</vt:lpwstr>
  </property>
  <property fmtid="{D5CDD505-2E9C-101B-9397-08002B2CF9AE}" pid="14" name="MSIP_Label_20773ee6-353b-4fb9-a59d-0b94c8c67bea_ContentBits">
    <vt:lpwstr>0</vt:lpwstr>
  </property>
</Properties>
</file>