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050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8B9BD43" wp14:editId="089EAE9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659E915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70D4AE3" w14:textId="20DE8EE4" w:rsidR="008B2CC1" w:rsidRPr="008A39DA" w:rsidRDefault="0070778E" w:rsidP="008A39DA">
      <w:pPr>
        <w:bidi w:val="0"/>
        <w:rPr>
          <w:rFonts w:ascii="Arial Black" w:hAnsi="Arial Black"/>
          <w:caps/>
          <w:sz w:val="15"/>
          <w:szCs w:val="15"/>
          <w:lang w:val="fr-CH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520830">
        <w:rPr>
          <w:rFonts w:ascii="Arial Black" w:hAnsi="Arial Black"/>
          <w:caps/>
          <w:sz w:val="15"/>
          <w:szCs w:val="15"/>
        </w:rPr>
        <w:t>2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FE37DB">
        <w:rPr>
          <w:rFonts w:ascii="Arial Black" w:hAnsi="Arial Black"/>
          <w:caps/>
          <w:sz w:val="15"/>
          <w:szCs w:val="15"/>
        </w:rPr>
        <w:t>1</w:t>
      </w:r>
      <w:r w:rsidR="00B71FEE">
        <w:rPr>
          <w:rFonts w:ascii="Arial Black" w:hAnsi="Arial Black"/>
          <w:caps/>
          <w:sz w:val="15"/>
          <w:szCs w:val="15"/>
        </w:rPr>
        <w:t>4</w:t>
      </w:r>
    </w:p>
    <w:p w14:paraId="43FEB78A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B20A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1DD3F124" w14:textId="1B63D828" w:rsidR="008B2CC1" w:rsidRPr="00222782" w:rsidRDefault="00CC3E2D" w:rsidP="008A39D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2278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57F0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71F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18</w:t>
      </w:r>
      <w:r w:rsidR="00222782" w:rsidRPr="00222782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714F25">
        <w:rPr>
          <w:rFonts w:asciiTheme="minorHAnsi" w:hAnsiTheme="minorHAnsi" w:hint="cs"/>
          <w:b/>
          <w:bCs/>
          <w:caps/>
          <w:sz w:val="15"/>
          <w:szCs w:val="15"/>
          <w:rtl/>
        </w:rPr>
        <w:t>ل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8A39DA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66D6BAE8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56CD4566" w14:textId="591F048B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ث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ن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ية عشرة</w:t>
      </w:r>
    </w:p>
    <w:p w14:paraId="1BEC4235" w14:textId="145295DF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520830" w:rsidRPr="00520830">
        <w:rPr>
          <w:rFonts w:asciiTheme="minorHAnsi" w:hAnsiTheme="minorHAnsi"/>
          <w:bCs/>
          <w:sz w:val="24"/>
          <w:szCs w:val="24"/>
          <w:rtl/>
        </w:rPr>
        <w:t>من 16 إلى 19 سبتمبر 2024</w:t>
      </w:r>
    </w:p>
    <w:p w14:paraId="51B4B129" w14:textId="119FBA9E" w:rsidR="008B2CC1" w:rsidRPr="00B71FEE" w:rsidRDefault="00B71FEE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  <w:rtl/>
          <w:lang w:val="fr-FR" w:bidi="ar-SY"/>
        </w:rPr>
      </w:pPr>
      <w:bookmarkStart w:id="3" w:name="TitleOfDoc"/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تقرير المكتب الدولي عن المهمة رقم 6</w:t>
      </w:r>
      <w:r w:rsidR="009B2C88"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6</w:t>
      </w:r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 xml:space="preserve"> </w:t>
      </w:r>
    </w:p>
    <w:p w14:paraId="1BFD5DCB" w14:textId="06FA472E" w:rsidR="00222782" w:rsidRDefault="00222782" w:rsidP="00222782">
      <w:pPr>
        <w:spacing w:after="960"/>
        <w:rPr>
          <w:i/>
          <w:iCs/>
          <w:rtl/>
        </w:rPr>
      </w:pPr>
      <w:bookmarkStart w:id="4" w:name="Prepared"/>
      <w:bookmarkEnd w:id="3"/>
      <w:bookmarkEnd w:id="4"/>
      <w:r>
        <w:rPr>
          <w:rFonts w:hint="cs"/>
          <w:i/>
          <w:iCs/>
          <w:rtl/>
        </w:rPr>
        <w:t xml:space="preserve">وثيقة من إعداد </w:t>
      </w:r>
      <w:r w:rsidR="00FE37DB">
        <w:rPr>
          <w:rFonts w:hint="cs"/>
          <w:i/>
          <w:iCs/>
          <w:rtl/>
        </w:rPr>
        <w:t>المكتب الدولي</w:t>
      </w:r>
    </w:p>
    <w:p w14:paraId="144A3321" w14:textId="562A1901" w:rsidR="00FE37DB" w:rsidRPr="00FE37DB" w:rsidRDefault="00FE37DB" w:rsidP="00FE37DB">
      <w:pPr>
        <w:pStyle w:val="Heading1"/>
        <w:spacing w:after="240"/>
        <w:rPr>
          <w:sz w:val="26"/>
          <w:szCs w:val="26"/>
          <w:rtl/>
        </w:rPr>
      </w:pPr>
      <w:r w:rsidRPr="00FE37DB">
        <w:rPr>
          <w:rFonts w:hint="cs"/>
          <w:sz w:val="26"/>
          <w:szCs w:val="26"/>
          <w:rtl/>
        </w:rPr>
        <w:t>ملخص</w:t>
      </w:r>
    </w:p>
    <w:p w14:paraId="3FCEB7DF" w14:textId="1285F74B" w:rsidR="00FE37DB" w:rsidRDefault="00B71FEE" w:rsidP="00FE37DB">
      <w:pPr>
        <w:pStyle w:val="ONUMA"/>
      </w:pPr>
      <w:r w:rsidRPr="00B71FEE">
        <w:rPr>
          <w:rtl/>
        </w:rPr>
        <w:t>يقدم المكتب الدولي تقرير</w:t>
      </w:r>
      <w:r w:rsidR="00B73B32">
        <w:rPr>
          <w:rFonts w:hint="cs"/>
          <w:rtl/>
          <w:lang w:val="fr-FR" w:bidi="ar-SY"/>
        </w:rPr>
        <w:t>اً</w:t>
      </w:r>
      <w:r w:rsidRPr="00B71FEE">
        <w:rPr>
          <w:rtl/>
        </w:rPr>
        <w:t xml:space="preserve"> </w:t>
      </w:r>
      <w:r w:rsidR="00B73B32">
        <w:rPr>
          <w:rFonts w:hint="cs"/>
          <w:rtl/>
        </w:rPr>
        <w:t>ً</w:t>
      </w:r>
      <w:r w:rsidRPr="00B71FEE">
        <w:rPr>
          <w:rtl/>
        </w:rPr>
        <w:t>مرحلي</w:t>
      </w:r>
      <w:r w:rsidR="00B73B32">
        <w:rPr>
          <w:rFonts w:hint="cs"/>
          <w:rtl/>
        </w:rPr>
        <w:t>اً</w:t>
      </w:r>
      <w:r w:rsidRPr="00B71FEE">
        <w:rPr>
          <w:rtl/>
        </w:rPr>
        <w:t xml:space="preserve"> عن المهمة رقم 66، </w:t>
      </w:r>
      <w:r w:rsidR="00B73B32">
        <w:rPr>
          <w:rFonts w:hint="cs"/>
          <w:rtl/>
        </w:rPr>
        <w:t>لا سيما فيما يتعلق</w:t>
      </w:r>
      <w:r w:rsidRPr="00B71FEE">
        <w:rPr>
          <w:rtl/>
        </w:rPr>
        <w:t xml:space="preserve"> </w:t>
      </w:r>
      <w:r w:rsidR="00B73B32">
        <w:rPr>
          <w:rFonts w:hint="cs"/>
          <w:rtl/>
        </w:rPr>
        <w:t>بالجهود التي يبذلها</w:t>
      </w:r>
      <w:r w:rsidRPr="00B71FEE">
        <w:rPr>
          <w:rtl/>
        </w:rPr>
        <w:t xml:space="preserve"> </w:t>
      </w:r>
      <w:r w:rsidR="005E77FF">
        <w:rPr>
          <w:rFonts w:hint="cs"/>
          <w:rtl/>
        </w:rPr>
        <w:t>لتنظيم</w:t>
      </w:r>
      <w:r w:rsidRPr="00B71FEE">
        <w:rPr>
          <w:rtl/>
        </w:rPr>
        <w:t xml:space="preserve"> سلسلة من العيادات </w:t>
      </w:r>
      <w:r w:rsidR="00B73B32">
        <w:rPr>
          <w:rFonts w:hint="cs"/>
          <w:rtl/>
        </w:rPr>
        <w:t>الرامية لدعم</w:t>
      </w:r>
      <w:r w:rsidRPr="00B71FEE">
        <w:rPr>
          <w:rtl/>
        </w:rPr>
        <w:t xml:space="preserve"> مكاتب الملكية الفكرية</w:t>
      </w:r>
      <w:r w:rsidR="00B73B32">
        <w:rPr>
          <w:rFonts w:hint="cs"/>
          <w:rtl/>
        </w:rPr>
        <w:t xml:space="preserve">، </w:t>
      </w:r>
      <w:r w:rsidRPr="00B71FEE">
        <w:rPr>
          <w:rtl/>
        </w:rPr>
        <w:t>في</w:t>
      </w:r>
      <w:r w:rsidR="00B73B32">
        <w:rPr>
          <w:rFonts w:hint="cs"/>
          <w:rtl/>
        </w:rPr>
        <w:t xml:space="preserve"> مختلف</w:t>
      </w:r>
      <w:r w:rsidRPr="00B71FEE">
        <w:rPr>
          <w:rtl/>
        </w:rPr>
        <w:t xml:space="preserve"> مراحل </w:t>
      </w:r>
      <w:r w:rsidR="00B73B32">
        <w:rPr>
          <w:rFonts w:hint="cs"/>
          <w:rtl/>
        </w:rPr>
        <w:t>تطوير</w:t>
      </w:r>
      <w:r w:rsidRPr="00B71FEE">
        <w:rPr>
          <w:rtl/>
        </w:rPr>
        <w:t xml:space="preserve"> ملف </w:t>
      </w:r>
      <w:r w:rsidR="005E77FF">
        <w:rPr>
          <w:rFonts w:hint="cs"/>
          <w:rtl/>
        </w:rPr>
        <w:t>ال</w:t>
      </w:r>
      <w:r w:rsidR="00B73B32">
        <w:rPr>
          <w:rFonts w:hint="cs"/>
          <w:rtl/>
        </w:rPr>
        <w:t>إدار</w:t>
      </w:r>
      <w:r w:rsidR="005E77FF">
        <w:rPr>
          <w:rFonts w:hint="cs"/>
          <w:rtl/>
        </w:rPr>
        <w:t>ة الخاص بها</w:t>
      </w:r>
      <w:r w:rsidRPr="00B71FEE">
        <w:rPr>
          <w:rtl/>
        </w:rPr>
        <w:t xml:space="preserve"> </w:t>
      </w:r>
      <w:r w:rsidR="00B73B32">
        <w:rPr>
          <w:rFonts w:hint="cs"/>
          <w:rtl/>
        </w:rPr>
        <w:t>المتوافق</w:t>
      </w:r>
      <w:r w:rsidRPr="00B71FEE">
        <w:rPr>
          <w:rtl/>
        </w:rPr>
        <w:t xml:space="preserve"> مع معيار الويبو </w:t>
      </w:r>
      <w:r w:rsidRPr="00B71FEE">
        <w:t>ST.37</w:t>
      </w:r>
      <w:r w:rsidRPr="00B71FEE">
        <w:rPr>
          <w:rtl/>
        </w:rPr>
        <w:t>.</w:t>
      </w:r>
    </w:p>
    <w:p w14:paraId="44EF0302" w14:textId="0FD665C7" w:rsidR="00FE37DB" w:rsidRPr="00FE37DB" w:rsidRDefault="00FE37DB" w:rsidP="00FE37DB">
      <w:pPr>
        <w:pStyle w:val="Heading1"/>
        <w:spacing w:after="240"/>
        <w:rPr>
          <w:sz w:val="26"/>
          <w:szCs w:val="26"/>
          <w:rtl/>
          <w:lang w:val="fr-FR" w:bidi="ar-SY"/>
        </w:rPr>
      </w:pPr>
      <w:r w:rsidRPr="00FE37DB">
        <w:rPr>
          <w:rFonts w:hint="cs"/>
          <w:sz w:val="26"/>
          <w:szCs w:val="26"/>
          <w:rtl/>
          <w:lang w:val="fr-FR" w:bidi="ar-SY"/>
        </w:rPr>
        <w:t>معلومات أساسية</w:t>
      </w:r>
    </w:p>
    <w:p w14:paraId="4A88C257" w14:textId="6FAC0B40" w:rsidR="00B71FEE" w:rsidRDefault="00B71FEE" w:rsidP="00B71FEE">
      <w:pPr>
        <w:pStyle w:val="ONUMA"/>
        <w:rPr>
          <w:rtl/>
        </w:rPr>
      </w:pPr>
      <w:r>
        <w:rPr>
          <w:rtl/>
        </w:rPr>
        <w:t>نظرت اللجنة المعنية بمعايير الويبو (</w:t>
      </w:r>
      <w:r w:rsidR="00D47785">
        <w:rPr>
          <w:rFonts w:hint="cs"/>
          <w:rtl/>
        </w:rPr>
        <w:t>لجنة المعايير</w:t>
      </w:r>
      <w:r>
        <w:rPr>
          <w:rtl/>
        </w:rPr>
        <w:t>)</w:t>
      </w:r>
      <w:r w:rsidR="00D47785">
        <w:rPr>
          <w:rFonts w:hint="cs"/>
          <w:rtl/>
        </w:rPr>
        <w:t xml:space="preserve">، </w:t>
      </w:r>
      <w:r w:rsidR="00D47785">
        <w:rPr>
          <w:rtl/>
        </w:rPr>
        <w:t>في دورتها الحادية عشرة</w:t>
      </w:r>
      <w:r w:rsidR="00D47785">
        <w:rPr>
          <w:rFonts w:hint="cs"/>
          <w:rtl/>
        </w:rPr>
        <w:t xml:space="preserve">، </w:t>
      </w:r>
      <w:r>
        <w:rPr>
          <w:rtl/>
        </w:rPr>
        <w:t xml:space="preserve">في </w:t>
      </w:r>
      <w:r w:rsidR="00D47785">
        <w:rPr>
          <w:rFonts w:hint="cs"/>
          <w:rtl/>
        </w:rPr>
        <w:t>اقتراح</w:t>
      </w:r>
      <w:r>
        <w:rPr>
          <w:rtl/>
        </w:rPr>
        <w:t xml:space="preserve"> ب</w:t>
      </w:r>
      <w:r w:rsidR="00D47785">
        <w:rPr>
          <w:rFonts w:hint="cs"/>
          <w:rtl/>
        </w:rPr>
        <w:t xml:space="preserve">إنشاء </w:t>
      </w:r>
      <w:r>
        <w:rPr>
          <w:rtl/>
        </w:rPr>
        <w:t xml:space="preserve">مهمة جديدة لدعم مكاتب الملكية الفكرية في </w:t>
      </w:r>
      <w:r w:rsidR="00D47785">
        <w:rPr>
          <w:rFonts w:hint="cs"/>
          <w:rtl/>
        </w:rPr>
        <w:t>توفير</w:t>
      </w:r>
      <w:r>
        <w:rPr>
          <w:rtl/>
        </w:rPr>
        <w:t xml:space="preserve"> ملفات </w:t>
      </w:r>
      <w:r w:rsidR="00D47785">
        <w:rPr>
          <w:rFonts w:hint="cs"/>
          <w:rtl/>
        </w:rPr>
        <w:t>الإدارة</w:t>
      </w:r>
      <w:r>
        <w:rPr>
          <w:rtl/>
        </w:rPr>
        <w:t xml:space="preserve"> المتوافقة مع معيار الويبو </w:t>
      </w:r>
      <w:r>
        <w:t>ST.37</w:t>
      </w:r>
      <w:r>
        <w:rPr>
          <w:rtl/>
        </w:rPr>
        <w:t xml:space="preserve">، لا سيما في ضوء الاتفاقات التي توصلت إليها هيئات معاهدة التعاون بشأن البراءات بشأن الحد الأدنى من </w:t>
      </w:r>
      <w:r w:rsidR="00D47785">
        <w:rPr>
          <w:rFonts w:hint="cs"/>
          <w:rtl/>
        </w:rPr>
        <w:t>وثائق</w:t>
      </w:r>
      <w:r>
        <w:rPr>
          <w:rtl/>
        </w:rPr>
        <w:t xml:space="preserve"> معاهدة التعاون بشأن البراءات (انظر الفقرة 6 من الوثيقة </w:t>
      </w:r>
      <w:r>
        <w:t>CWS/11/15</w:t>
      </w:r>
      <w:r>
        <w:rPr>
          <w:rtl/>
        </w:rPr>
        <w:t xml:space="preserve">). </w:t>
      </w:r>
      <w:r w:rsidR="00D47785">
        <w:rPr>
          <w:rFonts w:hint="cs"/>
          <w:rtl/>
        </w:rPr>
        <w:t>و</w:t>
      </w:r>
      <w:r>
        <w:rPr>
          <w:rtl/>
        </w:rPr>
        <w:t>وافقت لجنة المعايير على</w:t>
      </w:r>
      <w:r w:rsidR="00D47785">
        <w:rPr>
          <w:rFonts w:hint="cs"/>
          <w:rtl/>
        </w:rPr>
        <w:t xml:space="preserve"> إنشاء</w:t>
      </w:r>
      <w:r>
        <w:rPr>
          <w:rtl/>
        </w:rPr>
        <w:t xml:space="preserve"> المهمة الجديدة رقم 66، بالوصف التالي:</w:t>
      </w:r>
    </w:p>
    <w:p w14:paraId="345513F8" w14:textId="38C4FF70" w:rsidR="00FE37DB" w:rsidRPr="00B71FEE" w:rsidRDefault="00D47785" w:rsidP="00D47785">
      <w:pPr>
        <w:pStyle w:val="ONUMA"/>
        <w:numPr>
          <w:ilvl w:val="0"/>
          <w:numId w:val="0"/>
        </w:numPr>
        <w:ind w:firstLine="567"/>
        <w:rPr>
          <w:i/>
          <w:iCs/>
        </w:rPr>
      </w:pPr>
      <w:r w:rsidRPr="00D47785">
        <w:rPr>
          <w:rFonts w:eastAsia="SimSun" w:hint="cs"/>
          <w:i/>
          <w:iCs/>
          <w:rtl/>
        </w:rPr>
        <w:t>"</w:t>
      </w:r>
      <w:r>
        <w:rPr>
          <w:rFonts w:hint="cs"/>
          <w:i/>
          <w:iCs/>
          <w:rtl/>
        </w:rPr>
        <w:t>تشجيع</w:t>
      </w:r>
      <w:r w:rsidRPr="00D47785">
        <w:rPr>
          <w:i/>
          <w:iCs/>
          <w:rtl/>
        </w:rPr>
        <w:t xml:space="preserve"> مكاتب الملكية الفكرية</w:t>
      </w:r>
      <w:r>
        <w:rPr>
          <w:rFonts w:hint="cs"/>
          <w:i/>
          <w:iCs/>
          <w:rtl/>
        </w:rPr>
        <w:t xml:space="preserve"> على تقديم</w:t>
      </w:r>
      <w:r w:rsidRPr="00D47785">
        <w:rPr>
          <w:i/>
          <w:iCs/>
          <w:rtl/>
        </w:rPr>
        <w:t xml:space="preserve"> ملف إدارة البراءات </w:t>
      </w:r>
      <w:r>
        <w:rPr>
          <w:rFonts w:hint="cs"/>
          <w:i/>
          <w:iCs/>
          <w:rtl/>
        </w:rPr>
        <w:t>الخاص بها وفقاً</w:t>
      </w:r>
      <w:r w:rsidRPr="00D47785">
        <w:rPr>
          <w:i/>
          <w:iCs/>
          <w:rtl/>
        </w:rPr>
        <w:t xml:space="preserve"> </w:t>
      </w:r>
      <w:r>
        <w:rPr>
          <w:rFonts w:hint="cs"/>
          <w:i/>
          <w:iCs/>
          <w:rtl/>
        </w:rPr>
        <w:t>ل</w:t>
      </w:r>
      <w:r w:rsidRPr="00D47785">
        <w:rPr>
          <w:i/>
          <w:iCs/>
          <w:rtl/>
        </w:rPr>
        <w:t>معيار الويبو</w:t>
      </w:r>
      <w:r w:rsidRPr="00D47785">
        <w:rPr>
          <w:i/>
          <w:iCs/>
        </w:rPr>
        <w:t xml:space="preserve"> ST.37</w:t>
      </w:r>
      <w:r>
        <w:rPr>
          <w:rFonts w:hint="cs"/>
          <w:i/>
          <w:iCs/>
          <w:rtl/>
        </w:rPr>
        <w:t xml:space="preserve">، </w:t>
      </w:r>
      <w:r w:rsidRPr="00D47785">
        <w:rPr>
          <w:i/>
          <w:iCs/>
          <w:rtl/>
        </w:rPr>
        <w:t>وذلك بمدها بأي دعم تقني أو تدريب تحتاجه، بناءً على الموارد المتاحة</w:t>
      </w:r>
      <w:r>
        <w:rPr>
          <w:rFonts w:hint="cs"/>
          <w:i/>
          <w:iCs/>
          <w:rtl/>
        </w:rPr>
        <w:t>.</w:t>
      </w:r>
      <w:r w:rsidR="00B71FEE" w:rsidRPr="00B71FEE">
        <w:rPr>
          <w:i/>
          <w:iCs/>
          <w:rtl/>
        </w:rPr>
        <w:t>"</w:t>
      </w:r>
    </w:p>
    <w:p w14:paraId="06818D31" w14:textId="6C403F60" w:rsidR="00B71FEE" w:rsidRDefault="004B2E84" w:rsidP="00FE37DB">
      <w:pPr>
        <w:pStyle w:val="ONUMA"/>
      </w:pPr>
      <w:r>
        <w:rPr>
          <w:rFonts w:hint="cs"/>
          <w:rtl/>
        </w:rPr>
        <w:t>و</w:t>
      </w:r>
      <w:r w:rsidR="00B71FEE" w:rsidRPr="00B71FEE">
        <w:rPr>
          <w:rtl/>
        </w:rPr>
        <w:t>عي</w:t>
      </w:r>
      <w:r>
        <w:rPr>
          <w:rFonts w:hint="cs"/>
          <w:rtl/>
        </w:rPr>
        <w:t>ّ</w:t>
      </w:r>
      <w:r w:rsidR="00B71FEE" w:rsidRPr="00B71FEE">
        <w:rPr>
          <w:rtl/>
        </w:rPr>
        <w:t>نت لجنة المعايير</w:t>
      </w:r>
      <w:r>
        <w:rPr>
          <w:rFonts w:hint="cs"/>
          <w:rtl/>
        </w:rPr>
        <w:t>، خلال الدورة ذاتها،</w:t>
      </w:r>
      <w:r w:rsidR="00B71FEE" w:rsidRPr="00B71FEE">
        <w:rPr>
          <w:rtl/>
        </w:rPr>
        <w:t xml:space="preserve"> المكتب الدولي </w:t>
      </w:r>
      <w:r>
        <w:rPr>
          <w:rFonts w:hint="cs"/>
          <w:rtl/>
        </w:rPr>
        <w:t>مسؤولاً عن</w:t>
      </w:r>
      <w:r w:rsidR="00B71FEE" w:rsidRPr="00B71FEE">
        <w:rPr>
          <w:rtl/>
        </w:rPr>
        <w:t xml:space="preserve"> </w:t>
      </w:r>
      <w:r>
        <w:rPr>
          <w:rFonts w:hint="cs"/>
          <w:rtl/>
        </w:rPr>
        <w:t>هذه ا</w:t>
      </w:r>
      <w:r w:rsidR="00B71FEE" w:rsidRPr="00B71FEE">
        <w:rPr>
          <w:rtl/>
        </w:rPr>
        <w:t>لمهمة</w:t>
      </w:r>
      <w:r w:rsidR="005E77FF">
        <w:rPr>
          <w:rFonts w:hint="cs"/>
          <w:rtl/>
        </w:rPr>
        <w:t>،</w:t>
      </w:r>
      <w:r w:rsidR="00B71FEE" w:rsidRPr="00B71FEE">
        <w:rPr>
          <w:rtl/>
        </w:rPr>
        <w:t xml:space="preserve"> </w:t>
      </w:r>
      <w:r>
        <w:rPr>
          <w:rFonts w:hint="cs"/>
          <w:rtl/>
        </w:rPr>
        <w:t>وأشارت إلى</w:t>
      </w:r>
      <w:r w:rsidR="00B71FEE" w:rsidRPr="00B71FEE">
        <w:rPr>
          <w:rtl/>
        </w:rPr>
        <w:t xml:space="preserve"> أن هذه المهمة يمكن اعتبارها مكتملة بمجرد قيام جميع مكاتب الملكية الفكرية التي تساهم في جرد</w:t>
      </w:r>
      <w:r>
        <w:rPr>
          <w:rFonts w:hint="cs"/>
          <w:rtl/>
        </w:rPr>
        <w:t xml:space="preserve"> الوثائق المدرجة في</w:t>
      </w:r>
      <w:r w:rsidR="00B71FEE" w:rsidRPr="00B71FEE">
        <w:rPr>
          <w:rtl/>
        </w:rPr>
        <w:t xml:space="preserve"> الحد الأدنى من وثائق معاهدة التعاون بشأن البراءات وقاعدة بيانات ركن البراءات</w:t>
      </w:r>
      <w:r w:rsidR="005E77FF">
        <w:rPr>
          <w:rFonts w:hint="cs"/>
          <w:rtl/>
        </w:rPr>
        <w:t>،</w:t>
      </w:r>
      <w:r w:rsidR="00B71FEE" w:rsidRPr="00B71FEE">
        <w:rPr>
          <w:rtl/>
        </w:rPr>
        <w:t xml:space="preserve"> </w:t>
      </w:r>
      <w:r>
        <w:rPr>
          <w:rFonts w:hint="cs"/>
          <w:rtl/>
        </w:rPr>
        <w:t xml:space="preserve">بتزويد المكتب الدولي بملف </w:t>
      </w:r>
      <w:r w:rsidR="005E77FF">
        <w:rPr>
          <w:rFonts w:hint="cs"/>
          <w:rtl/>
        </w:rPr>
        <w:t>ال</w:t>
      </w:r>
      <w:r>
        <w:rPr>
          <w:rFonts w:hint="cs"/>
          <w:rtl/>
        </w:rPr>
        <w:t>إدارة الخاص بها المتوافق مع</w:t>
      </w:r>
      <w:r w:rsidR="00B71FEE" w:rsidRPr="00B71FEE">
        <w:rPr>
          <w:rtl/>
        </w:rPr>
        <w:t xml:space="preserve"> معيار الويبو </w:t>
      </w:r>
      <w:r w:rsidR="00B71FEE" w:rsidRPr="00B71FEE">
        <w:t>ST.37</w:t>
      </w:r>
      <w:r w:rsidR="00B71FEE" w:rsidRPr="00B71FEE">
        <w:rPr>
          <w:rtl/>
        </w:rPr>
        <w:t xml:space="preserve">. ومن أجل التمكن من بدء عمل المهمة الجديدة، طلبت لجنة المعايير من مكاتب الملكية الفكرية أن تتواصل مع المكتب الدولي </w:t>
      </w:r>
      <w:r>
        <w:rPr>
          <w:rFonts w:hint="cs"/>
          <w:rtl/>
        </w:rPr>
        <w:t>لتوضح له</w:t>
      </w:r>
      <w:r w:rsidR="00B71FEE" w:rsidRPr="00B71FEE">
        <w:rPr>
          <w:rtl/>
        </w:rPr>
        <w:t xml:space="preserve"> نوع الدعم </w:t>
      </w:r>
      <w:r>
        <w:rPr>
          <w:rFonts w:hint="cs"/>
          <w:rtl/>
        </w:rPr>
        <w:t>اللازم</w:t>
      </w:r>
      <w:r w:rsidR="00B71FEE" w:rsidRPr="00B71FEE">
        <w:rPr>
          <w:rtl/>
        </w:rPr>
        <w:t xml:space="preserve"> </w:t>
      </w:r>
      <w:r>
        <w:rPr>
          <w:rFonts w:hint="cs"/>
          <w:rtl/>
        </w:rPr>
        <w:t>لإعداد</w:t>
      </w:r>
      <w:r w:rsidR="00B71FEE" w:rsidRPr="00B71FEE">
        <w:rPr>
          <w:rtl/>
        </w:rPr>
        <w:t xml:space="preserve"> ملفات الإدارة المتوافقة مع معيار الويبو </w:t>
      </w:r>
      <w:r w:rsidR="00B71FEE" w:rsidRPr="00B71FEE">
        <w:t>ST.37</w:t>
      </w:r>
      <w:r w:rsidR="00B71FEE" w:rsidRPr="00B71FEE">
        <w:rPr>
          <w:rtl/>
        </w:rPr>
        <w:t xml:space="preserve">. (انظر الفقرتين 30 و32 من الوثيقة </w:t>
      </w:r>
      <w:r w:rsidR="00B71FEE" w:rsidRPr="00B71FEE">
        <w:t>CWS/11/28</w:t>
      </w:r>
      <w:r w:rsidR="00B71FEE" w:rsidRPr="00B71FEE">
        <w:rPr>
          <w:rtl/>
        </w:rPr>
        <w:t>.)</w:t>
      </w:r>
    </w:p>
    <w:p w14:paraId="5FB4D9FD" w14:textId="5935D475" w:rsidR="00B71FEE" w:rsidRDefault="00B71FEE" w:rsidP="00B71FEE">
      <w:pPr>
        <w:pStyle w:val="Heading1"/>
        <w:spacing w:after="240"/>
        <w:rPr>
          <w:sz w:val="26"/>
          <w:szCs w:val="26"/>
          <w:rtl/>
          <w:lang w:val="fr-FR" w:bidi="ar-SY"/>
        </w:rPr>
      </w:pPr>
      <w:r>
        <w:rPr>
          <w:rFonts w:hint="cs"/>
          <w:sz w:val="26"/>
          <w:szCs w:val="26"/>
          <w:rtl/>
          <w:lang w:val="fr-FR" w:bidi="ar-SY"/>
        </w:rPr>
        <w:lastRenderedPageBreak/>
        <w:t>تقرير مرحلي عن المهمة رقم 66</w:t>
      </w:r>
    </w:p>
    <w:p w14:paraId="6A8037BE" w14:textId="0E848431" w:rsidR="00B71FEE" w:rsidRPr="00B71FEE" w:rsidRDefault="00B71FEE" w:rsidP="00B71FEE">
      <w:pPr>
        <w:pStyle w:val="Heading2"/>
        <w:rPr>
          <w:b/>
          <w:bCs w:val="0"/>
          <w:i/>
          <w:iCs w:val="0"/>
          <w:sz w:val="22"/>
          <w:szCs w:val="22"/>
          <w:u w:val="single"/>
          <w:lang w:val="fr-FR" w:bidi="ar-SY"/>
        </w:rPr>
      </w:pPr>
      <w:r w:rsidRPr="00B71FEE">
        <w:rPr>
          <w:rFonts w:hint="cs"/>
          <w:b/>
          <w:bCs w:val="0"/>
          <w:i/>
          <w:iCs w:val="0"/>
          <w:sz w:val="22"/>
          <w:szCs w:val="22"/>
          <w:u w:val="single"/>
          <w:rtl/>
          <w:lang w:val="fr-FR" w:bidi="ar-SY"/>
        </w:rPr>
        <w:t>الأهداف</w:t>
      </w:r>
    </w:p>
    <w:p w14:paraId="300FAF8D" w14:textId="43882105" w:rsidR="00B71FEE" w:rsidRDefault="004B2E84" w:rsidP="00B71FEE">
      <w:pPr>
        <w:pStyle w:val="ONUMA"/>
        <w:spacing w:after="120"/>
        <w:rPr>
          <w:rtl/>
        </w:rPr>
      </w:pPr>
      <w:r>
        <w:rPr>
          <w:rFonts w:hint="cs"/>
          <w:rtl/>
        </w:rPr>
        <w:t>يرد فيما يلي الهدفان</w:t>
      </w:r>
      <w:r w:rsidR="00B71FEE">
        <w:rPr>
          <w:rtl/>
        </w:rPr>
        <w:t xml:space="preserve"> </w:t>
      </w:r>
      <w:r>
        <w:rPr>
          <w:rFonts w:hint="cs"/>
          <w:rtl/>
        </w:rPr>
        <w:t>اللذان</w:t>
      </w:r>
      <w:r w:rsidR="00B71FEE">
        <w:rPr>
          <w:rtl/>
        </w:rPr>
        <w:t xml:space="preserve"> يود المكتب الدولي تحقيقه</w:t>
      </w:r>
      <w:r>
        <w:rPr>
          <w:rFonts w:hint="cs"/>
          <w:rtl/>
        </w:rPr>
        <w:t>م</w:t>
      </w:r>
      <w:r w:rsidR="00B71FEE">
        <w:rPr>
          <w:rtl/>
        </w:rPr>
        <w:t>ا في إطار المهمة رقم 66:</w:t>
      </w:r>
    </w:p>
    <w:p w14:paraId="64CE91FE" w14:textId="67879AC0" w:rsidR="00B71FEE" w:rsidRDefault="00B71FEE" w:rsidP="00B71FEE">
      <w:pPr>
        <w:pStyle w:val="ONUMA"/>
        <w:numPr>
          <w:ilvl w:val="0"/>
          <w:numId w:val="23"/>
        </w:numPr>
        <w:spacing w:after="0"/>
        <w:rPr>
          <w:rtl/>
        </w:rPr>
      </w:pPr>
      <w:r>
        <w:rPr>
          <w:rtl/>
        </w:rPr>
        <w:t xml:space="preserve">زيادة عدد ملفات </w:t>
      </w:r>
      <w:r w:rsidR="004B2E84">
        <w:rPr>
          <w:rFonts w:hint="cs"/>
          <w:rtl/>
        </w:rPr>
        <w:t>الإدارة</w:t>
      </w:r>
      <w:r>
        <w:rPr>
          <w:rtl/>
        </w:rPr>
        <w:t xml:space="preserve"> المتوافقة مع</w:t>
      </w:r>
      <w:r w:rsidR="004B2E84">
        <w:rPr>
          <w:rFonts w:hint="cs"/>
          <w:rtl/>
        </w:rPr>
        <w:t xml:space="preserve"> معيار الويبو</w:t>
      </w:r>
      <w:r>
        <w:rPr>
          <w:rtl/>
        </w:rPr>
        <w:t xml:space="preserve"> </w:t>
      </w:r>
      <w:r>
        <w:t>ST.37</w:t>
      </w:r>
      <w:r>
        <w:rPr>
          <w:rtl/>
        </w:rPr>
        <w:t xml:space="preserve"> والمتاحة على </w:t>
      </w:r>
      <w:hyperlink r:id="rId12" w:history="1">
        <w:r w:rsidRPr="004B2E84">
          <w:rPr>
            <w:rStyle w:val="Hyperlink"/>
            <w:rtl/>
          </w:rPr>
          <w:t>بوابة</w:t>
        </w:r>
        <w:r w:rsidR="004B2E84" w:rsidRPr="004B2E84">
          <w:rPr>
            <w:rStyle w:val="Hyperlink"/>
            <w:rFonts w:hint="cs"/>
            <w:rtl/>
          </w:rPr>
          <w:t xml:space="preserve"> الويبو</w:t>
        </w:r>
        <w:r w:rsidRPr="004B2E84">
          <w:rPr>
            <w:rStyle w:val="Hyperlink"/>
            <w:rtl/>
          </w:rPr>
          <w:t xml:space="preserve"> </w:t>
        </w:r>
        <w:r w:rsidR="004B2E84" w:rsidRPr="004B2E84">
          <w:rPr>
            <w:rStyle w:val="Hyperlink"/>
            <w:rFonts w:hint="cs"/>
            <w:rtl/>
          </w:rPr>
          <w:t>ل</w:t>
        </w:r>
        <w:r w:rsidRPr="004B2E84">
          <w:rPr>
            <w:rStyle w:val="Hyperlink"/>
            <w:rtl/>
          </w:rPr>
          <w:t xml:space="preserve">ملفات </w:t>
        </w:r>
        <w:r w:rsidR="004B2E84" w:rsidRPr="004B2E84">
          <w:rPr>
            <w:rStyle w:val="Hyperlink"/>
            <w:rFonts w:hint="cs"/>
            <w:rtl/>
          </w:rPr>
          <w:t>الإدارة</w:t>
        </w:r>
      </w:hyperlink>
      <w:r>
        <w:rPr>
          <w:rtl/>
        </w:rPr>
        <w:t xml:space="preserve">؛ </w:t>
      </w:r>
    </w:p>
    <w:p w14:paraId="54DD8185" w14:textId="51D19620" w:rsidR="00FE37DB" w:rsidRDefault="004B2E84" w:rsidP="00B71FEE">
      <w:pPr>
        <w:pStyle w:val="ONUMA"/>
        <w:numPr>
          <w:ilvl w:val="0"/>
          <w:numId w:val="23"/>
        </w:numPr>
      </w:pPr>
      <w:r>
        <w:rPr>
          <w:rFonts w:hint="cs"/>
          <w:rtl/>
        </w:rPr>
        <w:t>و</w:t>
      </w:r>
      <w:r w:rsidR="00B71FEE">
        <w:rPr>
          <w:rtl/>
        </w:rPr>
        <w:t>دعم أنشطة فرقة العمل المعنية بالحد الأدنى من الوثائق</w:t>
      </w:r>
      <w:r>
        <w:rPr>
          <w:rFonts w:hint="cs"/>
          <w:rtl/>
        </w:rPr>
        <w:t xml:space="preserve"> المنصوص عليها في</w:t>
      </w:r>
      <w:r w:rsidR="00B71FEE">
        <w:rPr>
          <w:rtl/>
        </w:rPr>
        <w:t xml:space="preserve"> معاهدة التعاون بشأن البراءات.</w:t>
      </w:r>
    </w:p>
    <w:p w14:paraId="7072324B" w14:textId="232D601B" w:rsidR="00B71FEE" w:rsidRPr="00B71FEE" w:rsidRDefault="00B71FEE" w:rsidP="00B71FEE">
      <w:pPr>
        <w:pStyle w:val="Heading2"/>
        <w:rPr>
          <w:b/>
          <w:bCs w:val="0"/>
          <w:i/>
          <w:iCs w:val="0"/>
          <w:sz w:val="22"/>
          <w:szCs w:val="22"/>
          <w:u w:val="single"/>
          <w:lang w:val="fr-FR" w:bidi="ar-SY"/>
        </w:rPr>
      </w:pPr>
      <w:r>
        <w:rPr>
          <w:rFonts w:hint="cs"/>
          <w:b/>
          <w:bCs w:val="0"/>
          <w:i/>
          <w:iCs w:val="0"/>
          <w:sz w:val="22"/>
          <w:szCs w:val="22"/>
          <w:u w:val="single"/>
          <w:rtl/>
          <w:lang w:val="fr-FR" w:bidi="ar-SY"/>
        </w:rPr>
        <w:t>التقدم المحرز</w:t>
      </w:r>
    </w:p>
    <w:p w14:paraId="59460390" w14:textId="6E2D808F" w:rsidR="00FE37DB" w:rsidRDefault="00B71FEE" w:rsidP="00FE37DB">
      <w:pPr>
        <w:pStyle w:val="ONUMA"/>
      </w:pPr>
      <w:r w:rsidRPr="00B71FEE">
        <w:rPr>
          <w:rtl/>
        </w:rPr>
        <w:t xml:space="preserve">منذ </w:t>
      </w:r>
      <w:r w:rsidR="005E77FF">
        <w:rPr>
          <w:rFonts w:hint="cs"/>
          <w:rtl/>
        </w:rPr>
        <w:t xml:space="preserve">انعقاد </w:t>
      </w:r>
      <w:r w:rsidRPr="00B71FEE">
        <w:rPr>
          <w:rtl/>
        </w:rPr>
        <w:t xml:space="preserve">الدورة الحادية عشرة للجنة المعايير، </w:t>
      </w:r>
      <w:r w:rsidR="00336C24">
        <w:rPr>
          <w:rFonts w:hint="cs"/>
          <w:rtl/>
        </w:rPr>
        <w:t>أصدرت</w:t>
      </w:r>
      <w:r w:rsidRPr="00B71FEE">
        <w:rPr>
          <w:rtl/>
        </w:rPr>
        <w:t xml:space="preserve"> الأمانة التعميم </w:t>
      </w:r>
      <w:hyperlink r:id="rId13" w:history="1">
        <w:r w:rsidRPr="00DC1AB3">
          <w:rPr>
            <w:rStyle w:val="Hyperlink"/>
          </w:rPr>
          <w:t>C.CWS 177</w:t>
        </w:r>
      </w:hyperlink>
      <w:r w:rsidRPr="00B71FEE">
        <w:rPr>
          <w:rtl/>
        </w:rPr>
        <w:t xml:space="preserve"> الذي يدعو مكاتب الملكية الفكرية إلى تقديم تحديثاتها السنوية لملفات الإدارة المنشورة حالي</w:t>
      </w:r>
      <w:r w:rsidR="00336C24">
        <w:rPr>
          <w:rFonts w:hint="cs"/>
          <w:rtl/>
        </w:rPr>
        <w:t>اً،</w:t>
      </w:r>
      <w:r w:rsidRPr="00B71FEE">
        <w:rPr>
          <w:rtl/>
        </w:rPr>
        <w:t xml:space="preserve"> </w:t>
      </w:r>
      <w:r w:rsidR="00336C24">
        <w:rPr>
          <w:rFonts w:hint="cs"/>
          <w:rtl/>
        </w:rPr>
        <w:t>فضلاً عن</w:t>
      </w:r>
      <w:r w:rsidRPr="00B71FEE">
        <w:rPr>
          <w:rtl/>
        </w:rPr>
        <w:t xml:space="preserve"> أي طلبات دعم قد تكون لديها. وبما أنه لم </w:t>
      </w:r>
      <w:r w:rsidR="00336C24">
        <w:rPr>
          <w:rFonts w:hint="cs"/>
          <w:rtl/>
        </w:rPr>
        <w:t>ترد</w:t>
      </w:r>
      <w:r w:rsidRPr="00B71FEE">
        <w:rPr>
          <w:rtl/>
        </w:rPr>
        <w:t xml:space="preserve"> أي تعليقات من المكاتب</w:t>
      </w:r>
      <w:r w:rsidR="00336C24">
        <w:rPr>
          <w:rFonts w:hint="cs"/>
          <w:rtl/>
        </w:rPr>
        <w:t xml:space="preserve">، </w:t>
      </w:r>
      <w:r w:rsidRPr="00B71FEE">
        <w:rPr>
          <w:rtl/>
        </w:rPr>
        <w:t>رد</w:t>
      </w:r>
      <w:r w:rsidR="00336C24">
        <w:rPr>
          <w:rFonts w:hint="cs"/>
          <w:rtl/>
        </w:rPr>
        <w:t>اً</w:t>
      </w:r>
      <w:r w:rsidRPr="00B71FEE">
        <w:rPr>
          <w:rtl/>
        </w:rPr>
        <w:t xml:space="preserve"> على</w:t>
      </w:r>
      <w:r w:rsidR="00336C24">
        <w:rPr>
          <w:rFonts w:hint="cs"/>
          <w:rtl/>
        </w:rPr>
        <w:t xml:space="preserve"> هذا</w:t>
      </w:r>
      <w:r w:rsidRPr="00B71FEE">
        <w:rPr>
          <w:rtl/>
        </w:rPr>
        <w:t xml:space="preserve"> التعميم</w:t>
      </w:r>
      <w:r w:rsidR="00336C24">
        <w:rPr>
          <w:rFonts w:hint="cs"/>
          <w:rtl/>
        </w:rPr>
        <w:t>،</w:t>
      </w:r>
      <w:r w:rsidRPr="00B71FEE">
        <w:rPr>
          <w:rtl/>
        </w:rPr>
        <w:t xml:space="preserve"> فمن الصعب تحديد ما يجب </w:t>
      </w:r>
      <w:r w:rsidR="00336C24">
        <w:rPr>
          <w:rFonts w:hint="cs"/>
          <w:rtl/>
        </w:rPr>
        <w:t>أن يفعله</w:t>
      </w:r>
      <w:r w:rsidRPr="00B71FEE">
        <w:rPr>
          <w:rtl/>
        </w:rPr>
        <w:t xml:space="preserve"> المكتب الدولي بالضبط لدعم هذه المكاتب</w:t>
      </w:r>
      <w:r w:rsidR="00FE37DB">
        <w:rPr>
          <w:rtl/>
        </w:rPr>
        <w:t>.</w:t>
      </w:r>
    </w:p>
    <w:p w14:paraId="5C6B3ADB" w14:textId="301A02E3" w:rsidR="00FE37DB" w:rsidRDefault="00FE37DB" w:rsidP="00FE37DB">
      <w:pPr>
        <w:pStyle w:val="ONUMA"/>
      </w:pPr>
      <w:r>
        <w:rPr>
          <w:rtl/>
        </w:rPr>
        <w:t xml:space="preserve"> </w:t>
      </w:r>
      <w:r w:rsidR="00B71FEE" w:rsidRPr="00B71FEE">
        <w:rPr>
          <w:rtl/>
        </w:rPr>
        <w:t xml:space="preserve">وعقدت فرقة العمل المعنية بالحد الأدنى من </w:t>
      </w:r>
      <w:r w:rsidR="00063CB9">
        <w:rPr>
          <w:rtl/>
        </w:rPr>
        <w:t>الوثائق</w:t>
      </w:r>
      <w:r w:rsidR="00063CB9">
        <w:rPr>
          <w:rFonts w:hint="cs"/>
          <w:rtl/>
        </w:rPr>
        <w:t xml:space="preserve"> المنصوص عليها في</w:t>
      </w:r>
      <w:r w:rsidR="00063CB9">
        <w:rPr>
          <w:rtl/>
        </w:rPr>
        <w:t xml:space="preserve"> معاهدة التعاون بشأن البراءات</w:t>
      </w:r>
      <w:r w:rsidR="00063CB9" w:rsidRPr="00B71FEE">
        <w:rPr>
          <w:rtl/>
        </w:rPr>
        <w:t xml:space="preserve"> </w:t>
      </w:r>
      <w:r w:rsidR="00B71FEE" w:rsidRPr="00B71FEE">
        <w:rPr>
          <w:rtl/>
        </w:rPr>
        <w:t xml:space="preserve">دورتها السابعة في أبريل 2024. </w:t>
      </w:r>
      <w:r w:rsidR="00063CB9">
        <w:rPr>
          <w:rFonts w:hint="cs"/>
          <w:rtl/>
        </w:rPr>
        <w:t>واتُفق، خلال</w:t>
      </w:r>
      <w:r w:rsidR="00B71FEE" w:rsidRPr="00B71FEE">
        <w:rPr>
          <w:rtl/>
        </w:rPr>
        <w:t xml:space="preserve"> هذا الاجتماع، على تحديث </w:t>
      </w:r>
      <w:r w:rsidR="00DC1AB3">
        <w:rPr>
          <w:rFonts w:hint="cs"/>
          <w:rtl/>
        </w:rPr>
        <w:t>ا</w:t>
      </w:r>
      <w:r w:rsidR="00B71FEE" w:rsidRPr="00B71FEE">
        <w:rPr>
          <w:rtl/>
        </w:rPr>
        <w:t xml:space="preserve">لتعليمات الإدارية لمعاهدة التعاون بشأن البراءات، بما في ذلك تحديث المرفق </w:t>
      </w:r>
      <w:r w:rsidR="005E77FF">
        <w:rPr>
          <w:rFonts w:hint="cs"/>
          <w:rtl/>
        </w:rPr>
        <w:t>"</w:t>
      </w:r>
      <w:r w:rsidR="00B71FEE" w:rsidRPr="00B71FEE">
        <w:rPr>
          <w:rtl/>
        </w:rPr>
        <w:t>حاء</w:t>
      </w:r>
      <w:r w:rsidR="005E77FF">
        <w:rPr>
          <w:rFonts w:hint="cs"/>
          <w:rtl/>
        </w:rPr>
        <w:t>"</w:t>
      </w:r>
      <w:r w:rsidR="00B71FEE" w:rsidRPr="00B71FEE">
        <w:rPr>
          <w:rtl/>
        </w:rPr>
        <w:t xml:space="preserve">. كما طُلب من مكاتب فرقة العمل تقديم </w:t>
      </w:r>
      <w:r w:rsidR="00063CB9">
        <w:rPr>
          <w:rFonts w:hint="cs"/>
          <w:rtl/>
        </w:rPr>
        <w:t>معلومات محدّثة</w:t>
      </w:r>
      <w:r w:rsidR="00B71FEE" w:rsidRPr="00B71FEE">
        <w:rPr>
          <w:rtl/>
        </w:rPr>
        <w:t xml:space="preserve"> عن حالة استعداداته</w:t>
      </w:r>
      <w:r w:rsidR="00063CB9">
        <w:rPr>
          <w:rFonts w:hint="cs"/>
          <w:rtl/>
        </w:rPr>
        <w:t>ا</w:t>
      </w:r>
      <w:r w:rsidR="00B71FEE" w:rsidRPr="00B71FEE">
        <w:rPr>
          <w:rtl/>
        </w:rPr>
        <w:t xml:space="preserve"> </w:t>
      </w:r>
      <w:r w:rsidR="00063CB9">
        <w:rPr>
          <w:rFonts w:hint="cs"/>
          <w:rtl/>
        </w:rPr>
        <w:t>فيما يتعلق ب</w:t>
      </w:r>
      <w:r w:rsidR="00DC1AB3">
        <w:rPr>
          <w:rFonts w:hint="cs"/>
          <w:rtl/>
        </w:rPr>
        <w:t xml:space="preserve">متطلبات </w:t>
      </w:r>
      <w:r w:rsidR="00063CB9">
        <w:rPr>
          <w:rFonts w:hint="cs"/>
          <w:rtl/>
        </w:rPr>
        <w:t>الحد</w:t>
      </w:r>
      <w:r w:rsidR="00B71FEE" w:rsidRPr="00B71FEE">
        <w:rPr>
          <w:rtl/>
        </w:rPr>
        <w:t xml:space="preserve"> </w:t>
      </w:r>
      <w:r w:rsidR="00063CB9">
        <w:rPr>
          <w:rFonts w:hint="cs"/>
          <w:rtl/>
        </w:rPr>
        <w:t>الأدنى</w:t>
      </w:r>
      <w:r w:rsidR="00B71FEE" w:rsidRPr="00B71FEE">
        <w:rPr>
          <w:rtl/>
        </w:rPr>
        <w:t xml:space="preserve"> الجديد </w:t>
      </w:r>
      <w:r w:rsidR="00063CB9">
        <w:rPr>
          <w:rFonts w:hint="cs"/>
          <w:rtl/>
        </w:rPr>
        <w:t xml:space="preserve">من وثائق </w:t>
      </w:r>
      <w:r w:rsidR="00B71FEE" w:rsidRPr="00B71FEE">
        <w:rPr>
          <w:rtl/>
        </w:rPr>
        <w:t>معاهدة التعاون بشأن البراءات</w:t>
      </w:r>
      <w:r w:rsidR="00063CB9">
        <w:rPr>
          <w:rFonts w:hint="cs"/>
          <w:rtl/>
        </w:rPr>
        <w:t xml:space="preserve">، والذي سيسري </w:t>
      </w:r>
      <w:r w:rsidR="00B71FEE" w:rsidRPr="00B71FEE">
        <w:rPr>
          <w:rtl/>
        </w:rPr>
        <w:t>اعتبار</w:t>
      </w:r>
      <w:r w:rsidR="00063CB9">
        <w:rPr>
          <w:rFonts w:hint="cs"/>
          <w:rtl/>
        </w:rPr>
        <w:t xml:space="preserve">اً من </w:t>
      </w:r>
      <w:r w:rsidR="00B71FEE" w:rsidRPr="00B71FEE">
        <w:rPr>
          <w:rtl/>
        </w:rPr>
        <w:t>1 يناير 2026</w:t>
      </w:r>
      <w:r w:rsidR="001B69A2">
        <w:rPr>
          <w:rFonts w:hint="cs"/>
          <w:rtl/>
        </w:rPr>
        <w:t xml:space="preserve">. </w:t>
      </w:r>
      <w:r w:rsidR="00B71FEE" w:rsidRPr="00B71FEE">
        <w:rPr>
          <w:rtl/>
        </w:rPr>
        <w:t>و</w:t>
      </w:r>
      <w:r w:rsidR="00DC1AB3">
        <w:rPr>
          <w:rFonts w:hint="cs"/>
          <w:rtl/>
        </w:rPr>
        <w:t>قد أ</w:t>
      </w:r>
      <w:r w:rsidR="00B71FEE" w:rsidRPr="00B71FEE">
        <w:rPr>
          <w:rtl/>
        </w:rPr>
        <w:t>عد</w:t>
      </w:r>
      <w:r w:rsidR="00DC1AB3">
        <w:rPr>
          <w:rFonts w:hint="cs"/>
          <w:rtl/>
        </w:rPr>
        <w:t>ّ</w:t>
      </w:r>
      <w:r w:rsidR="00B71FEE" w:rsidRPr="00B71FEE">
        <w:rPr>
          <w:rtl/>
        </w:rPr>
        <w:t xml:space="preserve"> المكتب الأوروبي للبراءات ، بصفته قائد فرقة العمل، سلسلة من قوائم المراجعة لدعم هذا النشاط</w:t>
      </w:r>
      <w:r>
        <w:rPr>
          <w:rtl/>
        </w:rPr>
        <w:t>.</w:t>
      </w:r>
    </w:p>
    <w:p w14:paraId="104DB403" w14:textId="11E080E8" w:rsidR="00FE37DB" w:rsidRDefault="00DC1AB3" w:rsidP="00FE37DB">
      <w:pPr>
        <w:pStyle w:val="ONUMA"/>
      </w:pPr>
      <w:r>
        <w:rPr>
          <w:rFonts w:hint="cs"/>
          <w:rtl/>
        </w:rPr>
        <w:t>و</w:t>
      </w:r>
      <w:r w:rsidR="00B71FEE" w:rsidRPr="00B71FEE">
        <w:rPr>
          <w:rtl/>
        </w:rPr>
        <w:t xml:space="preserve">خلال اجتماع فرقة العمل هذا، عرض المكتب الدولي </w:t>
      </w:r>
      <w:r>
        <w:rPr>
          <w:rFonts w:hint="cs"/>
          <w:rtl/>
        </w:rPr>
        <w:t>تنظيم</w:t>
      </w:r>
      <w:r w:rsidR="00B71FEE" w:rsidRPr="00B71FEE">
        <w:rPr>
          <w:rtl/>
        </w:rPr>
        <w:t xml:space="preserve"> سلسلة من العيادات ل</w:t>
      </w:r>
      <w:r>
        <w:rPr>
          <w:rFonts w:hint="cs"/>
          <w:rtl/>
        </w:rPr>
        <w:t xml:space="preserve">فائدة </w:t>
      </w:r>
      <w:r w:rsidR="00B71FEE" w:rsidRPr="00B71FEE">
        <w:rPr>
          <w:rtl/>
        </w:rPr>
        <w:t xml:space="preserve">مكاتب الملكية الفكرية </w:t>
      </w:r>
      <w:r>
        <w:rPr>
          <w:rFonts w:hint="cs"/>
          <w:rtl/>
        </w:rPr>
        <w:t>لمساعدتها في أي مرحلة من مراحل تنفيذ المتطلبات الجديدة لوثائق البراءات</w:t>
      </w:r>
      <w:r w:rsidR="00B71FEE" w:rsidRPr="00B71FEE">
        <w:rPr>
          <w:rtl/>
        </w:rPr>
        <w:t xml:space="preserve">، </w:t>
      </w:r>
      <w:r>
        <w:rPr>
          <w:rFonts w:hint="cs"/>
          <w:rtl/>
        </w:rPr>
        <w:t>على النحو المبين</w:t>
      </w:r>
      <w:r w:rsidR="00B71FEE" w:rsidRPr="00B71FEE">
        <w:rPr>
          <w:rtl/>
        </w:rPr>
        <w:t xml:space="preserve"> في الفقرة 6 أعلاه. </w:t>
      </w:r>
      <w:r>
        <w:rPr>
          <w:rFonts w:hint="cs"/>
          <w:rtl/>
        </w:rPr>
        <w:t>و</w:t>
      </w:r>
      <w:r w:rsidR="00B71FEE" w:rsidRPr="00B71FEE">
        <w:rPr>
          <w:rtl/>
        </w:rPr>
        <w:t xml:space="preserve">ستكون المشاركة في هذه العيادات طوعية </w:t>
      </w:r>
      <w:r>
        <w:rPr>
          <w:rFonts w:hint="cs"/>
          <w:rtl/>
        </w:rPr>
        <w:t>و</w:t>
      </w:r>
      <w:r w:rsidR="00B71FEE" w:rsidRPr="00B71FEE">
        <w:rPr>
          <w:rtl/>
        </w:rPr>
        <w:t xml:space="preserve">عادةً </w:t>
      </w:r>
      <w:r>
        <w:rPr>
          <w:rFonts w:hint="cs"/>
          <w:rtl/>
        </w:rPr>
        <w:t>ما تكون ثنائية</w:t>
      </w:r>
      <w:r w:rsidR="00B71FEE" w:rsidRPr="00B71FEE">
        <w:rPr>
          <w:rtl/>
        </w:rPr>
        <w:t xml:space="preserve">. وكخطوة أولى، </w:t>
      </w:r>
      <w:r>
        <w:rPr>
          <w:rFonts w:hint="cs"/>
          <w:rtl/>
        </w:rPr>
        <w:t>وضع</w:t>
      </w:r>
      <w:r w:rsidR="00B71FEE" w:rsidRPr="00B71FEE">
        <w:rPr>
          <w:rtl/>
        </w:rPr>
        <w:t xml:space="preserve"> المكتب الدولي قائمة مرجعية للتقييم الذاتي لتحديد نوع العيادة التي </w:t>
      </w:r>
      <w:r>
        <w:rPr>
          <w:rFonts w:hint="cs"/>
          <w:rtl/>
        </w:rPr>
        <w:t>تناسب كل مكتب على أفضل وجه</w:t>
      </w:r>
      <w:r w:rsidR="00B71FEE" w:rsidRPr="00B71FEE">
        <w:rPr>
          <w:rtl/>
        </w:rPr>
        <w:t xml:space="preserve">. </w:t>
      </w:r>
      <w:r>
        <w:rPr>
          <w:rFonts w:hint="cs"/>
          <w:rtl/>
        </w:rPr>
        <w:t>ونُشرت</w:t>
      </w:r>
      <w:r w:rsidR="00B71FEE" w:rsidRPr="00B71FEE">
        <w:rPr>
          <w:rtl/>
        </w:rPr>
        <w:t xml:space="preserve"> معايير تقييم جاهزية المكتب على </w:t>
      </w:r>
      <w:r>
        <w:rPr>
          <w:rFonts w:hint="cs"/>
          <w:rtl/>
        </w:rPr>
        <w:t>صفحة</w:t>
      </w:r>
      <w:r w:rsidR="00B71FEE" w:rsidRPr="00B71FEE">
        <w:rPr>
          <w:rtl/>
        </w:rPr>
        <w:t xml:space="preserve"> الويكي الخاصة بفرقة العمل المعنية بالحد الأدنى من الوثائق </w:t>
      </w:r>
      <w:r>
        <w:rPr>
          <w:rFonts w:hint="cs"/>
          <w:rtl/>
        </w:rPr>
        <w:t>المنصوص عليها</w:t>
      </w:r>
      <w:r w:rsidR="00B71FEE" w:rsidRPr="00B71FEE">
        <w:rPr>
          <w:rtl/>
        </w:rPr>
        <w:t xml:space="preserve"> </w:t>
      </w:r>
      <w:r>
        <w:rPr>
          <w:rFonts w:hint="cs"/>
          <w:rtl/>
        </w:rPr>
        <w:t xml:space="preserve">في </w:t>
      </w:r>
      <w:r w:rsidR="00B71FEE" w:rsidRPr="00B71FEE">
        <w:rPr>
          <w:rtl/>
        </w:rPr>
        <w:t xml:space="preserve">معاهدة التعاون بشأن البراءات، </w:t>
      </w:r>
      <w:r>
        <w:rPr>
          <w:rFonts w:hint="cs"/>
          <w:rtl/>
        </w:rPr>
        <w:t>ويُشار إليها</w:t>
      </w:r>
      <w:r w:rsidR="00B71FEE" w:rsidRPr="00B71FEE">
        <w:rPr>
          <w:rtl/>
        </w:rPr>
        <w:t xml:space="preserve"> على النحو التالي:</w:t>
      </w:r>
    </w:p>
    <w:p w14:paraId="42537125" w14:textId="3D83ECDA" w:rsidR="00B71FEE" w:rsidRDefault="00B71FEE" w:rsidP="00B71FEE">
      <w:pPr>
        <w:ind w:left="1134" w:hanging="567"/>
        <w:rPr>
          <w:rtl/>
        </w:rPr>
      </w:pPr>
      <w:r>
        <w:rPr>
          <w:rtl/>
        </w:rPr>
        <w:t>(أ)</w:t>
      </w:r>
      <w:r>
        <w:rPr>
          <w:rtl/>
        </w:rPr>
        <w:tab/>
        <w:t xml:space="preserve">القدرة على إنتاج نص كامل قابل للبحث </w:t>
      </w:r>
      <w:r w:rsidR="00E74ADB">
        <w:rPr>
          <w:rFonts w:hint="cs"/>
          <w:rtl/>
        </w:rPr>
        <w:t>ومقروء</w:t>
      </w:r>
      <w:r>
        <w:rPr>
          <w:rtl/>
        </w:rPr>
        <w:t xml:space="preserve"> آلي</w:t>
      </w:r>
      <w:r w:rsidR="00E74ADB">
        <w:rPr>
          <w:rFonts w:hint="cs"/>
          <w:rtl/>
        </w:rPr>
        <w:t>اً</w:t>
      </w:r>
      <w:r>
        <w:rPr>
          <w:rtl/>
        </w:rPr>
        <w:t xml:space="preserve"> للملخص والوصف والمطالبات الخاصة بالوثائق المتعلقة بالحد الأدنى من وثائق معاهدة التعاون بشأن البراءات</w:t>
      </w:r>
      <w:r w:rsidR="00E74ADB">
        <w:rPr>
          <w:rFonts w:hint="cs"/>
          <w:rtl/>
        </w:rPr>
        <w:t xml:space="preserve">، </w:t>
      </w:r>
      <w:r>
        <w:rPr>
          <w:rtl/>
        </w:rPr>
        <w:t>المنشورة في 1 يناير 2026 أو بعده؛</w:t>
      </w:r>
    </w:p>
    <w:p w14:paraId="16286D0A" w14:textId="058911B9" w:rsidR="00B71FEE" w:rsidRDefault="00B71FEE" w:rsidP="00B71FEE">
      <w:pPr>
        <w:ind w:left="567"/>
        <w:rPr>
          <w:rtl/>
        </w:rPr>
      </w:pPr>
      <w:r>
        <w:rPr>
          <w:rtl/>
        </w:rPr>
        <w:t>(ب)</w:t>
      </w:r>
      <w:r>
        <w:rPr>
          <w:rtl/>
        </w:rPr>
        <w:tab/>
        <w:t xml:space="preserve">جرد البيانات المنشورة في 1 يناير 1991 أو بعده، والمتاحة في </w:t>
      </w:r>
      <w:r w:rsidR="007A0482">
        <w:rPr>
          <w:rFonts w:hint="cs"/>
          <w:rtl/>
          <w:lang w:val="fr-FR" w:bidi="ar-SY"/>
        </w:rPr>
        <w:t>نسق مقروء</w:t>
      </w:r>
      <w:r>
        <w:rPr>
          <w:rtl/>
        </w:rPr>
        <w:t xml:space="preserve"> آلي</w:t>
      </w:r>
      <w:r w:rsidR="00E74ADB">
        <w:rPr>
          <w:rFonts w:hint="cs"/>
          <w:rtl/>
        </w:rPr>
        <w:t>اً</w:t>
      </w:r>
      <w:r>
        <w:rPr>
          <w:rtl/>
        </w:rPr>
        <w:t>؛</w:t>
      </w:r>
    </w:p>
    <w:p w14:paraId="27EBCEE2" w14:textId="1F5815F2" w:rsidR="00B71FEE" w:rsidRDefault="00B71FEE" w:rsidP="00B71FEE">
      <w:pPr>
        <w:ind w:firstLine="567"/>
        <w:rPr>
          <w:rtl/>
        </w:rPr>
      </w:pPr>
      <w:r>
        <w:rPr>
          <w:rtl/>
        </w:rPr>
        <w:t>(ج)</w:t>
      </w:r>
      <w:r>
        <w:rPr>
          <w:rtl/>
        </w:rPr>
        <w:tab/>
        <w:t xml:space="preserve">القدرة على تنسيق بيانات البراءات </w:t>
      </w:r>
      <w:r w:rsidR="00E74ADB">
        <w:rPr>
          <w:rFonts w:hint="cs"/>
          <w:rtl/>
        </w:rPr>
        <w:t>وفقاً</w:t>
      </w:r>
      <w:r>
        <w:rPr>
          <w:rtl/>
        </w:rPr>
        <w:t xml:space="preserve"> </w:t>
      </w:r>
      <w:r w:rsidR="00E74ADB">
        <w:rPr>
          <w:rFonts w:hint="cs"/>
          <w:rtl/>
        </w:rPr>
        <w:t>ل</w:t>
      </w:r>
      <w:r>
        <w:rPr>
          <w:rtl/>
        </w:rPr>
        <w:t>مع</w:t>
      </w:r>
      <w:r w:rsidR="00E74ADB">
        <w:rPr>
          <w:rFonts w:hint="cs"/>
          <w:rtl/>
        </w:rPr>
        <w:t>ي</w:t>
      </w:r>
      <w:r>
        <w:rPr>
          <w:rtl/>
        </w:rPr>
        <w:t>ا</w:t>
      </w:r>
      <w:r w:rsidR="00E74ADB">
        <w:rPr>
          <w:rFonts w:hint="cs"/>
          <w:rtl/>
        </w:rPr>
        <w:t>ر</w:t>
      </w:r>
      <w:r>
        <w:rPr>
          <w:rtl/>
        </w:rPr>
        <w:t xml:space="preserve"> الويبو </w:t>
      </w:r>
      <w:r>
        <w:t>ST.36</w:t>
      </w:r>
      <w:r>
        <w:rPr>
          <w:rtl/>
        </w:rPr>
        <w:t xml:space="preserve"> أو </w:t>
      </w:r>
      <w:r>
        <w:t>ST.96</w:t>
      </w:r>
      <w:r w:rsidR="00E74ADB">
        <w:rPr>
          <w:rFonts w:hint="cs"/>
          <w:rtl/>
        </w:rPr>
        <w:t xml:space="preserve">، </w:t>
      </w:r>
      <w:r>
        <w:rPr>
          <w:rtl/>
        </w:rPr>
        <w:t>أو نص عادي أو أي مزيج منهما؛</w:t>
      </w:r>
    </w:p>
    <w:p w14:paraId="1C6C7B10" w14:textId="7B5DA446" w:rsidR="00B71FEE" w:rsidRDefault="00B71FEE" w:rsidP="00B71FEE">
      <w:pPr>
        <w:ind w:firstLine="567"/>
        <w:rPr>
          <w:rtl/>
        </w:rPr>
      </w:pPr>
      <w:r>
        <w:rPr>
          <w:rtl/>
        </w:rPr>
        <w:t>(د)</w:t>
      </w:r>
      <w:r>
        <w:rPr>
          <w:rtl/>
        </w:rPr>
        <w:tab/>
        <w:t xml:space="preserve">القدرة على إنتاج ملف </w:t>
      </w:r>
      <w:r w:rsidR="00E74ADB">
        <w:rPr>
          <w:rFonts w:hint="cs"/>
          <w:rtl/>
        </w:rPr>
        <w:t>إدارة متوافق</w:t>
      </w:r>
      <w:r>
        <w:rPr>
          <w:rtl/>
        </w:rPr>
        <w:t xml:space="preserve"> </w:t>
      </w:r>
      <w:r w:rsidR="00E74ADB">
        <w:rPr>
          <w:rFonts w:hint="cs"/>
          <w:rtl/>
        </w:rPr>
        <w:t>مع</w:t>
      </w:r>
      <w:r>
        <w:rPr>
          <w:rtl/>
        </w:rPr>
        <w:t xml:space="preserve"> معيار الويبو </w:t>
      </w:r>
      <w:r>
        <w:t>ST.37</w:t>
      </w:r>
      <w:r>
        <w:rPr>
          <w:rtl/>
        </w:rPr>
        <w:t xml:space="preserve"> </w:t>
      </w:r>
      <w:r w:rsidR="00E74ADB">
        <w:rPr>
          <w:rFonts w:hint="cs"/>
          <w:rtl/>
        </w:rPr>
        <w:t xml:space="preserve">يحتوي على قائمة جرد </w:t>
      </w:r>
      <w:r w:rsidR="007A0482">
        <w:rPr>
          <w:rFonts w:hint="cs"/>
          <w:rtl/>
        </w:rPr>
        <w:t>اعتباراً من</w:t>
      </w:r>
      <w:r>
        <w:rPr>
          <w:rtl/>
        </w:rPr>
        <w:t xml:space="preserve"> 1 يناير 1991؛</w:t>
      </w:r>
    </w:p>
    <w:p w14:paraId="08B9C8D1" w14:textId="5A5080B2" w:rsidR="00B71FEE" w:rsidRDefault="00B71FEE" w:rsidP="00B71FEE">
      <w:pPr>
        <w:ind w:left="1134" w:hanging="567"/>
        <w:rPr>
          <w:rtl/>
        </w:rPr>
      </w:pPr>
      <w:r>
        <w:rPr>
          <w:rtl/>
        </w:rPr>
        <w:t>(هـ)</w:t>
      </w:r>
      <w:r>
        <w:rPr>
          <w:rtl/>
        </w:rPr>
        <w:tab/>
        <w:t xml:space="preserve">القدرة على إنتاج ملف </w:t>
      </w:r>
      <w:r w:rsidR="00E74ADB">
        <w:rPr>
          <w:rFonts w:hint="cs"/>
          <w:rtl/>
        </w:rPr>
        <w:t>إدارة متوافق</w:t>
      </w:r>
      <w:r>
        <w:rPr>
          <w:rtl/>
        </w:rPr>
        <w:t xml:space="preserve"> </w:t>
      </w:r>
      <w:r w:rsidR="00E74ADB">
        <w:rPr>
          <w:rFonts w:hint="cs"/>
          <w:rtl/>
        </w:rPr>
        <w:t xml:space="preserve">مع </w:t>
      </w:r>
      <w:r>
        <w:rPr>
          <w:rtl/>
        </w:rPr>
        <w:t xml:space="preserve">معيار الويبو </w:t>
      </w:r>
      <w:r>
        <w:t>ST.37</w:t>
      </w:r>
      <w:r w:rsidR="00E74ADB">
        <w:rPr>
          <w:rFonts w:hint="cs"/>
          <w:rtl/>
        </w:rPr>
        <w:t xml:space="preserve"> يحتوي على</w:t>
      </w:r>
      <w:r>
        <w:rPr>
          <w:rtl/>
        </w:rPr>
        <w:t xml:space="preserve"> معلومات حول تو</w:t>
      </w:r>
      <w:r w:rsidR="00E74ADB">
        <w:rPr>
          <w:rFonts w:hint="cs"/>
          <w:rtl/>
        </w:rPr>
        <w:t>ا</w:t>
      </w:r>
      <w:r>
        <w:rPr>
          <w:rtl/>
        </w:rPr>
        <w:t>فر النص الكامل اعتبار</w:t>
      </w:r>
      <w:r w:rsidR="00E74ADB">
        <w:rPr>
          <w:rFonts w:hint="cs"/>
          <w:rtl/>
        </w:rPr>
        <w:t>اً</w:t>
      </w:r>
      <w:r>
        <w:rPr>
          <w:rtl/>
        </w:rPr>
        <w:t xml:space="preserve"> من 1 يناير 2026؛</w:t>
      </w:r>
    </w:p>
    <w:p w14:paraId="5A59AFA6" w14:textId="7D9426BC" w:rsidR="00B71FEE" w:rsidRDefault="00B71FEE" w:rsidP="00B71FEE">
      <w:pPr>
        <w:ind w:firstLine="567"/>
        <w:rPr>
          <w:rtl/>
        </w:rPr>
      </w:pPr>
      <w:r>
        <w:rPr>
          <w:rtl/>
        </w:rPr>
        <w:t>(و)</w:t>
      </w:r>
      <w:r>
        <w:rPr>
          <w:rtl/>
        </w:rPr>
        <w:tab/>
        <w:t xml:space="preserve">مستودع آمن لتخزين بيانات البراءات </w:t>
      </w:r>
      <w:r w:rsidR="007A0482">
        <w:rPr>
          <w:rFonts w:hint="cs"/>
          <w:rtl/>
        </w:rPr>
        <w:t>الخاصة بالوثائق المتعلقة</w:t>
      </w:r>
      <w:r>
        <w:rPr>
          <w:rtl/>
        </w:rPr>
        <w:t xml:space="preserve"> </w:t>
      </w:r>
      <w:r w:rsidR="007A0482">
        <w:rPr>
          <w:rFonts w:hint="cs"/>
          <w:rtl/>
        </w:rPr>
        <w:t>با</w:t>
      </w:r>
      <w:r>
        <w:rPr>
          <w:rtl/>
        </w:rPr>
        <w:t>لحد الأدنى من وثائق معاهدة التعاون بشأن البراءات؛</w:t>
      </w:r>
    </w:p>
    <w:p w14:paraId="3DB45636" w14:textId="765888C1" w:rsidR="00B71FEE" w:rsidRDefault="00B71FEE" w:rsidP="00B71FEE">
      <w:pPr>
        <w:ind w:left="1134" w:hanging="567"/>
        <w:rPr>
          <w:rtl/>
        </w:rPr>
      </w:pPr>
      <w:r>
        <w:rPr>
          <w:rtl/>
        </w:rPr>
        <w:t>(ز)</w:t>
      </w:r>
      <w:r>
        <w:rPr>
          <w:rtl/>
        </w:rPr>
        <w:tab/>
        <w:t>العمليات/الإجراءات اللازمة لإتاحة البيانات</w:t>
      </w:r>
      <w:r w:rsidR="00E74ADB">
        <w:rPr>
          <w:rFonts w:hint="cs"/>
          <w:rtl/>
        </w:rPr>
        <w:t xml:space="preserve">، </w:t>
      </w:r>
      <w:r>
        <w:rPr>
          <w:rtl/>
        </w:rPr>
        <w:t>ويفضل أن يتم ذلك في غضون شهر واحد ولكن في موعد لا يتجاوز شهرين من تاريخ النشر؛</w:t>
      </w:r>
    </w:p>
    <w:p w14:paraId="2634305D" w14:textId="39A08021" w:rsidR="00B71FEE" w:rsidRPr="007A0482" w:rsidRDefault="00B71FEE" w:rsidP="00B71FEE">
      <w:pPr>
        <w:spacing w:after="220"/>
        <w:ind w:firstLine="567"/>
        <w:rPr>
          <w:lang w:val="fr-CH"/>
        </w:rPr>
      </w:pPr>
      <w:r>
        <w:rPr>
          <w:rtl/>
        </w:rPr>
        <w:t>(ح)</w:t>
      </w:r>
      <w:r>
        <w:rPr>
          <w:rtl/>
        </w:rPr>
        <w:tab/>
        <w:t xml:space="preserve">ملف التعريف مع رموز </w:t>
      </w:r>
      <w:r w:rsidR="007A0482">
        <w:rPr>
          <w:rFonts w:hint="cs"/>
          <w:rtl/>
        </w:rPr>
        <w:t>استثناء النشر</w:t>
      </w:r>
      <w:r>
        <w:rPr>
          <w:rtl/>
        </w:rPr>
        <w:t xml:space="preserve"> المتاحة.</w:t>
      </w:r>
    </w:p>
    <w:p w14:paraId="0FFF9EF3" w14:textId="57F5BCE4" w:rsidR="00FE37DB" w:rsidRDefault="00B71FEE" w:rsidP="00FE37DB">
      <w:pPr>
        <w:pStyle w:val="ONUMA"/>
      </w:pPr>
      <w:r w:rsidRPr="00B71FEE">
        <w:rPr>
          <w:rtl/>
        </w:rPr>
        <w:t>وبعد اجتماع فرقة العمل، تواصلت عدة مكاتب مع المكتب الأوروبي للبراءات والمكتب الدولي ل</w:t>
      </w:r>
      <w:r w:rsidR="00A65DE8">
        <w:rPr>
          <w:rFonts w:hint="cs"/>
          <w:rtl/>
        </w:rPr>
        <w:t>لحصول على ا</w:t>
      </w:r>
      <w:r w:rsidRPr="00B71FEE">
        <w:rPr>
          <w:rtl/>
        </w:rPr>
        <w:t xml:space="preserve">لمساعدة </w:t>
      </w:r>
      <w:r w:rsidR="00A65DE8">
        <w:rPr>
          <w:rFonts w:hint="cs"/>
          <w:rtl/>
        </w:rPr>
        <w:t>لإعداد</w:t>
      </w:r>
      <w:r w:rsidRPr="00B71FEE">
        <w:rPr>
          <w:rtl/>
        </w:rPr>
        <w:t xml:space="preserve"> ملف </w:t>
      </w:r>
      <w:r w:rsidR="00A65DE8">
        <w:rPr>
          <w:rFonts w:hint="cs"/>
          <w:rtl/>
        </w:rPr>
        <w:t>الإدارة الخاص بها</w:t>
      </w:r>
      <w:r w:rsidRPr="00B71FEE">
        <w:rPr>
          <w:rtl/>
        </w:rPr>
        <w:t xml:space="preserve">، بما في ذلك </w:t>
      </w:r>
      <w:r w:rsidR="00A65DE8">
        <w:rPr>
          <w:rFonts w:hint="cs"/>
          <w:rtl/>
        </w:rPr>
        <w:t xml:space="preserve">مكاتب </w:t>
      </w:r>
      <w:r w:rsidRPr="00B71FEE">
        <w:rPr>
          <w:rtl/>
        </w:rPr>
        <w:t xml:space="preserve">البرازيل وسنغافورة وأوكرانيا. </w:t>
      </w:r>
      <w:r w:rsidR="00A65DE8">
        <w:rPr>
          <w:rFonts w:hint="cs"/>
          <w:rtl/>
        </w:rPr>
        <w:t>وقُدّم</w:t>
      </w:r>
      <w:r w:rsidRPr="00B71FEE">
        <w:rPr>
          <w:rtl/>
        </w:rPr>
        <w:t xml:space="preserve"> الدعم لهذه المكاتب عبر البريد الإلكتروني ومن خلال </w:t>
      </w:r>
      <w:r w:rsidR="00A65DE8">
        <w:rPr>
          <w:rFonts w:hint="cs"/>
          <w:rtl/>
        </w:rPr>
        <w:t>اجتماعات عبر الإنترنت</w:t>
      </w:r>
      <w:r w:rsidR="00FE37DB">
        <w:rPr>
          <w:rtl/>
        </w:rPr>
        <w:t>.</w:t>
      </w:r>
    </w:p>
    <w:p w14:paraId="27262328" w14:textId="7E4F6CD2" w:rsidR="00B71FEE" w:rsidRPr="00B71FEE" w:rsidRDefault="00B71FEE" w:rsidP="00B71FEE">
      <w:pPr>
        <w:pStyle w:val="Heading2"/>
        <w:rPr>
          <w:b/>
          <w:bCs w:val="0"/>
          <w:i/>
          <w:iCs w:val="0"/>
          <w:sz w:val="22"/>
          <w:szCs w:val="22"/>
          <w:u w:val="single"/>
          <w:rtl/>
          <w:lang w:val="fr-FR" w:bidi="ar-SY"/>
        </w:rPr>
      </w:pPr>
      <w:r>
        <w:rPr>
          <w:rFonts w:hint="cs"/>
          <w:b/>
          <w:bCs w:val="0"/>
          <w:i/>
          <w:iCs w:val="0"/>
          <w:sz w:val="22"/>
          <w:szCs w:val="22"/>
          <w:u w:val="single"/>
          <w:rtl/>
          <w:lang w:val="fr-FR" w:bidi="ar-SY"/>
        </w:rPr>
        <w:t>التحديات</w:t>
      </w:r>
    </w:p>
    <w:p w14:paraId="7534A080" w14:textId="6B07DFCB" w:rsidR="0023076E" w:rsidRDefault="0023076E" w:rsidP="0023076E">
      <w:pPr>
        <w:pStyle w:val="ONUMA"/>
      </w:pPr>
      <w:r>
        <w:rPr>
          <w:rtl/>
        </w:rPr>
        <w:t xml:space="preserve">واجه المكتب الدولي التحديات التالية في </w:t>
      </w:r>
      <w:r w:rsidR="00A65DE8">
        <w:rPr>
          <w:rFonts w:hint="cs"/>
          <w:rtl/>
        </w:rPr>
        <w:t>جهوده</w:t>
      </w:r>
      <w:r>
        <w:rPr>
          <w:rtl/>
        </w:rPr>
        <w:t xml:space="preserve"> </w:t>
      </w:r>
      <w:r w:rsidR="00A65DE8">
        <w:rPr>
          <w:rFonts w:hint="cs"/>
          <w:rtl/>
        </w:rPr>
        <w:t>ل</w:t>
      </w:r>
      <w:r>
        <w:rPr>
          <w:rtl/>
        </w:rPr>
        <w:t xml:space="preserve">تشجيع المزيد من المكاتب على </w:t>
      </w:r>
      <w:r w:rsidR="00A65DE8">
        <w:rPr>
          <w:rFonts w:hint="cs"/>
          <w:rtl/>
        </w:rPr>
        <w:t>إعداد</w:t>
      </w:r>
      <w:r>
        <w:rPr>
          <w:rtl/>
        </w:rPr>
        <w:t xml:space="preserve"> ملف </w:t>
      </w:r>
      <w:r w:rsidR="005E77FF">
        <w:rPr>
          <w:rFonts w:hint="cs"/>
          <w:rtl/>
        </w:rPr>
        <w:t>ال</w:t>
      </w:r>
      <w:r>
        <w:rPr>
          <w:rtl/>
        </w:rPr>
        <w:t xml:space="preserve">إدارة </w:t>
      </w:r>
      <w:r w:rsidR="005E77FF">
        <w:rPr>
          <w:rFonts w:hint="cs"/>
          <w:rtl/>
        </w:rPr>
        <w:t>ال</w:t>
      </w:r>
      <w:r>
        <w:rPr>
          <w:rtl/>
        </w:rPr>
        <w:t xml:space="preserve">متوافق مع معيار الويبو </w:t>
      </w:r>
      <w:r>
        <w:t>ST.37</w:t>
      </w:r>
      <w:r>
        <w:rPr>
          <w:rtl/>
        </w:rPr>
        <w:t>:</w:t>
      </w:r>
    </w:p>
    <w:p w14:paraId="7EFE3BD1" w14:textId="41572E6A" w:rsidR="0023076E" w:rsidRDefault="0023076E" w:rsidP="0023076E">
      <w:pPr>
        <w:pStyle w:val="ONUMA"/>
        <w:numPr>
          <w:ilvl w:val="0"/>
          <w:numId w:val="0"/>
        </w:numPr>
        <w:spacing w:after="0"/>
        <w:ind w:left="1134" w:hanging="567"/>
      </w:pPr>
      <w:r>
        <w:rPr>
          <w:rtl/>
        </w:rPr>
        <w:t>(أ)</w:t>
      </w:r>
      <w:r>
        <w:rPr>
          <w:rtl/>
        </w:rPr>
        <w:tab/>
      </w:r>
      <w:r w:rsidR="00A65DE8">
        <w:rPr>
          <w:rFonts w:hint="cs"/>
          <w:rtl/>
        </w:rPr>
        <w:t>في ظل غياب ردود إضافية من مكاتب البراءات</w:t>
      </w:r>
      <w:r>
        <w:rPr>
          <w:rtl/>
        </w:rPr>
        <w:t>، يصعب على المكتب الدولي التخطيط لتوفير الموارد اللازمة للقيام بهذه المهمة</w:t>
      </w:r>
      <w:r w:rsidR="00A65DE8">
        <w:rPr>
          <w:rFonts w:hint="cs"/>
          <w:rtl/>
        </w:rPr>
        <w:t xml:space="preserve">، إذ إن دعم رقمنة نشرات البراءات </w:t>
      </w:r>
      <w:r w:rsidR="007175CB">
        <w:rPr>
          <w:rFonts w:hint="cs"/>
          <w:rtl/>
        </w:rPr>
        <w:t>يستلزم</w:t>
      </w:r>
      <w:r w:rsidR="00A65DE8">
        <w:rPr>
          <w:rFonts w:hint="cs"/>
          <w:rtl/>
        </w:rPr>
        <w:t xml:space="preserve"> مهارات </w:t>
      </w:r>
      <w:r w:rsidR="007175CB">
        <w:rPr>
          <w:rFonts w:hint="cs"/>
          <w:rtl/>
        </w:rPr>
        <w:t>تختلف</w:t>
      </w:r>
      <w:r w:rsidR="00A65DE8">
        <w:rPr>
          <w:rFonts w:hint="cs"/>
          <w:rtl/>
        </w:rPr>
        <w:t xml:space="preserve"> عن</w:t>
      </w:r>
      <w:r w:rsidR="007175CB">
        <w:rPr>
          <w:rFonts w:hint="cs"/>
          <w:rtl/>
        </w:rPr>
        <w:t xml:space="preserve"> تلك التي يستلزمها</w:t>
      </w:r>
      <w:r w:rsidR="00A65DE8">
        <w:rPr>
          <w:rFonts w:hint="cs"/>
          <w:rtl/>
        </w:rPr>
        <w:t xml:space="preserve"> </w:t>
      </w:r>
      <w:r>
        <w:rPr>
          <w:rtl/>
        </w:rPr>
        <w:t>إ</w:t>
      </w:r>
      <w:r w:rsidR="00A65DE8">
        <w:rPr>
          <w:rFonts w:hint="cs"/>
          <w:rtl/>
        </w:rPr>
        <w:t>عداد ملف إدارة البراءات</w:t>
      </w:r>
      <w:r w:rsidR="007175CB">
        <w:rPr>
          <w:rFonts w:hint="cs"/>
          <w:rtl/>
        </w:rPr>
        <w:t>؛</w:t>
      </w:r>
    </w:p>
    <w:p w14:paraId="1944B9B7" w14:textId="06513662" w:rsidR="0023076E" w:rsidRDefault="0023076E" w:rsidP="0023076E">
      <w:pPr>
        <w:pStyle w:val="ONUMA"/>
        <w:numPr>
          <w:ilvl w:val="0"/>
          <w:numId w:val="0"/>
        </w:numPr>
        <w:ind w:left="1134" w:hanging="567"/>
        <w:rPr>
          <w:rtl/>
        </w:rPr>
      </w:pPr>
      <w:r>
        <w:rPr>
          <w:rtl/>
        </w:rPr>
        <w:t>(ب)</w:t>
      </w:r>
      <w:r>
        <w:rPr>
          <w:rtl/>
        </w:rPr>
        <w:tab/>
      </w:r>
      <w:r w:rsidR="007175CB">
        <w:rPr>
          <w:rFonts w:hint="cs"/>
          <w:rtl/>
        </w:rPr>
        <w:t xml:space="preserve">لدى </w:t>
      </w:r>
      <w:r>
        <w:rPr>
          <w:rtl/>
        </w:rPr>
        <w:t xml:space="preserve">أعضاء فرقة العمل المعنية بالحد الأدنى </w:t>
      </w:r>
      <w:r w:rsidR="007175CB">
        <w:rPr>
          <w:rFonts w:hint="cs"/>
          <w:rtl/>
        </w:rPr>
        <w:t>من الوثائق المنصوص عليها في</w:t>
      </w:r>
      <w:r>
        <w:rPr>
          <w:rtl/>
        </w:rPr>
        <w:t xml:space="preserve"> معاهدة التعاون بشأن البراءات</w:t>
      </w:r>
      <w:r w:rsidR="007175CB">
        <w:rPr>
          <w:rFonts w:hint="cs"/>
          <w:rtl/>
        </w:rPr>
        <w:t xml:space="preserve"> مهلة زم</w:t>
      </w:r>
      <w:r w:rsidR="005E77FF">
        <w:rPr>
          <w:rFonts w:hint="cs"/>
          <w:rtl/>
        </w:rPr>
        <w:t>ن</w:t>
      </w:r>
      <w:r w:rsidR="007175CB">
        <w:rPr>
          <w:rFonts w:hint="cs"/>
          <w:rtl/>
        </w:rPr>
        <w:t>ية محدودة</w:t>
      </w:r>
      <w:r>
        <w:rPr>
          <w:rtl/>
        </w:rPr>
        <w:t xml:space="preserve"> للوفاء بالمتطلبات الجديدة </w:t>
      </w:r>
      <w:r w:rsidR="005E77FF">
        <w:rPr>
          <w:rFonts w:hint="cs"/>
          <w:rtl/>
        </w:rPr>
        <w:t>لوثائق</w:t>
      </w:r>
      <w:r>
        <w:rPr>
          <w:rtl/>
        </w:rPr>
        <w:t xml:space="preserve"> البراءات، مع تحديد الموعد النهائي لإتاحة الملف رقمي</w:t>
      </w:r>
      <w:r w:rsidR="007175CB">
        <w:rPr>
          <w:rFonts w:hint="cs"/>
          <w:rtl/>
        </w:rPr>
        <w:t>اً</w:t>
      </w:r>
      <w:r>
        <w:rPr>
          <w:rtl/>
        </w:rPr>
        <w:t xml:space="preserve"> في 1 يناير 2026.</w:t>
      </w:r>
    </w:p>
    <w:p w14:paraId="4EFD5A04" w14:textId="2212DF4E" w:rsidR="0023076E" w:rsidRPr="0023076E" w:rsidRDefault="0023076E" w:rsidP="0023076E">
      <w:pPr>
        <w:pStyle w:val="Heading2"/>
        <w:rPr>
          <w:b/>
          <w:bCs w:val="0"/>
          <w:i/>
          <w:iCs w:val="0"/>
          <w:sz w:val="22"/>
          <w:szCs w:val="22"/>
          <w:u w:val="single"/>
          <w:lang w:val="fr-FR" w:bidi="ar-SY"/>
        </w:rPr>
      </w:pPr>
      <w:r>
        <w:rPr>
          <w:rFonts w:hint="cs"/>
          <w:b/>
          <w:bCs w:val="0"/>
          <w:i/>
          <w:iCs w:val="0"/>
          <w:sz w:val="22"/>
          <w:szCs w:val="22"/>
          <w:u w:val="single"/>
          <w:rtl/>
          <w:lang w:val="fr-FR" w:bidi="ar-SY"/>
        </w:rPr>
        <w:lastRenderedPageBreak/>
        <w:t>العمل المقبل</w:t>
      </w:r>
    </w:p>
    <w:p w14:paraId="7BAF56C9" w14:textId="6E79D610" w:rsidR="00FE37DB" w:rsidRDefault="0023076E" w:rsidP="00FE37DB">
      <w:pPr>
        <w:pStyle w:val="ONUMA"/>
      </w:pPr>
      <w:r w:rsidRPr="0023076E">
        <w:rPr>
          <w:rtl/>
        </w:rPr>
        <w:t>يقوم المكتب الدولي حالي</w:t>
      </w:r>
      <w:r w:rsidR="007175CB">
        <w:rPr>
          <w:rFonts w:hint="cs"/>
          <w:rtl/>
        </w:rPr>
        <w:t>اً</w:t>
      </w:r>
      <w:r w:rsidRPr="0023076E">
        <w:rPr>
          <w:rtl/>
        </w:rPr>
        <w:t xml:space="preserve"> بالتنسيق مع المكاتب المهتمة لتحديد مواعيد</w:t>
      </w:r>
      <w:r w:rsidR="007175CB">
        <w:rPr>
          <w:rFonts w:hint="cs"/>
          <w:rtl/>
        </w:rPr>
        <w:t xml:space="preserve"> </w:t>
      </w:r>
      <w:r w:rsidRPr="0023076E">
        <w:rPr>
          <w:rtl/>
        </w:rPr>
        <w:t xml:space="preserve">العيادات الثنائية التي ينبغي </w:t>
      </w:r>
      <w:r w:rsidR="007175CB">
        <w:rPr>
          <w:rFonts w:hint="cs"/>
          <w:rtl/>
        </w:rPr>
        <w:t>تنظيمها</w:t>
      </w:r>
      <w:r w:rsidRPr="0023076E">
        <w:rPr>
          <w:rtl/>
        </w:rPr>
        <w:t xml:space="preserve"> ل</w:t>
      </w:r>
      <w:r w:rsidR="007175CB">
        <w:rPr>
          <w:rFonts w:hint="cs"/>
          <w:rtl/>
        </w:rPr>
        <w:t>فائدة ا</w:t>
      </w:r>
      <w:r w:rsidRPr="0023076E">
        <w:rPr>
          <w:rtl/>
        </w:rPr>
        <w:t>لمكاتب التي هي في أمس الحاجة إلى الدعم</w:t>
      </w:r>
      <w:r w:rsidR="007175CB">
        <w:rPr>
          <w:rFonts w:hint="cs"/>
          <w:rtl/>
        </w:rPr>
        <w:t xml:space="preserve">، </w:t>
      </w:r>
      <w:r w:rsidRPr="0023076E">
        <w:rPr>
          <w:rtl/>
        </w:rPr>
        <w:t xml:space="preserve">قبل نهاية عام 2024. وبعد ذلك، </w:t>
      </w:r>
      <w:r w:rsidR="007175CB">
        <w:rPr>
          <w:rFonts w:hint="cs"/>
          <w:rtl/>
        </w:rPr>
        <w:t xml:space="preserve">ستنظم </w:t>
      </w:r>
      <w:r w:rsidRPr="0023076E">
        <w:rPr>
          <w:rtl/>
        </w:rPr>
        <w:t xml:space="preserve">عيادات </w:t>
      </w:r>
      <w:r w:rsidR="007175CB">
        <w:rPr>
          <w:rFonts w:hint="cs"/>
          <w:rtl/>
        </w:rPr>
        <w:t>موجهة</w:t>
      </w:r>
      <w:r w:rsidRPr="0023076E">
        <w:rPr>
          <w:rtl/>
        </w:rPr>
        <w:t xml:space="preserve"> </w:t>
      </w:r>
      <w:r w:rsidR="007175CB">
        <w:rPr>
          <w:rFonts w:hint="cs"/>
          <w:rtl/>
        </w:rPr>
        <w:t>ل</w:t>
      </w:r>
      <w:r w:rsidRPr="0023076E">
        <w:rPr>
          <w:rtl/>
        </w:rPr>
        <w:t xml:space="preserve">لمكاتب الأقرب إلى </w:t>
      </w:r>
      <w:r w:rsidR="007175CB">
        <w:rPr>
          <w:rFonts w:hint="cs"/>
          <w:rtl/>
        </w:rPr>
        <w:t>استيفاء</w:t>
      </w:r>
      <w:r w:rsidRPr="0023076E">
        <w:rPr>
          <w:rtl/>
        </w:rPr>
        <w:t xml:space="preserve"> متطلبات وثائق البراءات</w:t>
      </w:r>
      <w:r w:rsidR="007175CB">
        <w:rPr>
          <w:rFonts w:hint="cs"/>
          <w:rtl/>
        </w:rPr>
        <w:t xml:space="preserve">، </w:t>
      </w:r>
      <w:r w:rsidRPr="0023076E">
        <w:rPr>
          <w:rtl/>
        </w:rPr>
        <w:t xml:space="preserve">ولكن </w:t>
      </w:r>
      <w:r w:rsidR="007175CB">
        <w:rPr>
          <w:rFonts w:hint="cs"/>
          <w:rtl/>
        </w:rPr>
        <w:t>لم يُحدد موعد لها بعد</w:t>
      </w:r>
      <w:r w:rsidR="00FE37DB" w:rsidRPr="00FE37DB">
        <w:rPr>
          <w:rtl/>
        </w:rPr>
        <w:t>.</w:t>
      </w:r>
    </w:p>
    <w:p w14:paraId="1C9B04EF" w14:textId="3D20D92E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>
        <w:rPr>
          <w:rFonts w:hint="cs"/>
          <w:i/>
          <w:iCs/>
          <w:rtl/>
        </w:rPr>
        <w:t xml:space="preserve">11. </w:t>
      </w:r>
      <w:r>
        <w:rPr>
          <w:i/>
          <w:iCs/>
          <w:rtl/>
        </w:rPr>
        <w:tab/>
      </w:r>
      <w:r w:rsidRPr="00FE37DB">
        <w:rPr>
          <w:i/>
          <w:iCs/>
          <w:rtl/>
        </w:rPr>
        <w:t>إن لجنة المعايير مدعوة إلى:</w:t>
      </w:r>
    </w:p>
    <w:p w14:paraId="02190C3C" w14:textId="22A9A98E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(أ)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الإحاطة علماً</w:t>
      </w:r>
      <w:r w:rsidRPr="00FE37DB">
        <w:rPr>
          <w:i/>
          <w:iCs/>
          <w:rtl/>
        </w:rPr>
        <w:t xml:space="preserve">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محتوى هذه الوثيقة</w:t>
      </w:r>
      <w:r w:rsidR="0023076E">
        <w:rPr>
          <w:rFonts w:hint="cs"/>
          <w:i/>
          <w:iCs/>
          <w:rtl/>
        </w:rPr>
        <w:t>، ولا سيما التحديات المبينة في الفقرة 9</w:t>
      </w:r>
      <w:r w:rsidRPr="00FE37DB">
        <w:rPr>
          <w:i/>
          <w:iCs/>
          <w:rtl/>
        </w:rPr>
        <w:t>؛</w:t>
      </w:r>
    </w:p>
    <w:p w14:paraId="78E73280" w14:textId="58D59026" w:rsidR="00FE37DB" w:rsidRPr="00FE37DB" w:rsidRDefault="00FE37DB" w:rsidP="0023076E">
      <w:pPr>
        <w:pStyle w:val="ONUMA"/>
        <w:numPr>
          <w:ilvl w:val="0"/>
          <w:numId w:val="0"/>
        </w:numPr>
        <w:spacing w:after="480"/>
        <w:ind w:left="5534"/>
        <w:rPr>
          <w:i/>
          <w:iCs/>
          <w:rtl/>
        </w:rPr>
      </w:pPr>
      <w:r w:rsidRPr="00FE37DB">
        <w:rPr>
          <w:i/>
          <w:iCs/>
          <w:rtl/>
        </w:rPr>
        <w:t>(ب)</w:t>
      </w:r>
      <w:r w:rsidRPr="00FE37DB">
        <w:rPr>
          <w:i/>
          <w:iCs/>
          <w:rtl/>
        </w:rPr>
        <w:tab/>
      </w:r>
      <w:r w:rsidR="0023076E">
        <w:rPr>
          <w:rFonts w:hint="cs"/>
          <w:i/>
          <w:iCs/>
          <w:rtl/>
        </w:rPr>
        <w:t xml:space="preserve">وتشجيع مكاتب الملكية الفكرية على المشاركة في العيادات التي ينظمها المكتب الدولي بعد إجراء التقييم الذاتي، على النحو المبين في الفقرة 10 </w:t>
      </w:r>
    </w:p>
    <w:p w14:paraId="08A33876" w14:textId="02556629" w:rsidR="00943B6A" w:rsidRPr="00D8439E" w:rsidRDefault="00943B6A" w:rsidP="00943B6A">
      <w:pPr>
        <w:pStyle w:val="Endofdocument-Annex"/>
        <w:rPr>
          <w:rtl/>
        </w:rPr>
      </w:pPr>
      <w:r>
        <w:rPr>
          <w:rFonts w:hint="cs"/>
          <w:rtl/>
        </w:rPr>
        <w:t>[</w:t>
      </w:r>
      <w:r w:rsidR="0023076E">
        <w:rPr>
          <w:rFonts w:hint="cs"/>
          <w:rtl/>
        </w:rPr>
        <w:t>نهاية الوثيقة</w:t>
      </w:r>
      <w:r>
        <w:rPr>
          <w:rFonts w:hint="cs"/>
          <w:rtl/>
        </w:rPr>
        <w:t>]</w:t>
      </w:r>
    </w:p>
    <w:sectPr w:rsidR="00943B6A" w:rsidRPr="00D8439E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28257" w14:textId="77777777" w:rsidR="00961391" w:rsidRDefault="00961391">
      <w:r>
        <w:separator/>
      </w:r>
    </w:p>
  </w:endnote>
  <w:endnote w:type="continuationSeparator" w:id="0">
    <w:p w14:paraId="3FB32DD1" w14:textId="77777777" w:rsidR="00961391" w:rsidRDefault="00961391" w:rsidP="003B38C1">
      <w:r>
        <w:separator/>
      </w:r>
    </w:p>
    <w:p w14:paraId="57F17268" w14:textId="77777777" w:rsidR="00961391" w:rsidRPr="003B38C1" w:rsidRDefault="009613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A53278E" w14:textId="77777777" w:rsidR="00961391" w:rsidRPr="003B38C1" w:rsidRDefault="009613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6B5D" w14:textId="77777777" w:rsidR="00961391" w:rsidRDefault="00961391">
      <w:r>
        <w:separator/>
      </w:r>
    </w:p>
  </w:footnote>
  <w:footnote w:type="continuationSeparator" w:id="0">
    <w:p w14:paraId="2624D1BB" w14:textId="77777777" w:rsidR="00961391" w:rsidRDefault="00961391" w:rsidP="008B60B2">
      <w:r>
        <w:separator/>
      </w:r>
    </w:p>
    <w:p w14:paraId="6D8EB0BF" w14:textId="77777777" w:rsidR="00961391" w:rsidRPr="00ED77FB" w:rsidRDefault="009613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2FCCF3A" w14:textId="77777777" w:rsidR="00961391" w:rsidRPr="00ED77FB" w:rsidRDefault="009613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E0FA" w14:textId="4D613A94" w:rsidR="00D07C78" w:rsidRPr="00FE37DB" w:rsidRDefault="00FE5D75" w:rsidP="007969D1">
    <w:pPr>
      <w:bidi w:val="0"/>
      <w:rPr>
        <w:caps/>
        <w:rtl/>
        <w:lang w:val="fr-CH"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</w:t>
    </w:r>
    <w:r w:rsidR="00117603">
      <w:rPr>
        <w:caps/>
      </w:rPr>
      <w:t>2</w:t>
    </w:r>
    <w:r w:rsidR="00250149">
      <w:rPr>
        <w:caps/>
      </w:rPr>
      <w:t>/</w:t>
    </w:r>
    <w:r w:rsidR="00694409">
      <w:t>14</w:t>
    </w:r>
  </w:p>
  <w:p w14:paraId="7B46C4F6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703A0">
      <w:rPr>
        <w:noProof/>
      </w:rPr>
      <w:t>4</w:t>
    </w:r>
    <w:r>
      <w:fldChar w:fldCharType="end"/>
    </w:r>
  </w:p>
  <w:p w14:paraId="64FF1204" w14:textId="77777777" w:rsidR="00D07C78" w:rsidRDefault="00D07C78" w:rsidP="00210D5F">
    <w:pPr>
      <w:bidi w:val="0"/>
    </w:pPr>
  </w:p>
  <w:p w14:paraId="28631F0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8AA0BB4"/>
    <w:multiLevelType w:val="hybridMultilevel"/>
    <w:tmpl w:val="69181C5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13DC"/>
    <w:multiLevelType w:val="hybridMultilevel"/>
    <w:tmpl w:val="A56A7164"/>
    <w:lvl w:ilvl="0" w:tplc="6F3A76D6">
      <w:start w:val="1"/>
      <w:numFmt w:val="arabicAbjad"/>
      <w:pStyle w:val="ListParagraph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505D5"/>
    <w:multiLevelType w:val="hybridMultilevel"/>
    <w:tmpl w:val="116837B8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F9048C"/>
    <w:multiLevelType w:val="hybridMultilevel"/>
    <w:tmpl w:val="601C7E26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9A0"/>
    <w:multiLevelType w:val="hybridMultilevel"/>
    <w:tmpl w:val="924A841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12CEC"/>
    <w:multiLevelType w:val="hybridMultilevel"/>
    <w:tmpl w:val="04CEB46A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86B6A"/>
    <w:multiLevelType w:val="hybridMultilevel"/>
    <w:tmpl w:val="031EEFB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57C80"/>
    <w:multiLevelType w:val="hybridMultilevel"/>
    <w:tmpl w:val="8302458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0061B"/>
    <w:multiLevelType w:val="multilevel"/>
    <w:tmpl w:val="A6603754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2" w15:restartNumberingAfterBreak="0">
    <w:nsid w:val="7D64384C"/>
    <w:multiLevelType w:val="hybridMultilevel"/>
    <w:tmpl w:val="6DA85E9E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42921">
    <w:abstractNumId w:val="10"/>
  </w:num>
  <w:num w:numId="2" w16cid:durableId="441920480">
    <w:abstractNumId w:val="0"/>
  </w:num>
  <w:num w:numId="3" w16cid:durableId="1850176673">
    <w:abstractNumId w:val="4"/>
  </w:num>
  <w:num w:numId="4" w16cid:durableId="2107647081">
    <w:abstractNumId w:val="11"/>
  </w:num>
  <w:num w:numId="5" w16cid:durableId="114569756">
    <w:abstractNumId w:val="2"/>
  </w:num>
  <w:num w:numId="6" w16cid:durableId="2019889674">
    <w:abstractNumId w:val="2"/>
    <w:lvlOverride w:ilvl="0">
      <w:startOverride w:val="1"/>
    </w:lvlOverride>
  </w:num>
  <w:num w:numId="7" w16cid:durableId="1200893741">
    <w:abstractNumId w:val="2"/>
    <w:lvlOverride w:ilvl="0">
      <w:startOverride w:val="1"/>
    </w:lvlOverride>
  </w:num>
  <w:num w:numId="8" w16cid:durableId="850296747">
    <w:abstractNumId w:val="2"/>
    <w:lvlOverride w:ilvl="0">
      <w:startOverride w:val="1"/>
    </w:lvlOverride>
  </w:num>
  <w:num w:numId="9" w16cid:durableId="475755672">
    <w:abstractNumId w:val="2"/>
    <w:lvlOverride w:ilvl="0">
      <w:startOverride w:val="1"/>
    </w:lvlOverride>
  </w:num>
  <w:num w:numId="10" w16cid:durableId="90470468">
    <w:abstractNumId w:val="2"/>
    <w:lvlOverride w:ilvl="0">
      <w:startOverride w:val="1"/>
    </w:lvlOverride>
  </w:num>
  <w:num w:numId="11" w16cid:durableId="392046539">
    <w:abstractNumId w:val="2"/>
  </w:num>
  <w:num w:numId="12" w16cid:durableId="1268585383">
    <w:abstractNumId w:val="9"/>
  </w:num>
  <w:num w:numId="13" w16cid:durableId="402148171">
    <w:abstractNumId w:val="2"/>
  </w:num>
  <w:num w:numId="14" w16cid:durableId="276566343">
    <w:abstractNumId w:val="11"/>
  </w:num>
  <w:num w:numId="15" w16cid:durableId="1854227908">
    <w:abstractNumId w:val="2"/>
  </w:num>
  <w:num w:numId="16" w16cid:durableId="99570287">
    <w:abstractNumId w:val="11"/>
  </w:num>
  <w:num w:numId="17" w16cid:durableId="1840778615">
    <w:abstractNumId w:val="8"/>
  </w:num>
  <w:num w:numId="18" w16cid:durableId="1243494098">
    <w:abstractNumId w:val="3"/>
  </w:num>
  <w:num w:numId="19" w16cid:durableId="1305160800">
    <w:abstractNumId w:val="6"/>
  </w:num>
  <w:num w:numId="20" w16cid:durableId="1638024240">
    <w:abstractNumId w:val="5"/>
  </w:num>
  <w:num w:numId="21" w16cid:durableId="1559703428">
    <w:abstractNumId w:val="1"/>
  </w:num>
  <w:num w:numId="22" w16cid:durableId="1803037809">
    <w:abstractNumId w:val="12"/>
  </w:num>
  <w:num w:numId="23" w16cid:durableId="2264999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B0"/>
    <w:rsid w:val="00005FA0"/>
    <w:rsid w:val="00041A0A"/>
    <w:rsid w:val="00043CAA"/>
    <w:rsid w:val="00056816"/>
    <w:rsid w:val="00063CB9"/>
    <w:rsid w:val="00075432"/>
    <w:rsid w:val="00090A19"/>
    <w:rsid w:val="000910E5"/>
    <w:rsid w:val="000968ED"/>
    <w:rsid w:val="000A3D97"/>
    <w:rsid w:val="000B5B36"/>
    <w:rsid w:val="000C31E3"/>
    <w:rsid w:val="000D3DAB"/>
    <w:rsid w:val="000D42A9"/>
    <w:rsid w:val="000F50F0"/>
    <w:rsid w:val="000F5E56"/>
    <w:rsid w:val="00117603"/>
    <w:rsid w:val="001362EE"/>
    <w:rsid w:val="001406E1"/>
    <w:rsid w:val="00140F22"/>
    <w:rsid w:val="00155D8A"/>
    <w:rsid w:val="001647D5"/>
    <w:rsid w:val="00167832"/>
    <w:rsid w:val="00167F09"/>
    <w:rsid w:val="00176FD1"/>
    <w:rsid w:val="001832A6"/>
    <w:rsid w:val="0019592A"/>
    <w:rsid w:val="001B69A2"/>
    <w:rsid w:val="001B6F0C"/>
    <w:rsid w:val="001C536D"/>
    <w:rsid w:val="001D4107"/>
    <w:rsid w:val="00203D24"/>
    <w:rsid w:val="00210D5F"/>
    <w:rsid w:val="0021217E"/>
    <w:rsid w:val="00222782"/>
    <w:rsid w:val="0023076E"/>
    <w:rsid w:val="002326AB"/>
    <w:rsid w:val="00243430"/>
    <w:rsid w:val="00250149"/>
    <w:rsid w:val="00262607"/>
    <w:rsid w:val="002634C4"/>
    <w:rsid w:val="00265354"/>
    <w:rsid w:val="002723FE"/>
    <w:rsid w:val="00273181"/>
    <w:rsid w:val="00282DEB"/>
    <w:rsid w:val="002928D3"/>
    <w:rsid w:val="002A3714"/>
    <w:rsid w:val="002A7B3A"/>
    <w:rsid w:val="002F1FE6"/>
    <w:rsid w:val="002F2D9B"/>
    <w:rsid w:val="002F4E68"/>
    <w:rsid w:val="00303282"/>
    <w:rsid w:val="00305719"/>
    <w:rsid w:val="00312F7F"/>
    <w:rsid w:val="00321316"/>
    <w:rsid w:val="00321EB3"/>
    <w:rsid w:val="00327E12"/>
    <w:rsid w:val="00336C24"/>
    <w:rsid w:val="003452A8"/>
    <w:rsid w:val="00361450"/>
    <w:rsid w:val="003673CF"/>
    <w:rsid w:val="00376168"/>
    <w:rsid w:val="003845C1"/>
    <w:rsid w:val="003848F1"/>
    <w:rsid w:val="003A6F89"/>
    <w:rsid w:val="003B1954"/>
    <w:rsid w:val="003B1A34"/>
    <w:rsid w:val="003B355C"/>
    <w:rsid w:val="003B3581"/>
    <w:rsid w:val="003B38C1"/>
    <w:rsid w:val="003C17A1"/>
    <w:rsid w:val="003C34E9"/>
    <w:rsid w:val="003F20F4"/>
    <w:rsid w:val="004049ED"/>
    <w:rsid w:val="00423E3E"/>
    <w:rsid w:val="00427AF4"/>
    <w:rsid w:val="004434C3"/>
    <w:rsid w:val="00445346"/>
    <w:rsid w:val="0045246E"/>
    <w:rsid w:val="00452F85"/>
    <w:rsid w:val="00461B51"/>
    <w:rsid w:val="004647DA"/>
    <w:rsid w:val="00474062"/>
    <w:rsid w:val="00477D6B"/>
    <w:rsid w:val="00481FA9"/>
    <w:rsid w:val="0048522D"/>
    <w:rsid w:val="004B2E84"/>
    <w:rsid w:val="004C0CDF"/>
    <w:rsid w:val="004D29A8"/>
    <w:rsid w:val="004D2D45"/>
    <w:rsid w:val="004F2DEB"/>
    <w:rsid w:val="0050171F"/>
    <w:rsid w:val="005019FF"/>
    <w:rsid w:val="0050470A"/>
    <w:rsid w:val="00520830"/>
    <w:rsid w:val="0053057A"/>
    <w:rsid w:val="00556076"/>
    <w:rsid w:val="00560A29"/>
    <w:rsid w:val="005740C5"/>
    <w:rsid w:val="00586237"/>
    <w:rsid w:val="0059409E"/>
    <w:rsid w:val="005B132B"/>
    <w:rsid w:val="005B2C79"/>
    <w:rsid w:val="005B453D"/>
    <w:rsid w:val="005C5B64"/>
    <w:rsid w:val="005C6649"/>
    <w:rsid w:val="005E77FF"/>
    <w:rsid w:val="005E7B89"/>
    <w:rsid w:val="005F0828"/>
    <w:rsid w:val="005F2529"/>
    <w:rsid w:val="00600D30"/>
    <w:rsid w:val="00605827"/>
    <w:rsid w:val="00646050"/>
    <w:rsid w:val="006713CA"/>
    <w:rsid w:val="00676C5C"/>
    <w:rsid w:val="00694409"/>
    <w:rsid w:val="006A516B"/>
    <w:rsid w:val="006B1301"/>
    <w:rsid w:val="006B449E"/>
    <w:rsid w:val="006B5C12"/>
    <w:rsid w:val="006D27D2"/>
    <w:rsid w:val="006D7AAB"/>
    <w:rsid w:val="006D7C7A"/>
    <w:rsid w:val="006E326A"/>
    <w:rsid w:val="006E724C"/>
    <w:rsid w:val="006F641A"/>
    <w:rsid w:val="0070778E"/>
    <w:rsid w:val="00714F25"/>
    <w:rsid w:val="0071510A"/>
    <w:rsid w:val="007175CB"/>
    <w:rsid w:val="00720EFD"/>
    <w:rsid w:val="00750C1A"/>
    <w:rsid w:val="007641CE"/>
    <w:rsid w:val="00765699"/>
    <w:rsid w:val="007854AF"/>
    <w:rsid w:val="0079149A"/>
    <w:rsid w:val="00793A7C"/>
    <w:rsid w:val="007969D1"/>
    <w:rsid w:val="007A0482"/>
    <w:rsid w:val="007A0E2A"/>
    <w:rsid w:val="007A398A"/>
    <w:rsid w:val="007C1935"/>
    <w:rsid w:val="007C4902"/>
    <w:rsid w:val="007D1613"/>
    <w:rsid w:val="007E4889"/>
    <w:rsid w:val="007E4C0E"/>
    <w:rsid w:val="007E62C2"/>
    <w:rsid w:val="00820911"/>
    <w:rsid w:val="008243C0"/>
    <w:rsid w:val="008A134B"/>
    <w:rsid w:val="008A39DA"/>
    <w:rsid w:val="008A5C4D"/>
    <w:rsid w:val="008B2CC1"/>
    <w:rsid w:val="008B60B2"/>
    <w:rsid w:val="008D1B10"/>
    <w:rsid w:val="0090731E"/>
    <w:rsid w:val="00916EE2"/>
    <w:rsid w:val="0093527D"/>
    <w:rsid w:val="009366BA"/>
    <w:rsid w:val="00942569"/>
    <w:rsid w:val="00943B6A"/>
    <w:rsid w:val="0094554E"/>
    <w:rsid w:val="00947238"/>
    <w:rsid w:val="009476FE"/>
    <w:rsid w:val="00956816"/>
    <w:rsid w:val="00957F02"/>
    <w:rsid w:val="00961391"/>
    <w:rsid w:val="00966A22"/>
    <w:rsid w:val="0096722F"/>
    <w:rsid w:val="00977618"/>
    <w:rsid w:val="00980843"/>
    <w:rsid w:val="0099406E"/>
    <w:rsid w:val="009949D6"/>
    <w:rsid w:val="009B0855"/>
    <w:rsid w:val="009B2C88"/>
    <w:rsid w:val="009B48A1"/>
    <w:rsid w:val="009B51CF"/>
    <w:rsid w:val="009C2651"/>
    <w:rsid w:val="009E1721"/>
    <w:rsid w:val="009E2791"/>
    <w:rsid w:val="009E3F6F"/>
    <w:rsid w:val="009F3FB0"/>
    <w:rsid w:val="009F499F"/>
    <w:rsid w:val="00A225D4"/>
    <w:rsid w:val="00A33241"/>
    <w:rsid w:val="00A37342"/>
    <w:rsid w:val="00A42DAF"/>
    <w:rsid w:val="00A448AB"/>
    <w:rsid w:val="00A45BD8"/>
    <w:rsid w:val="00A61D32"/>
    <w:rsid w:val="00A65DE8"/>
    <w:rsid w:val="00A703A0"/>
    <w:rsid w:val="00A82FF2"/>
    <w:rsid w:val="00A869B7"/>
    <w:rsid w:val="00A90F0A"/>
    <w:rsid w:val="00AA589B"/>
    <w:rsid w:val="00AB4792"/>
    <w:rsid w:val="00AC205C"/>
    <w:rsid w:val="00AC20E9"/>
    <w:rsid w:val="00AD30FC"/>
    <w:rsid w:val="00AD5F3C"/>
    <w:rsid w:val="00AD75F1"/>
    <w:rsid w:val="00AF0A6B"/>
    <w:rsid w:val="00B05A69"/>
    <w:rsid w:val="00B20A80"/>
    <w:rsid w:val="00B26A4F"/>
    <w:rsid w:val="00B30749"/>
    <w:rsid w:val="00B34675"/>
    <w:rsid w:val="00B42CA9"/>
    <w:rsid w:val="00B51FF7"/>
    <w:rsid w:val="00B53F5C"/>
    <w:rsid w:val="00B71FEE"/>
    <w:rsid w:val="00B73B32"/>
    <w:rsid w:val="00B75281"/>
    <w:rsid w:val="00B86A18"/>
    <w:rsid w:val="00B92F1F"/>
    <w:rsid w:val="00B953D5"/>
    <w:rsid w:val="00B9734B"/>
    <w:rsid w:val="00BA30E2"/>
    <w:rsid w:val="00BB0F46"/>
    <w:rsid w:val="00BB781F"/>
    <w:rsid w:val="00BC6536"/>
    <w:rsid w:val="00C114E2"/>
    <w:rsid w:val="00C11BFE"/>
    <w:rsid w:val="00C16A60"/>
    <w:rsid w:val="00C3436A"/>
    <w:rsid w:val="00C5068F"/>
    <w:rsid w:val="00C60E4B"/>
    <w:rsid w:val="00C63245"/>
    <w:rsid w:val="00C73194"/>
    <w:rsid w:val="00C770F5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340D1"/>
    <w:rsid w:val="00D45252"/>
    <w:rsid w:val="00D47785"/>
    <w:rsid w:val="00D512F3"/>
    <w:rsid w:val="00D60B2C"/>
    <w:rsid w:val="00D67EAE"/>
    <w:rsid w:val="00D71B4D"/>
    <w:rsid w:val="00D80943"/>
    <w:rsid w:val="00D90B96"/>
    <w:rsid w:val="00D93D55"/>
    <w:rsid w:val="00DC17E3"/>
    <w:rsid w:val="00DC1AB3"/>
    <w:rsid w:val="00DD7B7F"/>
    <w:rsid w:val="00E15015"/>
    <w:rsid w:val="00E15F75"/>
    <w:rsid w:val="00E17738"/>
    <w:rsid w:val="00E2006D"/>
    <w:rsid w:val="00E23ECB"/>
    <w:rsid w:val="00E319DF"/>
    <w:rsid w:val="00E335FE"/>
    <w:rsid w:val="00E52632"/>
    <w:rsid w:val="00E66CC5"/>
    <w:rsid w:val="00E74ADB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264B"/>
    <w:rsid w:val="00F248CE"/>
    <w:rsid w:val="00F42225"/>
    <w:rsid w:val="00F66152"/>
    <w:rsid w:val="00F76CB4"/>
    <w:rsid w:val="00F90C07"/>
    <w:rsid w:val="00F9165B"/>
    <w:rsid w:val="00FA17DA"/>
    <w:rsid w:val="00FA6CAF"/>
    <w:rsid w:val="00FC482F"/>
    <w:rsid w:val="00FD0B86"/>
    <w:rsid w:val="00FE37DB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B34722"/>
  <w15:docId w15:val="{ACC96AB2-A52A-4F62-A571-9E830526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BodyText"/>
    <w:uiPriority w:val="34"/>
    <w:qFormat/>
    <w:rsid w:val="009949D6"/>
    <w:pPr>
      <w:numPr>
        <w:numId w:val="5"/>
      </w:numPr>
    </w:pPr>
  </w:style>
  <w:style w:type="paragraph" w:customStyle="1" w:styleId="Endofdocument">
    <w:name w:val="End of document"/>
    <w:basedOn w:val="Normal"/>
    <w:rsid w:val="00943B6A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 w:bidi="ar-EG"/>
    </w:rPr>
  </w:style>
  <w:style w:type="character" w:styleId="Hyperlink">
    <w:name w:val="Hyperlink"/>
    <w:basedOn w:val="DefaultParagraphFont"/>
    <w:unhideWhenUsed/>
    <w:rsid w:val="004B2E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xport/sites/www/cws/fr/circulars/files/cws_17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authority_fil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BF19-F204-4F88-B0C1-89933E9E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948</Words>
  <Characters>4890</Characters>
  <Application>Microsoft Office Word</Application>
  <DocSecurity>0</DocSecurity>
  <Lines>90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CWS/11/1 PROV 2. (Arabic)</vt:lpstr>
      <vt:lpstr>CWS/11/1 PROV 2. (Arabic)</vt:lpstr>
    </vt:vector>
  </TitlesOfParts>
  <Company>WIPO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CWS/12/4</dc:title>
  <dc:creator>WIPO</dc:creator>
  <cp:keywords>CWS/12</cp:keywords>
  <cp:lastModifiedBy>BLANCHET Gaspard</cp:lastModifiedBy>
  <cp:revision>17</cp:revision>
  <cp:lastPrinted>2024-07-22T13:31:00Z</cp:lastPrinted>
  <dcterms:created xsi:type="dcterms:W3CDTF">2024-07-22T11:47:00Z</dcterms:created>
  <dcterms:modified xsi:type="dcterms:W3CDTF">2024-07-22T15:16:00Z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2023-10-03T09:42:48Z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985a1b2b-23de-4c91-afe2-d7cd76cc92a9</vt:lpwstr>
  </property>
  <property fmtid="{D5CDD505-2E9C-101B-9397-08002B2CF9AE}" pid="14" name="MSIP_Label_20773ee6-353b-4fb9-a59d-0b94c8c67bea_ContentBits">
    <vt:lpwstr>0</vt:lpwstr>
  </property>
</Properties>
</file>