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08D8" w14:textId="77777777" w:rsidR="008B2CC1" w:rsidRPr="00D93E99" w:rsidRDefault="00CC3E2D" w:rsidP="004E6D5F">
      <w:pPr>
        <w:pBdr>
          <w:bottom w:val="single" w:sz="4" w:space="10" w:color="auto"/>
        </w:pBdr>
        <w:bidi w:val="0"/>
        <w:spacing w:after="120"/>
        <w:rPr>
          <w:b/>
        </w:rPr>
      </w:pPr>
      <w:r w:rsidRPr="00D93E99">
        <w:rPr>
          <w:b/>
          <w:noProof/>
          <w:lang w:eastAsia="en-US"/>
        </w:rPr>
        <mc:AlternateContent>
          <mc:Choice Requires="wpg">
            <w:drawing>
              <wp:inline distT="0" distB="0" distL="0" distR="0" wp14:anchorId="4F4143A5" wp14:editId="15CCE83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EC85A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5BB727F3" w14:textId="24ED26A6" w:rsidR="0092178B" w:rsidRPr="00B82F4A" w:rsidRDefault="0092178B" w:rsidP="0092178B">
      <w:pPr>
        <w:bidi w:val="0"/>
        <w:rPr>
          <w:b/>
          <w:bCs/>
          <w:caps/>
          <w:sz w:val="15"/>
          <w:szCs w:val="15"/>
          <w:lang w:val="fr-FR" w:bidi="ar-SY"/>
        </w:rPr>
      </w:pPr>
      <w:bookmarkStart w:id="0" w:name="TitleOfDoc"/>
      <w:r w:rsidRPr="00B82F4A">
        <w:rPr>
          <w:b/>
          <w:bCs/>
          <w:caps/>
          <w:sz w:val="15"/>
          <w:szCs w:val="15"/>
        </w:rPr>
        <w:t>CWS/1</w:t>
      </w:r>
      <w:r w:rsidR="00AD0FB5" w:rsidRPr="00B82F4A">
        <w:rPr>
          <w:b/>
          <w:bCs/>
          <w:caps/>
          <w:sz w:val="15"/>
          <w:szCs w:val="15"/>
        </w:rPr>
        <w:t>2</w:t>
      </w:r>
      <w:r w:rsidR="00B82F4A">
        <w:rPr>
          <w:b/>
          <w:bCs/>
          <w:caps/>
          <w:sz w:val="15"/>
          <w:szCs w:val="15"/>
          <w:lang w:val="fr-FR" w:bidi="ar-SY"/>
        </w:rPr>
        <w:t>/2</w:t>
      </w:r>
      <w:r w:rsidR="000709DF">
        <w:rPr>
          <w:b/>
          <w:bCs/>
          <w:caps/>
          <w:sz w:val="15"/>
          <w:szCs w:val="15"/>
          <w:lang w:val="fr-FR" w:bidi="ar-SY"/>
        </w:rPr>
        <w:t>1</w:t>
      </w:r>
    </w:p>
    <w:p w14:paraId="1C847B2F" w14:textId="77777777" w:rsidR="0092178B" w:rsidRPr="00B82F4A" w:rsidRDefault="0092178B" w:rsidP="0092178B">
      <w:pPr>
        <w:jc w:val="right"/>
        <w:rPr>
          <w:b/>
          <w:bCs/>
          <w:caps/>
          <w:sz w:val="15"/>
          <w:szCs w:val="15"/>
        </w:rPr>
      </w:pPr>
      <w:bookmarkStart w:id="1" w:name="Original"/>
      <w:r w:rsidRPr="00B82F4A">
        <w:rPr>
          <w:rFonts w:hint="cs"/>
          <w:b/>
          <w:bCs/>
          <w:caps/>
          <w:sz w:val="15"/>
          <w:szCs w:val="15"/>
          <w:rtl/>
        </w:rPr>
        <w:t>الأصل: بالإنكليزية</w:t>
      </w:r>
    </w:p>
    <w:p w14:paraId="21766EC0" w14:textId="7DC5933F" w:rsidR="0092178B" w:rsidRPr="00D93E99" w:rsidRDefault="0092178B" w:rsidP="0092178B">
      <w:pPr>
        <w:spacing w:after="1200"/>
        <w:jc w:val="right"/>
        <w:rPr>
          <w:b/>
          <w:bCs/>
          <w:caps/>
          <w:sz w:val="15"/>
          <w:szCs w:val="15"/>
          <w:rtl/>
          <w:lang w:bidi="ar-SY"/>
        </w:rPr>
      </w:pPr>
      <w:bookmarkStart w:id="2" w:name="Date"/>
      <w:bookmarkEnd w:id="1"/>
      <w:r w:rsidRPr="00B82F4A">
        <w:rPr>
          <w:rFonts w:hint="cs"/>
          <w:b/>
          <w:bCs/>
          <w:caps/>
          <w:sz w:val="15"/>
          <w:szCs w:val="15"/>
          <w:rtl/>
        </w:rPr>
        <w:t>التاريخ:</w:t>
      </w:r>
      <w:r w:rsidRPr="00D93E99">
        <w:rPr>
          <w:rFonts w:hint="cs"/>
          <w:b/>
          <w:bCs/>
          <w:caps/>
          <w:sz w:val="15"/>
          <w:szCs w:val="15"/>
          <w:rtl/>
        </w:rPr>
        <w:t xml:space="preserve"> </w:t>
      </w:r>
      <w:r w:rsidR="000709DF">
        <w:rPr>
          <w:rFonts w:hint="cs"/>
          <w:b/>
          <w:bCs/>
          <w:caps/>
          <w:sz w:val="15"/>
          <w:szCs w:val="15"/>
          <w:rtl/>
          <w:lang w:bidi="ar-SY"/>
        </w:rPr>
        <w:t>12</w:t>
      </w:r>
      <w:r w:rsidR="00B82F4A">
        <w:rPr>
          <w:rFonts w:hint="cs"/>
          <w:b/>
          <w:bCs/>
          <w:caps/>
          <w:sz w:val="15"/>
          <w:szCs w:val="15"/>
          <w:rtl/>
          <w:lang w:bidi="ar-SY"/>
        </w:rPr>
        <w:t xml:space="preserve"> أغسطس</w:t>
      </w:r>
      <w:r w:rsidR="00B82F4A">
        <w:rPr>
          <w:rFonts w:hint="cs"/>
          <w:b/>
          <w:bCs/>
          <w:caps/>
          <w:vanish/>
          <w:sz w:val="15"/>
          <w:szCs w:val="15"/>
          <w:rtl/>
          <w:lang w:bidi="ar-SY"/>
        </w:rPr>
        <w:t>غأغي</w:t>
      </w:r>
      <w:r w:rsidR="00AD0FB5" w:rsidRPr="00D93E99">
        <w:rPr>
          <w:rFonts w:hint="cs"/>
          <w:b/>
          <w:bCs/>
          <w:caps/>
          <w:sz w:val="15"/>
          <w:szCs w:val="15"/>
          <w:rtl/>
          <w:lang w:bidi="ar-SY"/>
        </w:rPr>
        <w:t xml:space="preserve"> 2024</w:t>
      </w:r>
    </w:p>
    <w:bookmarkEnd w:id="2"/>
    <w:p w14:paraId="578389D3" w14:textId="77777777" w:rsidR="0092178B" w:rsidRPr="00D93E99" w:rsidRDefault="0092178B" w:rsidP="0092178B">
      <w:pPr>
        <w:pStyle w:val="Heading1"/>
      </w:pPr>
      <w:r w:rsidRPr="00D93E99">
        <w:rPr>
          <w:rFonts w:hint="cs"/>
          <w:rtl/>
        </w:rPr>
        <w:t>اللجنة المعنية بمعايير الويبو</w:t>
      </w:r>
    </w:p>
    <w:p w14:paraId="6C4B47D4" w14:textId="7B44179A" w:rsidR="0092178B" w:rsidRPr="00D93E99" w:rsidRDefault="0092178B" w:rsidP="0092178B">
      <w:pPr>
        <w:outlineLvl w:val="1"/>
        <w:rPr>
          <w:bCs/>
          <w:sz w:val="24"/>
          <w:szCs w:val="24"/>
        </w:rPr>
      </w:pPr>
      <w:r w:rsidRPr="00D93E99">
        <w:rPr>
          <w:rFonts w:hint="cs"/>
          <w:bCs/>
          <w:sz w:val="24"/>
          <w:szCs w:val="24"/>
          <w:rtl/>
        </w:rPr>
        <w:t xml:space="preserve">الدورة </w:t>
      </w:r>
      <w:r w:rsidR="00AD0FB5" w:rsidRPr="00D93E99">
        <w:rPr>
          <w:rFonts w:hint="cs"/>
          <w:bCs/>
          <w:sz w:val="24"/>
          <w:szCs w:val="24"/>
          <w:rtl/>
        </w:rPr>
        <w:t>الثانية</w:t>
      </w:r>
      <w:r w:rsidRPr="00D93E99">
        <w:rPr>
          <w:rFonts w:hint="cs"/>
          <w:bCs/>
          <w:sz w:val="24"/>
          <w:szCs w:val="24"/>
          <w:rtl/>
        </w:rPr>
        <w:t xml:space="preserve"> عشرة</w:t>
      </w:r>
    </w:p>
    <w:p w14:paraId="1F0F8A9A" w14:textId="261AD233" w:rsidR="0092178B" w:rsidRPr="00D93E99" w:rsidRDefault="0092178B" w:rsidP="0092178B">
      <w:pPr>
        <w:spacing w:after="720"/>
        <w:outlineLvl w:val="1"/>
        <w:rPr>
          <w:bCs/>
          <w:sz w:val="24"/>
          <w:szCs w:val="24"/>
        </w:rPr>
      </w:pPr>
      <w:r w:rsidRPr="00D93E99">
        <w:rPr>
          <w:rFonts w:hint="cs"/>
          <w:bCs/>
          <w:sz w:val="24"/>
          <w:szCs w:val="24"/>
          <w:rtl/>
        </w:rPr>
        <w:t xml:space="preserve">جنيف، من </w:t>
      </w:r>
      <w:r w:rsidR="00AD0FB5" w:rsidRPr="00D93E99">
        <w:rPr>
          <w:rFonts w:hint="cs"/>
          <w:bCs/>
          <w:sz w:val="24"/>
          <w:szCs w:val="24"/>
          <w:rtl/>
        </w:rPr>
        <w:t>16 إلى 19 سبتمبر 2024</w:t>
      </w:r>
    </w:p>
    <w:p w14:paraId="3244EFB7" w14:textId="191821B6" w:rsidR="00486B87" w:rsidRPr="000709DF" w:rsidRDefault="000709DF" w:rsidP="00AE5CC2">
      <w:pPr>
        <w:spacing w:after="360"/>
        <w:outlineLvl w:val="1"/>
        <w:rPr>
          <w:b/>
          <w:sz w:val="24"/>
          <w:szCs w:val="24"/>
          <w:lang w:val="de-CH" w:bidi="ar-MA"/>
        </w:rPr>
      </w:pPr>
      <w:r>
        <w:rPr>
          <w:rFonts w:hint="cs"/>
          <w:b/>
          <w:sz w:val="24"/>
          <w:szCs w:val="24"/>
          <w:rtl/>
          <w:lang w:bidi="ar-MA"/>
        </w:rPr>
        <w:t xml:space="preserve">اقتراحات لتحسين البيانات الوصفية للمصنفات اليتيمة المحمية بحق المؤلف في معيار الويبو </w:t>
      </w:r>
      <w:r w:rsidRPr="000709DF">
        <w:rPr>
          <w:bCs/>
          <w:sz w:val="24"/>
          <w:szCs w:val="24"/>
          <w:lang w:val="de-CH" w:bidi="ar-MA"/>
        </w:rPr>
        <w:t>ST.96</w:t>
      </w:r>
    </w:p>
    <w:p w14:paraId="19AD1B0C" w14:textId="0C44CEDC" w:rsidR="00B5495A" w:rsidRPr="00D93E99" w:rsidRDefault="00486B87" w:rsidP="004E6D5F">
      <w:pPr>
        <w:spacing w:after="720"/>
        <w:outlineLvl w:val="1"/>
        <w:rPr>
          <w:b/>
          <w:i/>
          <w:iCs/>
          <w:lang w:val="fr-CA" w:bidi="ar-MA"/>
        </w:rPr>
      </w:pPr>
      <w:r w:rsidRPr="00D93E99">
        <w:rPr>
          <w:b/>
          <w:i/>
          <w:iCs/>
          <w:rtl/>
          <w:lang w:bidi="ar-MA"/>
        </w:rPr>
        <w:t xml:space="preserve">وثيقة من إعداد </w:t>
      </w:r>
      <w:r w:rsidR="00B82F4A">
        <w:rPr>
          <w:rFonts w:hint="cs"/>
          <w:b/>
          <w:i/>
          <w:iCs/>
          <w:rtl/>
          <w:lang w:bidi="ar-MA"/>
        </w:rPr>
        <w:t>المكتب الدولي</w:t>
      </w:r>
    </w:p>
    <w:p w14:paraId="20F34D7D" w14:textId="77777777" w:rsidR="00B5495A" w:rsidRPr="00D93E99" w:rsidRDefault="005A5FF8" w:rsidP="004D414A">
      <w:pPr>
        <w:pStyle w:val="Heading2"/>
        <w:spacing w:after="120"/>
        <w:rPr>
          <w:b/>
          <w:bCs/>
          <w:sz w:val="26"/>
          <w:szCs w:val="26"/>
          <w:rtl/>
        </w:rPr>
      </w:pPr>
      <w:r w:rsidRPr="00D93E99">
        <w:rPr>
          <w:b/>
          <w:bCs/>
          <w:sz w:val="26"/>
          <w:szCs w:val="26"/>
          <w:rtl/>
        </w:rPr>
        <w:t>م</w:t>
      </w:r>
      <w:r w:rsidRPr="00D93E99">
        <w:rPr>
          <w:rFonts w:hint="cs"/>
          <w:b/>
          <w:bCs/>
          <w:sz w:val="26"/>
          <w:szCs w:val="26"/>
          <w:rtl/>
        </w:rPr>
        <w:t>لخص</w:t>
      </w:r>
    </w:p>
    <w:p w14:paraId="30F07BBE" w14:textId="71293668" w:rsidR="0066518D" w:rsidRPr="00D93E99" w:rsidRDefault="000709DF" w:rsidP="0092178B">
      <w:pPr>
        <w:pStyle w:val="ONUMA"/>
        <w:rPr>
          <w:lang w:bidi="ar-MA"/>
        </w:rPr>
      </w:pPr>
      <w:r w:rsidRPr="000709DF">
        <w:rPr>
          <w:rtl/>
          <w:lang w:bidi="ar-MA"/>
        </w:rPr>
        <w:t xml:space="preserve">تقدم هذه الوثيقة </w:t>
      </w:r>
      <w:r w:rsidR="00B97683">
        <w:rPr>
          <w:rFonts w:hint="cs"/>
          <w:rtl/>
          <w:lang w:bidi="ar-MA"/>
        </w:rPr>
        <w:t xml:space="preserve">ملخصاً </w:t>
      </w:r>
      <w:r w:rsidRPr="000709DF">
        <w:rPr>
          <w:rtl/>
          <w:lang w:bidi="ar-MA"/>
        </w:rPr>
        <w:t>للعمل الذي اضطلع به المكتب الدولي منذ الدورة الحادية عشرة للجنة معايير الويبو (</w:t>
      </w:r>
      <w:r w:rsidR="00B97683">
        <w:rPr>
          <w:rFonts w:hint="cs"/>
          <w:rtl/>
          <w:lang w:bidi="ar-MA"/>
        </w:rPr>
        <w:t>لجنة المعايير</w:t>
      </w:r>
      <w:r w:rsidRPr="000709DF">
        <w:rPr>
          <w:rtl/>
          <w:lang w:bidi="ar-MA"/>
        </w:rPr>
        <w:t xml:space="preserve">) لوضع الصيغة النهائية للفئات الجديدة المقترحة للبيانات الوصفية للمصنفات اليتيمة </w:t>
      </w:r>
      <w:r w:rsidR="00B97683">
        <w:rPr>
          <w:rFonts w:hint="cs"/>
          <w:rtl/>
          <w:lang w:bidi="ar-MA"/>
        </w:rPr>
        <w:t>المحمية</w:t>
      </w:r>
      <w:r w:rsidRPr="000709DF">
        <w:rPr>
          <w:rtl/>
          <w:lang w:bidi="ar-MA"/>
        </w:rPr>
        <w:t xml:space="preserve"> </w:t>
      </w:r>
      <w:r w:rsidR="00B97683">
        <w:rPr>
          <w:rFonts w:hint="cs"/>
          <w:rtl/>
          <w:lang w:bidi="ar-MA"/>
        </w:rPr>
        <w:t>ب</w:t>
      </w:r>
      <w:r w:rsidRPr="000709DF">
        <w:rPr>
          <w:rtl/>
          <w:lang w:bidi="ar-MA"/>
        </w:rPr>
        <w:t xml:space="preserve">بحق المؤلف في معيار الويبو </w:t>
      </w:r>
      <w:r w:rsidRPr="000709DF">
        <w:rPr>
          <w:lang w:bidi="ar-MA"/>
        </w:rPr>
        <w:t>ST.96</w:t>
      </w:r>
      <w:r w:rsidRPr="000709DF">
        <w:rPr>
          <w:rtl/>
          <w:lang w:bidi="ar-MA"/>
        </w:rPr>
        <w:t xml:space="preserve">. </w:t>
      </w:r>
      <w:r w:rsidR="00B97683">
        <w:rPr>
          <w:rFonts w:hint="cs"/>
          <w:rtl/>
          <w:lang w:bidi="ar-MA"/>
        </w:rPr>
        <w:t>وعقب</w:t>
      </w:r>
      <w:r w:rsidRPr="000709DF">
        <w:rPr>
          <w:rtl/>
          <w:lang w:bidi="ar-MA"/>
        </w:rPr>
        <w:t xml:space="preserve"> </w:t>
      </w:r>
      <w:r w:rsidR="00B97683">
        <w:rPr>
          <w:rFonts w:hint="cs"/>
          <w:rtl/>
          <w:lang w:bidi="ar-MA"/>
        </w:rPr>
        <w:t>حلقة</w:t>
      </w:r>
      <w:r w:rsidRPr="000709DF">
        <w:rPr>
          <w:rtl/>
          <w:lang w:bidi="ar-MA"/>
        </w:rPr>
        <w:t xml:space="preserve"> العمل التي ع</w:t>
      </w:r>
      <w:r w:rsidR="00B97683">
        <w:rPr>
          <w:rFonts w:hint="cs"/>
          <w:rtl/>
          <w:lang w:bidi="ar-MA"/>
        </w:rPr>
        <w:t>ُ</w:t>
      </w:r>
      <w:r w:rsidRPr="000709DF">
        <w:rPr>
          <w:rtl/>
          <w:lang w:bidi="ar-MA"/>
        </w:rPr>
        <w:t xml:space="preserve">قدت في مايو 2024، يقترح المكتب الدولي إدراج الفئات الجديدة في </w:t>
      </w:r>
      <w:r w:rsidR="00E562C3">
        <w:rPr>
          <w:rFonts w:hint="cs"/>
          <w:rtl/>
          <w:lang w:bidi="ar-MA"/>
        </w:rPr>
        <w:t>الاصدار</w:t>
      </w:r>
      <w:r w:rsidRPr="000709DF">
        <w:rPr>
          <w:rtl/>
          <w:lang w:bidi="ar-MA"/>
        </w:rPr>
        <w:t xml:space="preserve"> </w:t>
      </w:r>
      <w:r w:rsidR="00E562C3">
        <w:rPr>
          <w:rFonts w:hint="cs"/>
          <w:rtl/>
          <w:lang w:bidi="ar-MA"/>
        </w:rPr>
        <w:t>المقبل</w:t>
      </w:r>
      <w:r w:rsidRPr="000709DF">
        <w:rPr>
          <w:rtl/>
          <w:lang w:bidi="ar-MA"/>
        </w:rPr>
        <w:t xml:space="preserve"> </w:t>
      </w:r>
      <w:r w:rsidR="00E562C3">
        <w:rPr>
          <w:rFonts w:hint="cs"/>
          <w:rtl/>
          <w:lang w:bidi="ar-MA"/>
        </w:rPr>
        <w:t>ل</w:t>
      </w:r>
      <w:r w:rsidRPr="000709DF">
        <w:rPr>
          <w:rtl/>
          <w:lang w:bidi="ar-MA"/>
        </w:rPr>
        <w:t xml:space="preserve">معيار الويبو </w:t>
      </w:r>
      <w:r w:rsidRPr="000709DF">
        <w:rPr>
          <w:lang w:bidi="ar-MA"/>
        </w:rPr>
        <w:t>ST.96</w:t>
      </w:r>
      <w:r w:rsidR="00B97683">
        <w:rPr>
          <w:rFonts w:hint="cs"/>
          <w:rtl/>
          <w:lang w:bidi="ar-MA"/>
        </w:rPr>
        <w:t xml:space="preserve">، </w:t>
      </w:r>
      <w:r w:rsidRPr="000709DF">
        <w:rPr>
          <w:rtl/>
          <w:lang w:bidi="ar-MA"/>
        </w:rPr>
        <w:t xml:space="preserve">على النحو المقترح في </w:t>
      </w:r>
      <w:r w:rsidR="00B97683">
        <w:rPr>
          <w:rFonts w:hint="cs"/>
          <w:rtl/>
          <w:lang w:bidi="ar-MA"/>
        </w:rPr>
        <w:t>ال</w:t>
      </w:r>
      <w:r w:rsidRPr="000709DF">
        <w:rPr>
          <w:rtl/>
          <w:lang w:bidi="ar-MA"/>
        </w:rPr>
        <w:t xml:space="preserve">مرفق </w:t>
      </w:r>
      <w:r w:rsidR="00B97683">
        <w:rPr>
          <w:rFonts w:hint="cs"/>
          <w:rtl/>
          <w:lang w:bidi="ar-MA"/>
        </w:rPr>
        <w:t>ب</w:t>
      </w:r>
      <w:r w:rsidRPr="000709DF">
        <w:rPr>
          <w:rtl/>
          <w:lang w:bidi="ar-MA"/>
        </w:rPr>
        <w:t xml:space="preserve">وثيقة العمل </w:t>
      </w:r>
      <w:r w:rsidRPr="000709DF">
        <w:rPr>
          <w:lang w:bidi="ar-MA"/>
        </w:rPr>
        <w:t>CWS/10/7</w:t>
      </w:r>
      <w:r w:rsidR="004C5AD5" w:rsidRPr="00D93E99">
        <w:rPr>
          <w:rtl/>
          <w:lang w:bidi="ar-MA"/>
        </w:rPr>
        <w:t>.</w:t>
      </w:r>
    </w:p>
    <w:p w14:paraId="14C7FEDE" w14:textId="796CA058" w:rsidR="0066518D" w:rsidRPr="000709DF" w:rsidRDefault="000709DF" w:rsidP="004D414A">
      <w:pPr>
        <w:pStyle w:val="Heading2"/>
        <w:spacing w:after="120"/>
        <w:rPr>
          <w:b/>
          <w:bCs/>
          <w:sz w:val="26"/>
          <w:szCs w:val="26"/>
          <w:rtl/>
          <w:lang w:val="fr-CH" w:bidi="ar-SY"/>
        </w:rPr>
      </w:pPr>
      <w:r>
        <w:rPr>
          <w:rFonts w:hint="cs"/>
          <w:b/>
          <w:bCs/>
          <w:sz w:val="26"/>
          <w:szCs w:val="26"/>
          <w:rtl/>
          <w:lang w:val="fr-CH" w:bidi="ar-SY"/>
        </w:rPr>
        <w:t>مقدمة</w:t>
      </w:r>
    </w:p>
    <w:p w14:paraId="66D20100" w14:textId="28737BB2" w:rsidR="000709DF" w:rsidRPr="00033EFD" w:rsidRDefault="000709DF" w:rsidP="000709DF">
      <w:pPr>
        <w:pStyle w:val="ONUMA"/>
        <w:rPr>
          <w:rtl/>
        </w:rPr>
      </w:pPr>
      <w:r w:rsidRPr="00033EFD">
        <w:rPr>
          <w:rtl/>
        </w:rPr>
        <w:t xml:space="preserve">وافقت لجنة المعايير في دورتها السادسة </w:t>
      </w:r>
      <w:r w:rsidR="00264637">
        <w:rPr>
          <w:rFonts w:hint="cs"/>
          <w:rtl/>
        </w:rPr>
        <w:t>التي عُقدت</w:t>
      </w:r>
      <w:r w:rsidRPr="00033EFD">
        <w:rPr>
          <w:rtl/>
        </w:rPr>
        <w:t xml:space="preserve"> في</w:t>
      </w:r>
      <w:r w:rsidR="00264637">
        <w:rPr>
          <w:rFonts w:hint="cs"/>
          <w:rtl/>
        </w:rPr>
        <w:t xml:space="preserve"> عام</w:t>
      </w:r>
      <w:r w:rsidRPr="00033EFD">
        <w:rPr>
          <w:rtl/>
        </w:rPr>
        <w:t xml:space="preserve"> 2018، على</w:t>
      </w:r>
      <w:r>
        <w:rPr>
          <w:rFonts w:hint="cs"/>
          <w:rtl/>
        </w:rPr>
        <w:t xml:space="preserve"> توسيع نطاق</w:t>
      </w:r>
      <w:r w:rsidRPr="006C49AA">
        <w:rPr>
          <w:rtl/>
        </w:rPr>
        <w:t xml:space="preserve"> معيار الويبو </w:t>
      </w:r>
      <w:r w:rsidRPr="006C49AA">
        <w:t>ST.96</w:t>
      </w:r>
      <w:r w:rsidRPr="006C49AA">
        <w:rPr>
          <w:rtl/>
        </w:rPr>
        <w:t xml:space="preserve"> </w:t>
      </w:r>
      <w:r>
        <w:rPr>
          <w:rFonts w:hint="cs"/>
          <w:rtl/>
        </w:rPr>
        <w:t>ليشمل</w:t>
      </w:r>
      <w:r w:rsidRPr="00033EFD">
        <w:rPr>
          <w:rtl/>
        </w:rPr>
        <w:t xml:space="preserve"> المصنفات اليتيمة المحمية بحق المؤلف</w:t>
      </w:r>
      <w:r w:rsidR="002F2890">
        <w:rPr>
          <w:rFonts w:hint="cs"/>
          <w:rtl/>
          <w:lang w:val="fr-CH" w:bidi="ar-SY"/>
        </w:rPr>
        <w:t xml:space="preserve"> وطلبت </w:t>
      </w:r>
      <w:r w:rsidR="00264637">
        <w:rPr>
          <w:rFonts w:hint="cs"/>
          <w:rtl/>
          <w:lang w:val="fr-CH" w:bidi="ar-SY"/>
        </w:rPr>
        <w:t>من</w:t>
      </w:r>
      <w:r w:rsidR="002F2890">
        <w:rPr>
          <w:rFonts w:hint="cs"/>
          <w:rtl/>
          <w:lang w:val="fr-CH" w:bidi="ar-SY"/>
        </w:rPr>
        <w:t xml:space="preserve"> فرقة العمل </w:t>
      </w:r>
      <w:r w:rsidR="002F2890">
        <w:rPr>
          <w:lang w:val="de-CH" w:bidi="ar-SY"/>
        </w:rPr>
        <w:t>XML4IP</w:t>
      </w:r>
      <w:r w:rsidR="002F2890">
        <w:rPr>
          <w:rFonts w:hint="cs"/>
          <w:rtl/>
          <w:lang w:val="fr-CH" w:bidi="ar-SY"/>
        </w:rPr>
        <w:t xml:space="preserve"> </w:t>
      </w:r>
      <w:r w:rsidR="00264637">
        <w:rPr>
          <w:rFonts w:hint="cs"/>
          <w:rtl/>
          <w:lang w:val="fr-CH" w:bidi="ar-SY"/>
        </w:rPr>
        <w:t>تطوير</w:t>
      </w:r>
      <w:r w:rsidR="002F2890">
        <w:rPr>
          <w:rFonts w:hint="cs"/>
          <w:rtl/>
          <w:lang w:val="fr-CH" w:bidi="ar-SY"/>
        </w:rPr>
        <w:t xml:space="preserve"> مخططات لغة الترميز الموسعة </w:t>
      </w:r>
      <w:r w:rsidR="002F2890">
        <w:rPr>
          <w:lang w:val="de-CH" w:bidi="ar-SY"/>
        </w:rPr>
        <w:t>(XML)</w:t>
      </w:r>
      <w:r w:rsidR="002F2890">
        <w:rPr>
          <w:rFonts w:hint="cs"/>
          <w:rtl/>
          <w:lang w:val="fr-CH" w:bidi="ar-SY"/>
        </w:rPr>
        <w:t xml:space="preserve"> </w:t>
      </w:r>
      <w:r w:rsidRPr="00033EFD">
        <w:rPr>
          <w:rtl/>
        </w:rPr>
        <w:t xml:space="preserve"> </w:t>
      </w:r>
      <w:r w:rsidR="00264637">
        <w:rPr>
          <w:rFonts w:hint="cs"/>
          <w:rtl/>
          <w:lang w:val="fr-CH" w:bidi="ar-SY"/>
        </w:rPr>
        <w:t xml:space="preserve">الجديدة </w:t>
      </w:r>
      <w:r w:rsidR="002F2890">
        <w:rPr>
          <w:rFonts w:hint="cs"/>
          <w:rtl/>
        </w:rPr>
        <w:t xml:space="preserve">وإدراجها في المعيار </w:t>
      </w:r>
      <w:r w:rsidRPr="00033EFD">
        <w:rPr>
          <w:rtl/>
        </w:rPr>
        <w:t>(انظر</w:t>
      </w:r>
      <w:r w:rsidR="00264637">
        <w:rPr>
          <w:rFonts w:hint="cs"/>
          <w:rtl/>
        </w:rPr>
        <w:t>(ي)</w:t>
      </w:r>
      <w:r w:rsidRPr="00033EFD">
        <w:rPr>
          <w:rtl/>
        </w:rPr>
        <w:t xml:space="preserve"> الفقرة </w:t>
      </w:r>
      <w:r w:rsidR="002F2890">
        <w:rPr>
          <w:rFonts w:hint="cs"/>
          <w:rtl/>
        </w:rPr>
        <w:t>67</w:t>
      </w:r>
      <w:r w:rsidRPr="00033EFD">
        <w:rPr>
          <w:rtl/>
        </w:rPr>
        <w:t xml:space="preserve"> </w:t>
      </w:r>
      <w:r w:rsidR="00E62A29">
        <w:rPr>
          <w:rFonts w:hint="cs"/>
          <w:rtl/>
        </w:rPr>
        <w:t>من</w:t>
      </w:r>
      <w:r w:rsidRPr="00033EFD">
        <w:rPr>
          <w:rtl/>
        </w:rPr>
        <w:t xml:space="preserve"> الوثيقة </w:t>
      </w:r>
      <w:r w:rsidRPr="00033EFD">
        <w:t>CWS/6/34</w:t>
      </w:r>
      <w:r w:rsidRPr="00033EFD">
        <w:rPr>
          <w:rtl/>
        </w:rPr>
        <w:t xml:space="preserve">). </w:t>
      </w:r>
    </w:p>
    <w:p w14:paraId="217D4DB2" w14:textId="072A526C" w:rsidR="000709DF" w:rsidRPr="00033EFD" w:rsidRDefault="000709DF" w:rsidP="000709DF">
      <w:pPr>
        <w:pStyle w:val="ONUMA"/>
        <w:rPr>
          <w:rtl/>
        </w:rPr>
      </w:pPr>
      <w:r w:rsidRPr="00033EFD">
        <w:rPr>
          <w:rtl/>
        </w:rPr>
        <w:t>وأحاطت اللجنة علم</w:t>
      </w:r>
      <w:r w:rsidR="00264637">
        <w:rPr>
          <w:rFonts w:hint="cs"/>
          <w:rtl/>
        </w:rPr>
        <w:t>اَ</w:t>
      </w:r>
      <w:r w:rsidR="00E562C3">
        <w:rPr>
          <w:rFonts w:hint="cs"/>
          <w:rtl/>
        </w:rPr>
        <w:t xml:space="preserve">، </w:t>
      </w:r>
      <w:r w:rsidRPr="00033EFD">
        <w:rPr>
          <w:rtl/>
        </w:rPr>
        <w:t xml:space="preserve">في دورتها الثامنة </w:t>
      </w:r>
      <w:r w:rsidR="00E562C3">
        <w:rPr>
          <w:rFonts w:hint="cs"/>
          <w:rtl/>
        </w:rPr>
        <w:t>التي عُقدت</w:t>
      </w:r>
      <w:r w:rsidRPr="00033EFD">
        <w:rPr>
          <w:rtl/>
        </w:rPr>
        <w:t xml:space="preserve"> في </w:t>
      </w:r>
      <w:r w:rsidR="00E562C3">
        <w:rPr>
          <w:rFonts w:hint="cs"/>
          <w:rtl/>
        </w:rPr>
        <w:t xml:space="preserve">عام </w:t>
      </w:r>
      <w:r w:rsidRPr="00033EFD">
        <w:rPr>
          <w:rtl/>
        </w:rPr>
        <w:t>2020</w:t>
      </w:r>
      <w:r w:rsidR="00E562C3">
        <w:rPr>
          <w:rFonts w:hint="cs"/>
          <w:rtl/>
        </w:rPr>
        <w:t xml:space="preserve">، </w:t>
      </w:r>
      <w:r w:rsidRPr="00033EFD">
        <w:rPr>
          <w:rtl/>
        </w:rPr>
        <w:t xml:space="preserve">بنشر </w:t>
      </w:r>
      <w:r w:rsidR="0040700A">
        <w:rPr>
          <w:rFonts w:hint="cs"/>
          <w:rtl/>
        </w:rPr>
        <w:t>مكونات</w:t>
      </w:r>
      <w:r w:rsidRPr="00033EFD">
        <w:rPr>
          <w:rtl/>
        </w:rPr>
        <w:t xml:space="preserve"> مخطط لغة الترميز الموسعة (</w:t>
      </w:r>
      <w:r w:rsidRPr="00033EFD">
        <w:t>XML</w:t>
      </w:r>
      <w:r w:rsidRPr="00033EFD">
        <w:rPr>
          <w:rtl/>
        </w:rPr>
        <w:t>) ل</w:t>
      </w:r>
      <w:r>
        <w:rPr>
          <w:rFonts w:hint="cs"/>
          <w:rtl/>
        </w:rPr>
        <w:t>بيانات ا</w:t>
      </w:r>
      <w:r w:rsidRPr="00033EFD">
        <w:rPr>
          <w:rtl/>
        </w:rPr>
        <w:t>لمصنفات اليتيمة المحمية بحق المؤلف بوصفها جزء</w:t>
      </w:r>
      <w:r w:rsidR="00264637">
        <w:rPr>
          <w:rFonts w:hint="cs"/>
          <w:rtl/>
        </w:rPr>
        <w:t>اً</w:t>
      </w:r>
      <w:r w:rsidRPr="00033EFD">
        <w:rPr>
          <w:rtl/>
        </w:rPr>
        <w:t xml:space="preserve"> من الإصدار 4.0 لمعيار الويبو </w:t>
      </w:r>
      <w:r w:rsidRPr="00033EFD">
        <w:t>ST.96</w:t>
      </w:r>
      <w:r w:rsidRPr="00033EFD">
        <w:rPr>
          <w:rtl/>
        </w:rPr>
        <w:t xml:space="preserve">، </w:t>
      </w:r>
      <w:r w:rsidR="00E562C3">
        <w:rPr>
          <w:rFonts w:hint="cs"/>
          <w:rtl/>
        </w:rPr>
        <w:t>وبأن</w:t>
      </w:r>
      <w:r w:rsidRPr="00033EFD">
        <w:rPr>
          <w:rtl/>
        </w:rPr>
        <w:t xml:space="preserve"> فر</w:t>
      </w:r>
      <w:r w:rsidR="00264637">
        <w:rPr>
          <w:rFonts w:hint="cs"/>
          <w:rtl/>
        </w:rPr>
        <w:t>قة ال</w:t>
      </w:r>
      <w:r w:rsidRPr="00033EFD">
        <w:rPr>
          <w:rtl/>
        </w:rPr>
        <w:t xml:space="preserve">عمل </w:t>
      </w:r>
      <w:r w:rsidRPr="00033EFD">
        <w:t>XML4IP</w:t>
      </w:r>
      <w:r w:rsidRPr="00033EFD">
        <w:rPr>
          <w:rtl/>
        </w:rPr>
        <w:t xml:space="preserve"> </w:t>
      </w:r>
      <w:r w:rsidR="00E562C3">
        <w:rPr>
          <w:rFonts w:hint="cs"/>
          <w:rtl/>
        </w:rPr>
        <w:t xml:space="preserve">تعتزم </w:t>
      </w:r>
      <w:r w:rsidRPr="00033EFD">
        <w:rPr>
          <w:rtl/>
        </w:rPr>
        <w:t>تعزيز بعض مكونات</w:t>
      </w:r>
      <w:r w:rsidR="00264637">
        <w:rPr>
          <w:rFonts w:hint="cs"/>
          <w:rtl/>
        </w:rPr>
        <w:t xml:space="preserve"> المصنفات اليتيمة المحمية</w:t>
      </w:r>
      <w:r w:rsidRPr="00033EFD">
        <w:rPr>
          <w:rFonts w:hint="cs"/>
          <w:rtl/>
        </w:rPr>
        <w:t xml:space="preserve"> </w:t>
      </w:r>
      <w:r w:rsidR="00264637">
        <w:rPr>
          <w:rFonts w:hint="cs"/>
          <w:rtl/>
        </w:rPr>
        <w:t>ب</w:t>
      </w:r>
      <w:r>
        <w:rPr>
          <w:rFonts w:hint="cs"/>
          <w:rtl/>
        </w:rPr>
        <w:t>حق المؤلف</w:t>
      </w:r>
      <w:r w:rsidRPr="00033EFD">
        <w:rPr>
          <w:rtl/>
        </w:rPr>
        <w:t>،</w:t>
      </w:r>
      <w:r w:rsidR="00264637">
        <w:rPr>
          <w:rFonts w:hint="cs"/>
          <w:rtl/>
        </w:rPr>
        <w:t xml:space="preserve"> مع الإشارة على وجه التحديد</w:t>
      </w:r>
      <w:r w:rsidRPr="00970673">
        <w:rPr>
          <w:rtl/>
        </w:rPr>
        <w:t xml:space="preserve"> إلى </w:t>
      </w:r>
      <w:r w:rsidR="00264637">
        <w:rPr>
          <w:rFonts w:hint="cs"/>
          <w:rtl/>
        </w:rPr>
        <w:t>المخططين</w:t>
      </w:r>
      <w:r w:rsidRPr="00970673">
        <w:rPr>
          <w:rtl/>
        </w:rPr>
        <w:t xml:space="preserve"> </w:t>
      </w:r>
      <w:r w:rsidRPr="00970673">
        <w:rPr>
          <w:rFonts w:ascii="Courier New" w:hAnsi="Courier New" w:cs="Courier New"/>
          <w:sz w:val="20"/>
          <w:szCs w:val="20"/>
        </w:rPr>
        <w:t>cpy :RightsHolderCategory</w:t>
      </w:r>
      <w:r w:rsidRPr="00970673">
        <w:rPr>
          <w:sz w:val="20"/>
          <w:szCs w:val="20"/>
          <w:rtl/>
        </w:rPr>
        <w:t xml:space="preserve"> </w:t>
      </w:r>
      <w:r w:rsidRPr="00970673">
        <w:rPr>
          <w:rtl/>
        </w:rPr>
        <w:t>و</w:t>
      </w:r>
      <w:r w:rsidRPr="00970673">
        <w:rPr>
          <w:rFonts w:ascii="Courier New" w:hAnsi="Courier New" w:cs="Courier New"/>
          <w:sz w:val="20"/>
          <w:szCs w:val="20"/>
        </w:rPr>
        <w:t>cpy:OrphanWorkKindCode</w:t>
      </w:r>
      <w:r w:rsidRPr="00970673">
        <w:rPr>
          <w:rtl/>
        </w:rPr>
        <w:t xml:space="preserve"> </w:t>
      </w:r>
      <w:r w:rsidRPr="00033EFD">
        <w:rPr>
          <w:rtl/>
        </w:rPr>
        <w:t>(انظر</w:t>
      </w:r>
      <w:r w:rsidR="00264637">
        <w:rPr>
          <w:rFonts w:hint="cs"/>
          <w:rtl/>
        </w:rPr>
        <w:t>(ي)</w:t>
      </w:r>
      <w:r w:rsidRPr="00033EFD">
        <w:rPr>
          <w:rtl/>
        </w:rPr>
        <w:t xml:space="preserve"> الفقرتين 86 و92 </w:t>
      </w:r>
      <w:r w:rsidR="00E62A29">
        <w:rPr>
          <w:rFonts w:hint="cs"/>
          <w:rtl/>
        </w:rPr>
        <w:t>من</w:t>
      </w:r>
      <w:r w:rsidRPr="00033EFD">
        <w:rPr>
          <w:rtl/>
        </w:rPr>
        <w:t xml:space="preserve"> الوثيقة </w:t>
      </w:r>
      <w:r w:rsidRPr="00033EFD">
        <w:t>CWS/8/24</w:t>
      </w:r>
      <w:r w:rsidRPr="00033EFD">
        <w:rPr>
          <w:rtl/>
        </w:rPr>
        <w:t>).</w:t>
      </w:r>
    </w:p>
    <w:p w14:paraId="2EE825B1" w14:textId="43B09F03" w:rsidR="000709DF" w:rsidRPr="00033EFD" w:rsidRDefault="000709DF" w:rsidP="00E562C3">
      <w:pPr>
        <w:pStyle w:val="ONUMA"/>
      </w:pPr>
      <w:r w:rsidRPr="00033EFD">
        <w:rPr>
          <w:rtl/>
        </w:rPr>
        <w:t>ونظرت لجنة المعايير، في دورتها التاسعة</w:t>
      </w:r>
      <w:r w:rsidR="00264637">
        <w:rPr>
          <w:rFonts w:hint="cs"/>
          <w:rtl/>
        </w:rPr>
        <w:t xml:space="preserve"> التي عُقدت في عام 2021</w:t>
      </w:r>
      <w:r w:rsidRPr="00033EFD">
        <w:rPr>
          <w:rtl/>
        </w:rPr>
        <w:t xml:space="preserve">، في مشروع </w:t>
      </w:r>
      <w:r w:rsidR="00200080">
        <w:rPr>
          <w:rFonts w:hint="cs"/>
          <w:rtl/>
        </w:rPr>
        <w:t>وثيقة</w:t>
      </w:r>
      <w:r w:rsidRPr="00033EFD">
        <w:rPr>
          <w:rtl/>
        </w:rPr>
        <w:t xml:space="preserve"> عمل قدمها المكتب الدولي</w:t>
      </w:r>
      <w:r w:rsidR="000F4D63">
        <w:rPr>
          <w:rFonts w:hint="cs"/>
          <w:rtl/>
        </w:rPr>
        <w:t xml:space="preserve">، والتي </w:t>
      </w:r>
      <w:r>
        <w:rPr>
          <w:rFonts w:hint="cs"/>
          <w:rtl/>
        </w:rPr>
        <w:t>اقترحت</w:t>
      </w:r>
      <w:r w:rsidRPr="00033EFD">
        <w:rPr>
          <w:rtl/>
        </w:rPr>
        <w:t xml:space="preserve"> توفير وسيلة منظمة لتصنيف </w:t>
      </w:r>
      <w:bookmarkStart w:id="3" w:name="_Hlk150352625"/>
      <w:r w:rsidRPr="00033EFD">
        <w:rPr>
          <w:rtl/>
        </w:rPr>
        <w:t xml:space="preserve">أدوار أصحاب الحقوق </w:t>
      </w:r>
      <w:r w:rsidR="00264637">
        <w:rPr>
          <w:rFonts w:hint="cs"/>
          <w:rtl/>
        </w:rPr>
        <w:t>و</w:t>
      </w:r>
      <w:r w:rsidRPr="00033EFD">
        <w:rPr>
          <w:rtl/>
        </w:rPr>
        <w:t>المصنفات الإبداعية</w:t>
      </w:r>
      <w:bookmarkEnd w:id="3"/>
      <w:r w:rsidRPr="00033EFD">
        <w:rPr>
          <w:rtl/>
        </w:rPr>
        <w:t xml:space="preserve"> </w:t>
      </w:r>
      <w:r w:rsidR="000F4D63">
        <w:rPr>
          <w:rFonts w:hint="cs"/>
          <w:rtl/>
        </w:rPr>
        <w:t>المدرجة</w:t>
      </w:r>
      <w:r w:rsidR="00264637">
        <w:rPr>
          <w:rFonts w:hint="cs"/>
          <w:rtl/>
        </w:rPr>
        <w:t xml:space="preserve"> حالياً</w:t>
      </w:r>
      <w:r w:rsidRPr="00033EFD">
        <w:rPr>
          <w:rtl/>
        </w:rPr>
        <w:t xml:space="preserve"> في مكوني معيار الويبو </w:t>
      </w:r>
      <w:r w:rsidRPr="00033EFD">
        <w:t>ST.96</w:t>
      </w:r>
      <w:r w:rsidRPr="00033EFD">
        <w:rPr>
          <w:rtl/>
        </w:rPr>
        <w:t xml:space="preserve">  ‏</w:t>
      </w:r>
      <w:r w:rsidRPr="00264637">
        <w:rPr>
          <w:rFonts w:ascii="Courier New" w:hAnsi="Courier New" w:cs="Courier New"/>
        </w:rPr>
        <w:t>cpy:RightsHolderCategory</w:t>
      </w:r>
      <w:r w:rsidRPr="00033EFD">
        <w:rPr>
          <w:rtl/>
        </w:rPr>
        <w:t xml:space="preserve"> (فئة تحدد نوع صاحب الحقوق) و</w:t>
      </w:r>
      <w:r w:rsidRPr="00264637">
        <w:rPr>
          <w:rFonts w:ascii="Courier New" w:hAnsi="Courier New" w:cs="Courier New"/>
        </w:rPr>
        <w:t>cpy:OrphanWorkKindCode</w:t>
      </w:r>
      <w:r w:rsidRPr="00033EFD">
        <w:rPr>
          <w:rtl/>
        </w:rPr>
        <w:t xml:space="preserve"> (قائمة الرموز التي تحدد نوع</w:t>
      </w:r>
      <w:r w:rsidR="000F4D63">
        <w:rPr>
          <w:rFonts w:hint="cs"/>
          <w:rtl/>
        </w:rPr>
        <w:t xml:space="preserve"> </w:t>
      </w:r>
      <w:r w:rsidRPr="00033EFD">
        <w:rPr>
          <w:rtl/>
        </w:rPr>
        <w:t>المصنف اليتيم)</w:t>
      </w:r>
      <w:r w:rsidR="000F4D63">
        <w:rPr>
          <w:rFonts w:hint="cs"/>
          <w:rtl/>
        </w:rPr>
        <w:t xml:space="preserve">. </w:t>
      </w:r>
      <w:r w:rsidRPr="00033EFD">
        <w:rPr>
          <w:rtl/>
        </w:rPr>
        <w:t xml:space="preserve">وتهدف </w:t>
      </w:r>
      <w:r w:rsidR="00200080">
        <w:rPr>
          <w:rFonts w:hint="cs"/>
          <w:rtl/>
        </w:rPr>
        <w:t>الوثيقة</w:t>
      </w:r>
      <w:r w:rsidRPr="00033EFD">
        <w:rPr>
          <w:rtl/>
        </w:rPr>
        <w:t xml:space="preserve"> بصورة أساسية إلى تحسين قابلية التشغيل البيني لمعيار الويبو </w:t>
      </w:r>
      <w:r w:rsidRPr="00033EFD">
        <w:t>ST.96</w:t>
      </w:r>
      <w:r w:rsidRPr="00033EFD">
        <w:rPr>
          <w:rtl/>
        </w:rPr>
        <w:t xml:space="preserve"> مع معايير أخرى للبيانات في مختلف أنحاء العالم، استحدثتها أو استخدمتها القطاعات الثقافية ومنظمات الإدارة الجماعي</w:t>
      </w:r>
      <w:r w:rsidR="000F4D63">
        <w:rPr>
          <w:rFonts w:hint="cs"/>
          <w:rtl/>
        </w:rPr>
        <w:t>ة، فضلاً عن</w:t>
      </w:r>
      <w:r w:rsidR="00200080">
        <w:rPr>
          <w:rFonts w:hint="cs"/>
          <w:rtl/>
        </w:rPr>
        <w:t xml:space="preserve"> </w:t>
      </w:r>
      <w:r w:rsidRPr="00033EFD">
        <w:rPr>
          <w:rtl/>
        </w:rPr>
        <w:t>المكتبات الوطنية والجامعية.</w:t>
      </w:r>
      <w:r w:rsidRPr="00033EFD">
        <w:t xml:space="preserve"> </w:t>
      </w:r>
      <w:r w:rsidR="00200080">
        <w:rPr>
          <w:rFonts w:hint="cs"/>
          <w:rtl/>
        </w:rPr>
        <w:t>و</w:t>
      </w:r>
      <w:r w:rsidRPr="00033EFD">
        <w:rPr>
          <w:rtl/>
        </w:rPr>
        <w:t xml:space="preserve">دعت </w:t>
      </w:r>
      <w:r w:rsidR="000F4D63">
        <w:rPr>
          <w:rFonts w:hint="cs"/>
          <w:rtl/>
        </w:rPr>
        <w:t>ل</w:t>
      </w:r>
      <w:r w:rsidRPr="00033EFD">
        <w:rPr>
          <w:rtl/>
        </w:rPr>
        <w:t xml:space="preserve">جنة </w:t>
      </w:r>
      <w:r w:rsidR="000F4D63">
        <w:rPr>
          <w:rFonts w:hint="cs"/>
          <w:rtl/>
        </w:rPr>
        <w:t>المعايير الأعضاء</w:t>
      </w:r>
      <w:r w:rsidRPr="00033EFD">
        <w:rPr>
          <w:rtl/>
        </w:rPr>
        <w:t xml:space="preserve"> إلى التعليق على </w:t>
      </w:r>
      <w:r w:rsidR="000F4D63">
        <w:rPr>
          <w:rFonts w:hint="cs"/>
          <w:rtl/>
        </w:rPr>
        <w:t>المقترحات</w:t>
      </w:r>
      <w:r w:rsidRPr="00033EFD">
        <w:rPr>
          <w:rtl/>
        </w:rPr>
        <w:t xml:space="preserve"> المتعلقة بالبيانات الوصفية للمصنفات اليتيمة المحمية بحق المؤلف، على النحو المبين في مرفق الوثيقة </w:t>
      </w:r>
      <w:r w:rsidRPr="00033EFD">
        <w:t>CWS/9/4</w:t>
      </w:r>
      <w:r w:rsidRPr="00033EFD">
        <w:rPr>
          <w:rtl/>
        </w:rPr>
        <w:t xml:space="preserve">، وأشارت إلى أن المكتب الدولي </w:t>
      </w:r>
      <w:r w:rsidR="00200080">
        <w:rPr>
          <w:rFonts w:hint="cs"/>
          <w:rtl/>
        </w:rPr>
        <w:t>سي</w:t>
      </w:r>
      <w:r w:rsidRPr="00033EFD">
        <w:rPr>
          <w:rtl/>
        </w:rPr>
        <w:t xml:space="preserve">طرح </w:t>
      </w:r>
      <w:r w:rsidR="000F4D63">
        <w:rPr>
          <w:rFonts w:hint="cs"/>
          <w:rtl/>
        </w:rPr>
        <w:t>المقترحات</w:t>
      </w:r>
      <w:r w:rsidRPr="00033EFD">
        <w:rPr>
          <w:rtl/>
        </w:rPr>
        <w:t xml:space="preserve"> </w:t>
      </w:r>
      <w:r w:rsidR="000F4D63">
        <w:rPr>
          <w:rFonts w:hint="cs"/>
          <w:rtl/>
        </w:rPr>
        <w:lastRenderedPageBreak/>
        <w:t>ال</w:t>
      </w:r>
      <w:r w:rsidRPr="00033EFD">
        <w:rPr>
          <w:rtl/>
        </w:rPr>
        <w:t>نهائية</w:t>
      </w:r>
      <w:r w:rsidR="000F4D63">
        <w:rPr>
          <w:rFonts w:hint="cs"/>
          <w:rtl/>
        </w:rPr>
        <w:t xml:space="preserve"> </w:t>
      </w:r>
      <w:r w:rsidR="0017738E">
        <w:rPr>
          <w:rFonts w:hint="cs"/>
          <w:rtl/>
        </w:rPr>
        <w:t>فيما يتعلق</w:t>
      </w:r>
      <w:r w:rsidR="00200080">
        <w:rPr>
          <w:rFonts w:hint="cs"/>
          <w:rtl/>
        </w:rPr>
        <w:t xml:space="preserve"> </w:t>
      </w:r>
      <w:r w:rsidR="0017738E">
        <w:rPr>
          <w:rFonts w:hint="cs"/>
          <w:rtl/>
        </w:rPr>
        <w:t>ب</w:t>
      </w:r>
      <w:r w:rsidR="000F4D63">
        <w:rPr>
          <w:rFonts w:hint="cs"/>
          <w:rtl/>
        </w:rPr>
        <w:t>ا</w:t>
      </w:r>
      <w:r w:rsidR="00200080">
        <w:rPr>
          <w:rFonts w:hint="cs"/>
          <w:rtl/>
        </w:rPr>
        <w:t>لفئات المقترحة</w:t>
      </w:r>
      <w:r w:rsidRPr="00033EFD">
        <w:rPr>
          <w:rtl/>
        </w:rPr>
        <w:t xml:space="preserve"> للنظر فيها في الدورة العاشرة للجنة.</w:t>
      </w:r>
      <w:r w:rsidRPr="00033EFD">
        <w:t xml:space="preserve"> </w:t>
      </w:r>
      <w:r w:rsidRPr="00033EFD">
        <w:rPr>
          <w:rtl/>
        </w:rPr>
        <w:t>(انظر</w:t>
      </w:r>
      <w:r w:rsidR="00200080">
        <w:rPr>
          <w:rFonts w:hint="cs"/>
          <w:rtl/>
        </w:rPr>
        <w:t>(ي)</w:t>
      </w:r>
      <w:r w:rsidRPr="00033EFD">
        <w:rPr>
          <w:rtl/>
        </w:rPr>
        <w:t xml:space="preserve"> الفقرات</w:t>
      </w:r>
      <w:r w:rsidRPr="00033EFD">
        <w:rPr>
          <w:rFonts w:hint="cs"/>
          <w:rtl/>
        </w:rPr>
        <w:t xml:space="preserve"> من</w:t>
      </w:r>
      <w:r w:rsidRPr="00033EFD">
        <w:rPr>
          <w:rtl/>
        </w:rPr>
        <w:t xml:space="preserve"> 21 إلى 24 </w:t>
      </w:r>
      <w:r w:rsidR="00E62A29">
        <w:rPr>
          <w:rFonts w:hint="cs"/>
          <w:rtl/>
        </w:rPr>
        <w:t>من</w:t>
      </w:r>
      <w:r w:rsidRPr="00033EFD">
        <w:rPr>
          <w:rtl/>
        </w:rPr>
        <w:t xml:space="preserve"> الوثيقة </w:t>
      </w:r>
      <w:r w:rsidRPr="00033EFD">
        <w:t>CWS/9/25</w:t>
      </w:r>
      <w:r w:rsidRPr="00033EFD">
        <w:rPr>
          <w:rFonts w:hint="cs"/>
          <w:rtl/>
        </w:rPr>
        <w:t>)</w:t>
      </w:r>
      <w:r>
        <w:rPr>
          <w:rFonts w:hint="cs"/>
          <w:rtl/>
        </w:rPr>
        <w:t>.</w:t>
      </w:r>
    </w:p>
    <w:p w14:paraId="5C5154A5" w14:textId="430C5C3A" w:rsidR="004C3A1A" w:rsidRDefault="000709DF" w:rsidP="004C3A1A">
      <w:pPr>
        <w:pStyle w:val="ONUMA"/>
      </w:pPr>
      <w:r w:rsidRPr="00033EFD">
        <w:rPr>
          <w:rtl/>
        </w:rPr>
        <w:t>و</w:t>
      </w:r>
      <w:r w:rsidR="00E62A29">
        <w:rPr>
          <w:rFonts w:hint="cs"/>
          <w:rtl/>
        </w:rPr>
        <w:t xml:space="preserve">أحاطت لجنة المعايير علماً، </w:t>
      </w:r>
      <w:r w:rsidRPr="00033EFD">
        <w:rPr>
          <w:rtl/>
        </w:rPr>
        <w:t xml:space="preserve">في دورتها العاشرة </w:t>
      </w:r>
      <w:r w:rsidR="00E62A29">
        <w:rPr>
          <w:rFonts w:hint="cs"/>
          <w:rtl/>
        </w:rPr>
        <w:t>التي عُقدت</w:t>
      </w:r>
      <w:r w:rsidRPr="00033EFD">
        <w:rPr>
          <w:rtl/>
        </w:rPr>
        <w:t xml:space="preserve"> في</w:t>
      </w:r>
      <w:r w:rsidR="00E62A29">
        <w:rPr>
          <w:rFonts w:hint="cs"/>
          <w:rtl/>
        </w:rPr>
        <w:t xml:space="preserve"> عام</w:t>
      </w:r>
      <w:r w:rsidRPr="00033EFD">
        <w:rPr>
          <w:rtl/>
        </w:rPr>
        <w:t xml:space="preserve"> 2022، بدعوة الدول الأعضاء والمراقبين</w:t>
      </w:r>
      <w:r>
        <w:rPr>
          <w:rFonts w:hint="cs"/>
          <w:rtl/>
        </w:rPr>
        <w:t xml:space="preserve"> </w:t>
      </w:r>
      <w:r w:rsidRPr="00033EFD">
        <w:rPr>
          <w:rtl/>
        </w:rPr>
        <w:t xml:space="preserve">في الويبو </w:t>
      </w:r>
      <w:r w:rsidR="00E62A29" w:rsidRPr="00033EFD">
        <w:rPr>
          <w:rtl/>
        </w:rPr>
        <w:t xml:space="preserve">لإبداء تعليقات على </w:t>
      </w:r>
      <w:r w:rsidR="00E62A29">
        <w:rPr>
          <w:rFonts w:hint="cs"/>
          <w:rtl/>
        </w:rPr>
        <w:t>المقترحات</w:t>
      </w:r>
      <w:r w:rsidR="00E62A29" w:rsidRPr="00033EFD">
        <w:rPr>
          <w:rtl/>
        </w:rPr>
        <w:t xml:space="preserve"> المحسنة</w:t>
      </w:r>
      <w:r w:rsidR="00E62A29">
        <w:rPr>
          <w:rFonts w:hint="cs"/>
          <w:rtl/>
        </w:rPr>
        <w:t xml:space="preserve">، </w:t>
      </w:r>
      <w:r w:rsidRPr="00033EFD">
        <w:rPr>
          <w:rtl/>
        </w:rPr>
        <w:t xml:space="preserve">من خلال التعميم </w:t>
      </w:r>
      <w:r w:rsidRPr="00033EFD">
        <w:t>C.CWS 156</w:t>
      </w:r>
      <w:r w:rsidRPr="00033EFD">
        <w:rPr>
          <w:rtl/>
        </w:rPr>
        <w:t>. وتلقت</w:t>
      </w:r>
      <w:r w:rsidRPr="00033EFD">
        <w:rPr>
          <w:rFonts w:hint="cs"/>
          <w:rtl/>
        </w:rPr>
        <w:t xml:space="preserve"> اللجنة</w:t>
      </w:r>
      <w:r w:rsidRPr="00033EFD">
        <w:rPr>
          <w:rtl/>
        </w:rPr>
        <w:t xml:space="preserve"> تسعة ردود من ست دول أعضاء وثلاثة مراقبين. ونُقح</w:t>
      </w:r>
      <w:r w:rsidR="00200080">
        <w:rPr>
          <w:rFonts w:hint="cs"/>
          <w:rtl/>
        </w:rPr>
        <w:t>ت</w:t>
      </w:r>
      <w:r w:rsidRPr="00033EFD">
        <w:rPr>
          <w:rtl/>
        </w:rPr>
        <w:t xml:space="preserve"> </w:t>
      </w:r>
      <w:r w:rsidR="00200080">
        <w:rPr>
          <w:rFonts w:hint="cs"/>
          <w:rtl/>
        </w:rPr>
        <w:t>وثيقة</w:t>
      </w:r>
      <w:r w:rsidRPr="00033EFD">
        <w:rPr>
          <w:rtl/>
        </w:rPr>
        <w:t xml:space="preserve"> العمل وفقاً للتعليقات الواردة، ودُعيت لجنة</w:t>
      </w:r>
      <w:r w:rsidR="00E62A29">
        <w:rPr>
          <w:rFonts w:hint="cs"/>
          <w:rtl/>
        </w:rPr>
        <w:t xml:space="preserve"> </w:t>
      </w:r>
      <w:r w:rsidRPr="00033EFD">
        <w:rPr>
          <w:rtl/>
        </w:rPr>
        <w:t xml:space="preserve">المعايير إلى </w:t>
      </w:r>
      <w:r w:rsidR="004C3A1A">
        <w:rPr>
          <w:rFonts w:hint="cs"/>
          <w:rtl/>
        </w:rPr>
        <w:t>التعليق</w:t>
      </w:r>
      <w:r w:rsidRPr="00033EFD">
        <w:rPr>
          <w:rtl/>
        </w:rPr>
        <w:t xml:space="preserve"> على مشروع</w:t>
      </w:r>
      <w:r w:rsidR="004C3A1A">
        <w:rPr>
          <w:rFonts w:hint="cs"/>
          <w:rtl/>
        </w:rPr>
        <w:t xml:space="preserve"> الوثيقة</w:t>
      </w:r>
      <w:r w:rsidRPr="00033EFD">
        <w:rPr>
          <w:rtl/>
        </w:rPr>
        <w:t xml:space="preserve"> المُنقح</w:t>
      </w:r>
      <w:r w:rsidR="004C3A1A">
        <w:rPr>
          <w:rFonts w:hint="cs"/>
          <w:rtl/>
        </w:rPr>
        <w:t>ة</w:t>
      </w:r>
      <w:r w:rsidRPr="00033EFD">
        <w:rPr>
          <w:rtl/>
        </w:rPr>
        <w:t xml:space="preserve"> </w:t>
      </w:r>
      <w:r w:rsidR="004C3A1A">
        <w:rPr>
          <w:rFonts w:hint="cs"/>
          <w:rtl/>
        </w:rPr>
        <w:t>بشأن ا</w:t>
      </w:r>
      <w:r w:rsidRPr="00033EFD">
        <w:rPr>
          <w:rtl/>
        </w:rPr>
        <w:t xml:space="preserve">لبيانات الوصفية للمصنفات اليتيمة المحمية بحق المؤلف، الواردة في مرفق الوثيقة </w:t>
      </w:r>
      <w:r w:rsidRPr="00033EFD">
        <w:t>CWS/10/7</w:t>
      </w:r>
      <w:r w:rsidRPr="00033EFD">
        <w:rPr>
          <w:rtl/>
        </w:rPr>
        <w:t xml:space="preserve"> (انظر</w:t>
      </w:r>
      <w:r w:rsidR="00200080">
        <w:rPr>
          <w:rFonts w:hint="cs"/>
          <w:rtl/>
        </w:rPr>
        <w:t>(ي)</w:t>
      </w:r>
      <w:r w:rsidRPr="00033EFD">
        <w:rPr>
          <w:rtl/>
        </w:rPr>
        <w:t xml:space="preserve"> الفقرتين 50 و51 </w:t>
      </w:r>
      <w:r w:rsidR="004C3A1A">
        <w:rPr>
          <w:rFonts w:hint="cs"/>
          <w:rtl/>
        </w:rPr>
        <w:t>من</w:t>
      </w:r>
      <w:r w:rsidRPr="00033EFD">
        <w:rPr>
          <w:rtl/>
        </w:rPr>
        <w:t xml:space="preserve"> الوثيقة </w:t>
      </w:r>
      <w:r w:rsidRPr="00033EFD">
        <w:t>CWS/10/22</w:t>
      </w:r>
      <w:r w:rsidRPr="00033EFD">
        <w:rPr>
          <w:rFonts w:hint="cs"/>
          <w:rtl/>
        </w:rPr>
        <w:t>)</w:t>
      </w:r>
      <w:r w:rsidR="001B44C6" w:rsidRPr="00D93E99">
        <w:rPr>
          <w:rFonts w:hint="cs"/>
          <w:rtl/>
          <w:lang w:bidi="ar-MA"/>
        </w:rPr>
        <w:t>.</w:t>
      </w:r>
      <w:r w:rsidR="00E62A29">
        <w:rPr>
          <w:rFonts w:hint="cs"/>
          <w:rtl/>
        </w:rPr>
        <w:t xml:space="preserve"> </w:t>
      </w:r>
      <w:r w:rsidRPr="00033EFD">
        <w:rPr>
          <w:rtl/>
        </w:rPr>
        <w:t>و</w:t>
      </w:r>
      <w:r w:rsidR="00200080">
        <w:rPr>
          <w:rFonts w:hint="cs"/>
          <w:rtl/>
        </w:rPr>
        <w:t xml:space="preserve">فيما يتعلق بالخطوات </w:t>
      </w:r>
      <w:r w:rsidR="004C3A1A">
        <w:rPr>
          <w:rFonts w:hint="cs"/>
          <w:rtl/>
        </w:rPr>
        <w:t>المقبلة</w:t>
      </w:r>
      <w:r w:rsidR="00200080">
        <w:rPr>
          <w:rFonts w:hint="cs"/>
          <w:rtl/>
        </w:rPr>
        <w:t xml:space="preserve">، </w:t>
      </w:r>
      <w:r w:rsidRPr="00033EFD">
        <w:rPr>
          <w:rtl/>
        </w:rPr>
        <w:t xml:space="preserve">اتفقت لجنة المعايير على إجراء جولة أخرى من المشاورات لالتماس </w:t>
      </w:r>
      <w:r w:rsidR="004C3A1A">
        <w:rPr>
          <w:rFonts w:hint="cs"/>
          <w:rtl/>
        </w:rPr>
        <w:t>مساهمات</w:t>
      </w:r>
      <w:r w:rsidRPr="00033EFD">
        <w:rPr>
          <w:rtl/>
        </w:rPr>
        <w:t xml:space="preserve"> مكاتب حق المؤلف والصناعة</w:t>
      </w:r>
      <w:r w:rsidR="00200080">
        <w:rPr>
          <w:rFonts w:hint="cs"/>
          <w:rtl/>
        </w:rPr>
        <w:t xml:space="preserve">، </w:t>
      </w:r>
      <w:r w:rsidRPr="00033EFD">
        <w:rPr>
          <w:rtl/>
        </w:rPr>
        <w:t xml:space="preserve">وطلبت </w:t>
      </w:r>
      <w:r w:rsidR="004C3A1A">
        <w:rPr>
          <w:rFonts w:hint="cs"/>
          <w:rtl/>
        </w:rPr>
        <w:t>من</w:t>
      </w:r>
      <w:r w:rsidRPr="00033EFD">
        <w:rPr>
          <w:rtl/>
        </w:rPr>
        <w:t xml:space="preserve"> الأمانة إصدار تعميم يدعو الأعضاء والمراقبين، مع الإشارة صراحةً إلى مكاتب حق المؤلف والمؤسسات والمنظمات الدولية غير الحكومية التي تمثل أصحاب المصلحة في الصناعات الإبداعية</w:t>
      </w:r>
      <w:r w:rsidR="004C3A1A">
        <w:rPr>
          <w:rFonts w:hint="cs"/>
          <w:rtl/>
        </w:rPr>
        <w:t>،</w:t>
      </w:r>
      <w:r w:rsidRPr="00033EFD">
        <w:rPr>
          <w:rtl/>
        </w:rPr>
        <w:t xml:space="preserve"> إلى استعراض مشروع وثيقة العمل المُنقحة الواردة في الوثيقة </w:t>
      </w:r>
      <w:r w:rsidRPr="00E62A29">
        <w:rPr>
          <w:rFonts w:eastAsiaTheme="minorHAnsi"/>
          <w:lang w:val="es-ES_tradnl"/>
        </w:rPr>
        <w:t>CWS/10/7</w:t>
      </w:r>
      <w:r w:rsidRPr="00033EFD">
        <w:rPr>
          <w:rtl/>
        </w:rPr>
        <w:t xml:space="preserve"> </w:t>
      </w:r>
      <w:r w:rsidR="004C3A1A">
        <w:rPr>
          <w:rFonts w:hint="cs"/>
          <w:rtl/>
        </w:rPr>
        <w:t>وتقديم تعليقاتهم</w:t>
      </w:r>
      <w:r w:rsidRPr="00033EFD">
        <w:rPr>
          <w:rtl/>
        </w:rPr>
        <w:t xml:space="preserve">. وطلبت لجنة المعايير من الأمانة أن تُقدِّم، في دورتها الحادية عشرة، </w:t>
      </w:r>
      <w:r w:rsidR="004C3A1A">
        <w:rPr>
          <w:rFonts w:hint="cs"/>
          <w:rtl/>
        </w:rPr>
        <w:t>مقترحاً</w:t>
      </w:r>
      <w:r w:rsidRPr="00033EFD">
        <w:rPr>
          <w:rtl/>
        </w:rPr>
        <w:t xml:space="preserve"> نهائي</w:t>
      </w:r>
      <w:r w:rsidR="004C3A1A">
        <w:rPr>
          <w:rFonts w:hint="cs"/>
          <w:rtl/>
        </w:rPr>
        <w:t>اً</w:t>
      </w:r>
      <w:r w:rsidRPr="00033EFD">
        <w:rPr>
          <w:rtl/>
        </w:rPr>
        <w:t xml:space="preserve"> يعكس نتائج المشاورات، للنظر فيه واعتماده، أو </w:t>
      </w:r>
      <w:r w:rsidR="004C3A1A">
        <w:rPr>
          <w:rFonts w:hint="cs"/>
          <w:rtl/>
        </w:rPr>
        <w:t>مقترحاً</w:t>
      </w:r>
      <w:r w:rsidRPr="00033EFD">
        <w:rPr>
          <w:rtl/>
        </w:rPr>
        <w:t xml:space="preserve"> بشأن الخطوات المقبلة، في ضوء التعليقات المقدَمة أثناء المشاورات. (انظر</w:t>
      </w:r>
      <w:r w:rsidR="00B90004">
        <w:rPr>
          <w:rFonts w:hint="cs"/>
          <w:rtl/>
        </w:rPr>
        <w:t>(ي)</w:t>
      </w:r>
      <w:r w:rsidRPr="00033EFD">
        <w:rPr>
          <w:rtl/>
        </w:rPr>
        <w:t xml:space="preserve"> الفقرات من 52 إلى 57 </w:t>
      </w:r>
      <w:r w:rsidR="004C3A1A">
        <w:rPr>
          <w:rFonts w:hint="cs"/>
          <w:rtl/>
        </w:rPr>
        <w:t>من</w:t>
      </w:r>
      <w:r w:rsidRPr="00033EFD">
        <w:rPr>
          <w:rtl/>
        </w:rPr>
        <w:t xml:space="preserve"> الوثيقة </w:t>
      </w:r>
      <w:r w:rsidRPr="00E62A29">
        <w:rPr>
          <w:rFonts w:eastAsiaTheme="minorHAnsi"/>
          <w:lang w:val="es-ES_tradnl"/>
        </w:rPr>
        <w:t>CWS/10/22</w:t>
      </w:r>
      <w:r w:rsidRPr="00033EFD">
        <w:t>)</w:t>
      </w:r>
      <w:r w:rsidRPr="00033EFD">
        <w:rPr>
          <w:rFonts w:hint="cs"/>
          <w:rtl/>
        </w:rPr>
        <w:t>).</w:t>
      </w:r>
    </w:p>
    <w:p w14:paraId="11550380" w14:textId="3EE049ED" w:rsidR="000709DF" w:rsidRDefault="004C3A1A" w:rsidP="004C3A1A">
      <w:pPr>
        <w:pStyle w:val="ONUMA"/>
      </w:pPr>
      <w:r>
        <w:rPr>
          <w:rFonts w:hint="cs"/>
          <w:rtl/>
        </w:rPr>
        <w:t>و</w:t>
      </w:r>
      <w:r w:rsidR="000709DF" w:rsidRPr="000709DF">
        <w:rPr>
          <w:rtl/>
        </w:rPr>
        <w:t xml:space="preserve">في دورتها الحادية عشرة، </w:t>
      </w:r>
      <w:r>
        <w:rPr>
          <w:rFonts w:hint="cs"/>
          <w:rtl/>
        </w:rPr>
        <w:t>أشارت</w:t>
      </w:r>
      <w:r w:rsidR="000709DF" w:rsidRPr="000709DF">
        <w:rPr>
          <w:rtl/>
        </w:rPr>
        <w:t xml:space="preserve"> لجنة المعايير</w:t>
      </w:r>
      <w:r>
        <w:rPr>
          <w:rFonts w:hint="cs"/>
          <w:rtl/>
        </w:rPr>
        <w:t xml:space="preserve"> إلى</w:t>
      </w:r>
      <w:r w:rsidR="000709DF" w:rsidRPr="000709DF">
        <w:rPr>
          <w:rtl/>
        </w:rPr>
        <w:t xml:space="preserve"> أن الدول الأعضاء </w:t>
      </w:r>
      <w:r w:rsidR="00B90004">
        <w:rPr>
          <w:rFonts w:hint="cs"/>
          <w:rtl/>
        </w:rPr>
        <w:t>والتي لها صفة مراقب</w:t>
      </w:r>
      <w:r w:rsidR="000709DF" w:rsidRPr="000709DF">
        <w:rPr>
          <w:rtl/>
        </w:rPr>
        <w:t xml:space="preserve"> في الويبو </w:t>
      </w:r>
      <w:r w:rsidR="00B90004">
        <w:rPr>
          <w:rFonts w:hint="cs"/>
          <w:rtl/>
        </w:rPr>
        <w:t>قد دُعيت</w:t>
      </w:r>
      <w:r w:rsidR="000709DF" w:rsidRPr="000709DF">
        <w:rPr>
          <w:rtl/>
        </w:rPr>
        <w:t xml:space="preserve"> لتقديم تعليقاته</w:t>
      </w:r>
      <w:r w:rsidR="00B90004">
        <w:rPr>
          <w:rFonts w:hint="cs"/>
          <w:rtl/>
        </w:rPr>
        <w:t>ا</w:t>
      </w:r>
      <w:r w:rsidR="000709DF" w:rsidRPr="000709DF">
        <w:rPr>
          <w:rtl/>
        </w:rPr>
        <w:t xml:space="preserve"> على المقترحات المحسنة من خلال التعميم </w:t>
      </w:r>
      <w:r w:rsidR="000709DF" w:rsidRPr="000709DF">
        <w:t>C.CWS 171</w:t>
      </w:r>
      <w:r w:rsidR="000709DF" w:rsidRPr="000709DF">
        <w:rPr>
          <w:rtl/>
        </w:rPr>
        <w:t xml:space="preserve">. </w:t>
      </w:r>
      <w:r w:rsidR="00B90004">
        <w:rPr>
          <w:rFonts w:hint="cs"/>
          <w:rtl/>
        </w:rPr>
        <w:t>وأشارت</w:t>
      </w:r>
      <w:r w:rsidR="000709DF" w:rsidRPr="000709DF">
        <w:rPr>
          <w:rtl/>
        </w:rPr>
        <w:t xml:space="preserve"> لجنة المعايير </w:t>
      </w:r>
      <w:r w:rsidR="00B90004">
        <w:rPr>
          <w:rFonts w:hint="cs"/>
          <w:rtl/>
        </w:rPr>
        <w:t>إلى أنها قد تلقت</w:t>
      </w:r>
      <w:r w:rsidR="000709DF" w:rsidRPr="000709DF">
        <w:rPr>
          <w:rtl/>
        </w:rPr>
        <w:t xml:space="preserve"> تسعة ردود من ثمانية أعضاء في </w:t>
      </w:r>
      <w:r w:rsidR="00B90004">
        <w:rPr>
          <w:rFonts w:hint="cs"/>
          <w:rtl/>
        </w:rPr>
        <w:t>ا</w:t>
      </w:r>
      <w:r w:rsidR="000709DF" w:rsidRPr="000709DF">
        <w:rPr>
          <w:rtl/>
        </w:rPr>
        <w:t>ل</w:t>
      </w:r>
      <w:r w:rsidR="00B90004">
        <w:rPr>
          <w:rFonts w:hint="cs"/>
          <w:rtl/>
        </w:rPr>
        <w:t>ل</w:t>
      </w:r>
      <w:r w:rsidR="000709DF" w:rsidRPr="000709DF">
        <w:rPr>
          <w:rtl/>
        </w:rPr>
        <w:t xml:space="preserve">جنة ومراقب واحد (انظر الوثيقة </w:t>
      </w:r>
      <w:r w:rsidR="000709DF" w:rsidRPr="000709DF">
        <w:t>CWS/11/19 Rev</w:t>
      </w:r>
      <w:r w:rsidR="00B90004">
        <w:t>.</w:t>
      </w:r>
      <w:r w:rsidR="000709DF" w:rsidRPr="000709DF">
        <w:rPr>
          <w:rtl/>
        </w:rPr>
        <w:t xml:space="preserve">). وفي دورتها الحادية عشرة أيضاً، وافقت لجنة المعايير على تنظيم ندوة أو </w:t>
      </w:r>
      <w:r w:rsidR="00B90004">
        <w:rPr>
          <w:rFonts w:hint="cs"/>
          <w:rtl/>
          <w:lang w:val="fr-CH" w:bidi="ar-SY"/>
        </w:rPr>
        <w:t>حلقة</w:t>
      </w:r>
      <w:r w:rsidR="000709DF" w:rsidRPr="000709DF">
        <w:rPr>
          <w:rtl/>
        </w:rPr>
        <w:t xml:space="preserve"> عمل حتى يتمكن خبراء حق المؤلف والخبراء التقنيون من التعاون على تحسين المشروع المقدم في مرفق الوثيقة </w:t>
      </w:r>
      <w:r w:rsidR="000709DF" w:rsidRPr="000709DF">
        <w:t>CWS/10/7</w:t>
      </w:r>
      <w:r w:rsidR="000709DF" w:rsidRPr="000709DF">
        <w:rPr>
          <w:rtl/>
        </w:rPr>
        <w:t xml:space="preserve">. </w:t>
      </w:r>
      <w:r w:rsidR="00B90004">
        <w:rPr>
          <w:rFonts w:hint="cs"/>
          <w:rtl/>
        </w:rPr>
        <w:t>و</w:t>
      </w:r>
      <w:r w:rsidR="000709DF" w:rsidRPr="000709DF">
        <w:rPr>
          <w:rtl/>
        </w:rPr>
        <w:t xml:space="preserve">طلبت لجنة المعايير من الأمانة تنظيم </w:t>
      </w:r>
      <w:r w:rsidR="00B90004">
        <w:rPr>
          <w:rFonts w:hint="cs"/>
          <w:rtl/>
        </w:rPr>
        <w:t>حلقة</w:t>
      </w:r>
      <w:r w:rsidR="000709DF" w:rsidRPr="000709DF">
        <w:rPr>
          <w:rtl/>
        </w:rPr>
        <w:t xml:space="preserve"> العمل هذه في أوائل عام 2024، </w:t>
      </w:r>
      <w:r w:rsidR="00B90004">
        <w:rPr>
          <w:rFonts w:hint="cs"/>
          <w:rtl/>
        </w:rPr>
        <w:t>ودعت</w:t>
      </w:r>
      <w:r w:rsidR="000709DF" w:rsidRPr="000709DF">
        <w:rPr>
          <w:rtl/>
        </w:rPr>
        <w:t xml:space="preserve"> المكاتب التي استجابت لأحد </w:t>
      </w:r>
      <w:r w:rsidR="00B90004">
        <w:rPr>
          <w:rFonts w:hint="cs"/>
          <w:rtl/>
        </w:rPr>
        <w:t>التعميمين</w:t>
      </w:r>
      <w:r w:rsidR="000709DF" w:rsidRPr="000709DF">
        <w:rPr>
          <w:rtl/>
        </w:rPr>
        <w:t xml:space="preserve"> </w:t>
      </w:r>
      <w:r w:rsidR="000709DF" w:rsidRPr="000709DF">
        <w:t>C.CWS.156</w:t>
      </w:r>
      <w:r w:rsidR="000709DF" w:rsidRPr="000709DF">
        <w:rPr>
          <w:rtl/>
        </w:rPr>
        <w:t xml:space="preserve"> و</w:t>
      </w:r>
      <w:r w:rsidR="000709DF" w:rsidRPr="000709DF">
        <w:t>C.CWS.171</w:t>
      </w:r>
      <w:r w:rsidR="000709DF" w:rsidRPr="000709DF">
        <w:rPr>
          <w:rtl/>
        </w:rPr>
        <w:t>، و</w:t>
      </w:r>
      <w:r w:rsidR="00B90004">
        <w:rPr>
          <w:rFonts w:hint="cs"/>
          <w:rtl/>
        </w:rPr>
        <w:t>كذلك ال</w:t>
      </w:r>
      <w:r w:rsidR="000709DF" w:rsidRPr="000709DF">
        <w:rPr>
          <w:rtl/>
        </w:rPr>
        <w:t>أعضاء</w:t>
      </w:r>
      <w:r w:rsidR="00B90004">
        <w:rPr>
          <w:rFonts w:hint="cs"/>
          <w:rtl/>
        </w:rPr>
        <w:t xml:space="preserve"> والمراقبين في</w:t>
      </w:r>
      <w:r w:rsidR="000709DF" w:rsidRPr="000709DF">
        <w:rPr>
          <w:rtl/>
        </w:rPr>
        <w:t xml:space="preserve"> </w:t>
      </w:r>
      <w:r w:rsidR="00B90004">
        <w:rPr>
          <w:rFonts w:hint="cs"/>
          <w:rtl/>
        </w:rPr>
        <w:t>لجنة المعايير</w:t>
      </w:r>
      <w:r w:rsidR="000709DF" w:rsidRPr="000709DF">
        <w:rPr>
          <w:rtl/>
        </w:rPr>
        <w:t xml:space="preserve"> الذين لديهم أنظمة لتسجيل المصنفات اليتيمة بموجب حق المؤلف أو </w:t>
      </w:r>
      <w:r w:rsidR="00B90004">
        <w:rPr>
          <w:rFonts w:hint="cs"/>
          <w:rtl/>
        </w:rPr>
        <w:t>خطة</w:t>
      </w:r>
      <w:r w:rsidR="000709DF" w:rsidRPr="000709DF">
        <w:rPr>
          <w:rtl/>
        </w:rPr>
        <w:t xml:space="preserve"> لتنفيذ مخططات </w:t>
      </w:r>
      <w:r w:rsidR="00B90004">
        <w:rPr>
          <w:rFonts w:hint="cs"/>
          <w:rtl/>
        </w:rPr>
        <w:t xml:space="preserve">معيار </w:t>
      </w:r>
      <w:r w:rsidR="000709DF" w:rsidRPr="000709DF">
        <w:rPr>
          <w:rtl/>
        </w:rPr>
        <w:t xml:space="preserve">الويبو </w:t>
      </w:r>
      <w:r w:rsidR="000709DF" w:rsidRPr="000709DF">
        <w:t>ST.96</w:t>
      </w:r>
      <w:r w:rsidR="000709DF" w:rsidRPr="000709DF">
        <w:rPr>
          <w:rtl/>
        </w:rPr>
        <w:t xml:space="preserve"> المتعلقة </w:t>
      </w:r>
      <w:r w:rsidR="00B90004">
        <w:rPr>
          <w:rFonts w:hint="cs"/>
          <w:rtl/>
        </w:rPr>
        <w:t>ب</w:t>
      </w:r>
      <w:r w:rsidR="000709DF" w:rsidRPr="000709DF">
        <w:rPr>
          <w:rtl/>
        </w:rPr>
        <w:t>المصنفات اليتيمة</w:t>
      </w:r>
      <w:r w:rsidR="00B90004">
        <w:rPr>
          <w:rFonts w:hint="cs"/>
          <w:rtl/>
        </w:rPr>
        <w:t xml:space="preserve"> المحمية بحق المؤلف</w:t>
      </w:r>
      <w:r w:rsidR="000709DF" w:rsidRPr="000709DF">
        <w:rPr>
          <w:rtl/>
        </w:rPr>
        <w:t xml:space="preserve">. وأشارت لجنة المعايير إلى أنه سيتم تقديم </w:t>
      </w:r>
      <w:r w:rsidR="00B90004">
        <w:rPr>
          <w:rFonts w:hint="cs"/>
          <w:rtl/>
        </w:rPr>
        <w:t>مقترح</w:t>
      </w:r>
      <w:r w:rsidR="000709DF" w:rsidRPr="000709DF">
        <w:rPr>
          <w:rtl/>
        </w:rPr>
        <w:t xml:space="preserve"> منقح بشأن المصنفات اليتيمة </w:t>
      </w:r>
      <w:r w:rsidR="00B90004">
        <w:rPr>
          <w:rFonts w:hint="cs"/>
          <w:rtl/>
        </w:rPr>
        <w:t>المحمية بموجب</w:t>
      </w:r>
      <w:r w:rsidR="000709DF" w:rsidRPr="000709DF">
        <w:rPr>
          <w:rtl/>
        </w:rPr>
        <w:t xml:space="preserve"> حق المؤلف في دورتها الثانية عشرة للنظر فيه. (انظر</w:t>
      </w:r>
      <w:r w:rsidR="00B90004">
        <w:rPr>
          <w:rFonts w:hint="cs"/>
          <w:rtl/>
        </w:rPr>
        <w:t>(ي)</w:t>
      </w:r>
      <w:r w:rsidR="000709DF" w:rsidRPr="000709DF">
        <w:rPr>
          <w:rtl/>
        </w:rPr>
        <w:t xml:space="preserve"> الفقرتين 129 و130 من الوثيقة </w:t>
      </w:r>
      <w:r w:rsidR="000709DF" w:rsidRPr="000709DF">
        <w:t>CWS/11/28</w:t>
      </w:r>
      <w:r w:rsidR="000709DF" w:rsidRPr="000709DF">
        <w:rPr>
          <w:rtl/>
        </w:rPr>
        <w:t>.)</w:t>
      </w:r>
    </w:p>
    <w:p w14:paraId="2A13C9BF" w14:textId="724A73B3" w:rsidR="00B82F4A" w:rsidRPr="000709DF" w:rsidRDefault="000709DF" w:rsidP="000709DF">
      <w:pPr>
        <w:pStyle w:val="Heading2"/>
        <w:spacing w:after="120"/>
        <w:rPr>
          <w:b/>
          <w:bCs/>
          <w:sz w:val="20"/>
          <w:szCs w:val="20"/>
          <w:rtl/>
        </w:rPr>
      </w:pPr>
      <w:r w:rsidRPr="000709DF">
        <w:rPr>
          <w:rFonts w:hint="cs"/>
          <w:b/>
          <w:bCs/>
          <w:sz w:val="24"/>
          <w:szCs w:val="24"/>
          <w:rtl/>
        </w:rPr>
        <w:t xml:space="preserve">ملخص حلقة العمل بشأن المصنفات اليتيمة المحمية بحق المؤلف ومعايير الويبو </w:t>
      </w:r>
    </w:p>
    <w:p w14:paraId="2483FB21" w14:textId="1EED3376" w:rsidR="000709DF" w:rsidRPr="000709DF" w:rsidRDefault="000709DF" w:rsidP="0052686A">
      <w:pPr>
        <w:pStyle w:val="ONUMA"/>
        <w:rPr>
          <w:lang w:bidi="ar-MA"/>
        </w:rPr>
      </w:pPr>
      <w:r>
        <w:rPr>
          <w:rtl/>
          <w:lang w:bidi="ar-MA"/>
        </w:rPr>
        <w:t xml:space="preserve"> في إطار متابعة الاتفاق الذي تم التوصل إليه في الدورة الحادية عشرة للجنة المعايير، عُقدت </w:t>
      </w:r>
      <w:r w:rsidR="00707638">
        <w:rPr>
          <w:rFonts w:hint="cs"/>
          <w:rtl/>
          <w:lang w:val="fr-CH" w:bidi="ar-SY"/>
        </w:rPr>
        <w:t>حلقة</w:t>
      </w:r>
      <w:r>
        <w:rPr>
          <w:rtl/>
          <w:lang w:bidi="ar-MA"/>
        </w:rPr>
        <w:t xml:space="preserve"> عمل </w:t>
      </w:r>
      <w:r w:rsidR="00707638">
        <w:rPr>
          <w:rFonts w:hint="cs"/>
          <w:rtl/>
          <w:lang w:bidi="ar-MA"/>
        </w:rPr>
        <w:t>بشأن</w:t>
      </w:r>
      <w:r>
        <w:rPr>
          <w:rtl/>
          <w:lang w:bidi="ar-MA"/>
        </w:rPr>
        <w:t xml:space="preserve"> </w:t>
      </w:r>
      <w:r w:rsidR="00707638">
        <w:rPr>
          <w:rFonts w:hint="cs"/>
          <w:rtl/>
          <w:lang w:bidi="ar-MA"/>
        </w:rPr>
        <w:t>المصنفات اليتيمة المحمية ب</w:t>
      </w:r>
      <w:r>
        <w:rPr>
          <w:rtl/>
          <w:lang w:bidi="ar-MA"/>
        </w:rPr>
        <w:t>حق المؤلف ومعايير الويبو</w:t>
      </w:r>
      <w:r w:rsidR="00707638">
        <w:rPr>
          <w:rFonts w:hint="cs"/>
          <w:rtl/>
          <w:lang w:bidi="ar-MA"/>
        </w:rPr>
        <w:t xml:space="preserve">، في نسق افتراضي </w:t>
      </w:r>
      <w:r>
        <w:rPr>
          <w:rtl/>
          <w:lang w:bidi="ar-MA"/>
        </w:rPr>
        <w:t>في 7 مايو 2024. وأدارت الجلسة السيدة مارغريت هيج من مكتب المملكة المتحدة للملكية الفكرية (</w:t>
      </w:r>
      <w:r w:rsidR="00707638">
        <w:rPr>
          <w:lang w:val="de-CH" w:bidi="ar-MA"/>
        </w:rPr>
        <w:t>UK IPO</w:t>
      </w:r>
      <w:r>
        <w:rPr>
          <w:rtl/>
          <w:lang w:bidi="ar-MA"/>
        </w:rPr>
        <w:t>)</w:t>
      </w:r>
      <w:r w:rsidR="00707638">
        <w:rPr>
          <w:rFonts w:hint="cs"/>
          <w:rtl/>
          <w:lang w:bidi="ar-MA"/>
        </w:rPr>
        <w:t xml:space="preserve">، </w:t>
      </w:r>
      <w:r>
        <w:rPr>
          <w:rtl/>
          <w:lang w:bidi="ar-MA"/>
        </w:rPr>
        <w:t>وكان المدعوون أعضاء فرق العمل التابعة للجنة المعايير</w:t>
      </w:r>
      <w:r w:rsidR="00707638">
        <w:rPr>
          <w:rFonts w:hint="cs"/>
          <w:rtl/>
          <w:lang w:bidi="ar-MA"/>
        </w:rPr>
        <w:t xml:space="preserve"> والمكاتب</w:t>
      </w:r>
      <w:r>
        <w:rPr>
          <w:rtl/>
          <w:lang w:bidi="ar-MA"/>
        </w:rPr>
        <w:t xml:space="preserve"> التي </w:t>
      </w:r>
      <w:r w:rsidR="00707638">
        <w:rPr>
          <w:rFonts w:hint="cs"/>
          <w:rtl/>
          <w:lang w:bidi="ar-MA"/>
        </w:rPr>
        <w:t>استجابت لأحد التعميمين</w:t>
      </w:r>
      <w:r>
        <w:rPr>
          <w:rtl/>
          <w:lang w:bidi="ar-MA"/>
        </w:rPr>
        <w:t xml:space="preserve"> </w:t>
      </w:r>
      <w:r>
        <w:rPr>
          <w:lang w:bidi="ar-MA"/>
        </w:rPr>
        <w:t>C.CWS.171</w:t>
      </w:r>
      <w:r>
        <w:rPr>
          <w:rtl/>
          <w:lang w:bidi="ar-MA"/>
        </w:rPr>
        <w:t xml:space="preserve"> </w:t>
      </w:r>
      <w:r w:rsidR="00707638">
        <w:rPr>
          <w:rFonts w:hint="cs"/>
          <w:rtl/>
          <w:lang w:bidi="ar-MA"/>
        </w:rPr>
        <w:t>و</w:t>
      </w:r>
      <w:r>
        <w:rPr>
          <w:lang w:bidi="ar-MA"/>
        </w:rPr>
        <w:t>C.CWS.156</w:t>
      </w:r>
      <w:r>
        <w:rPr>
          <w:rtl/>
          <w:lang w:bidi="ar-MA"/>
        </w:rPr>
        <w:t xml:space="preserve">، أو </w:t>
      </w:r>
      <w:r w:rsidR="00707638">
        <w:rPr>
          <w:rFonts w:hint="cs"/>
          <w:rtl/>
          <w:lang w:bidi="ar-MA"/>
        </w:rPr>
        <w:t xml:space="preserve">التي </w:t>
      </w:r>
      <w:r>
        <w:rPr>
          <w:rtl/>
          <w:lang w:bidi="ar-MA"/>
        </w:rPr>
        <w:t>تنفذ نظام</w:t>
      </w:r>
      <w:r w:rsidR="00707638">
        <w:rPr>
          <w:rFonts w:hint="cs"/>
          <w:rtl/>
          <w:lang w:bidi="ar-MA"/>
        </w:rPr>
        <w:t>اً</w:t>
      </w:r>
      <w:r>
        <w:rPr>
          <w:rtl/>
          <w:lang w:bidi="ar-MA"/>
        </w:rPr>
        <w:t xml:space="preserve"> لإدارة </w:t>
      </w:r>
      <w:r w:rsidR="00707638">
        <w:rPr>
          <w:rFonts w:hint="cs"/>
          <w:rtl/>
          <w:lang w:bidi="ar-MA"/>
        </w:rPr>
        <w:t>النفاذ</w:t>
      </w:r>
      <w:r>
        <w:rPr>
          <w:rtl/>
          <w:lang w:bidi="ar-MA"/>
        </w:rPr>
        <w:t xml:space="preserve"> إلى المصنفات اليتيمة </w:t>
      </w:r>
      <w:r w:rsidR="00707638">
        <w:rPr>
          <w:rFonts w:hint="cs"/>
          <w:rtl/>
          <w:lang w:bidi="ar-MA"/>
        </w:rPr>
        <w:t>المحمية ب</w:t>
      </w:r>
      <w:r>
        <w:rPr>
          <w:rtl/>
          <w:lang w:bidi="ar-MA"/>
        </w:rPr>
        <w:t xml:space="preserve">موجب حق المؤلف. وعرضت العديد من المنظمات كيفية استخدام المصنفات اليتيمة، بما في ذلك </w:t>
      </w:r>
      <w:r w:rsidR="00707638">
        <w:rPr>
          <w:rFonts w:hint="cs"/>
          <w:rtl/>
          <w:lang w:bidi="ar-MA"/>
        </w:rPr>
        <w:t>مكتب</w:t>
      </w:r>
      <w:r>
        <w:rPr>
          <w:rtl/>
          <w:lang w:bidi="ar-MA"/>
        </w:rPr>
        <w:t xml:space="preserve"> المملكة المتحدة</w:t>
      </w:r>
      <w:r w:rsidR="00707638">
        <w:rPr>
          <w:rFonts w:hint="cs"/>
          <w:rtl/>
          <w:lang w:bidi="ar-MA"/>
        </w:rPr>
        <w:t xml:space="preserve"> للملكية الفكرية</w:t>
      </w:r>
      <w:r>
        <w:rPr>
          <w:rtl/>
          <w:lang w:bidi="ar-MA"/>
        </w:rPr>
        <w:t xml:space="preserve">، ولجنة </w:t>
      </w:r>
      <w:r w:rsidR="00707638">
        <w:rPr>
          <w:rFonts w:hint="cs"/>
          <w:rtl/>
          <w:lang w:bidi="ar-MA"/>
        </w:rPr>
        <w:t>حق المؤلف</w:t>
      </w:r>
      <w:r>
        <w:rPr>
          <w:rtl/>
          <w:lang w:bidi="ar-MA"/>
        </w:rPr>
        <w:t xml:space="preserve"> </w:t>
      </w:r>
      <w:r w:rsidR="00707638">
        <w:rPr>
          <w:rFonts w:hint="cs"/>
          <w:rtl/>
          <w:lang w:bidi="ar-MA"/>
        </w:rPr>
        <w:t>في كوريا</w:t>
      </w:r>
      <w:r>
        <w:rPr>
          <w:rtl/>
          <w:lang w:bidi="ar-MA"/>
        </w:rPr>
        <w:t xml:space="preserve"> (</w:t>
      </w:r>
      <w:r>
        <w:rPr>
          <w:lang w:bidi="ar-MA"/>
        </w:rPr>
        <w:t>KCC</w:t>
      </w:r>
      <w:r>
        <w:rPr>
          <w:rtl/>
          <w:lang w:bidi="ar-MA"/>
        </w:rPr>
        <w:t>)، و</w:t>
      </w:r>
      <w:r w:rsidR="00707638">
        <w:rPr>
          <w:rFonts w:hint="cs"/>
          <w:rtl/>
          <w:lang w:bidi="ar-MA"/>
        </w:rPr>
        <w:t xml:space="preserve">المكتبة الصوتية الوطنية في </w:t>
      </w:r>
      <w:r>
        <w:rPr>
          <w:rtl/>
          <w:lang w:bidi="ar-MA"/>
        </w:rPr>
        <w:t>المكسيك</w:t>
      </w:r>
      <w:r w:rsidR="00707638">
        <w:rPr>
          <w:rFonts w:hint="cs"/>
          <w:rtl/>
          <w:lang w:bidi="ar-MA"/>
        </w:rPr>
        <w:t xml:space="preserve"> </w:t>
      </w:r>
      <w:r w:rsidR="00707638">
        <w:rPr>
          <w:lang w:val="de-CH" w:bidi="ar-SY"/>
        </w:rPr>
        <w:t>(Fonoteca Nacional Mexico)</w:t>
      </w:r>
      <w:r>
        <w:rPr>
          <w:rtl/>
          <w:lang w:bidi="ar-MA"/>
        </w:rPr>
        <w:t>، ومكتب الاتحاد الأوروبي للملكية الفكرية (</w:t>
      </w:r>
      <w:r>
        <w:rPr>
          <w:lang w:bidi="ar-MA"/>
        </w:rPr>
        <w:t>EUPO</w:t>
      </w:r>
      <w:r>
        <w:rPr>
          <w:rtl/>
          <w:lang w:bidi="ar-MA"/>
        </w:rPr>
        <w:t xml:space="preserve">) والمكتب الدولي. وأشارت جميع العروض </w:t>
      </w:r>
      <w:r w:rsidR="00707638">
        <w:rPr>
          <w:rFonts w:hint="cs"/>
          <w:rtl/>
          <w:lang w:bidi="ar-SY"/>
        </w:rPr>
        <w:t>التي قدمتها المنظمات</w:t>
      </w:r>
      <w:r>
        <w:rPr>
          <w:rtl/>
          <w:lang w:bidi="ar-MA"/>
        </w:rPr>
        <w:t xml:space="preserve"> إلى أن</w:t>
      </w:r>
      <w:r w:rsidR="00707638">
        <w:rPr>
          <w:rFonts w:hint="cs"/>
          <w:rtl/>
          <w:lang w:bidi="ar-MA"/>
        </w:rPr>
        <w:t>ها</w:t>
      </w:r>
      <w:r>
        <w:rPr>
          <w:rtl/>
          <w:lang w:bidi="ar-MA"/>
        </w:rPr>
        <w:t xml:space="preserve"> في مراحل مختلفة من تطوير منصة أو قاعدة بيانات</w:t>
      </w:r>
      <w:r w:rsidR="00707638">
        <w:rPr>
          <w:rFonts w:hint="cs"/>
          <w:rtl/>
          <w:lang w:bidi="ar-MA"/>
        </w:rPr>
        <w:t xml:space="preserve"> بشأن</w:t>
      </w:r>
      <w:r>
        <w:rPr>
          <w:rtl/>
          <w:lang w:bidi="ar-MA"/>
        </w:rPr>
        <w:t xml:space="preserve"> </w:t>
      </w:r>
      <w:r w:rsidR="00707638">
        <w:rPr>
          <w:rFonts w:hint="cs"/>
          <w:rtl/>
          <w:lang w:bidi="ar-MA"/>
        </w:rPr>
        <w:t>ا</w:t>
      </w:r>
      <w:r>
        <w:rPr>
          <w:rtl/>
          <w:lang w:bidi="ar-MA"/>
        </w:rPr>
        <w:t xml:space="preserve">لمصنفات اليتيمة </w:t>
      </w:r>
      <w:r w:rsidR="00707638">
        <w:rPr>
          <w:rFonts w:hint="cs"/>
          <w:rtl/>
          <w:lang w:bidi="ar-MA"/>
        </w:rPr>
        <w:t>المحمية</w:t>
      </w:r>
      <w:r>
        <w:rPr>
          <w:rtl/>
          <w:lang w:bidi="ar-MA"/>
        </w:rPr>
        <w:t xml:space="preserve"> بحق المؤلف</w:t>
      </w:r>
      <w:r w:rsidR="00707638">
        <w:rPr>
          <w:rFonts w:hint="cs"/>
          <w:rtl/>
          <w:lang w:bidi="ar-MA"/>
        </w:rPr>
        <w:t xml:space="preserve">، وأنها ترحب </w:t>
      </w:r>
      <w:r>
        <w:rPr>
          <w:rtl/>
          <w:lang w:bidi="ar-MA"/>
        </w:rPr>
        <w:t xml:space="preserve">بالتوحيد القياسي لدعم </w:t>
      </w:r>
      <w:r w:rsidR="00707638">
        <w:rPr>
          <w:rFonts w:hint="cs"/>
          <w:rtl/>
          <w:lang w:bidi="ar-MA"/>
        </w:rPr>
        <w:t>تلك</w:t>
      </w:r>
      <w:r>
        <w:rPr>
          <w:rtl/>
          <w:lang w:bidi="ar-MA"/>
        </w:rPr>
        <w:t xml:space="preserve"> الأنشطة.</w:t>
      </w:r>
    </w:p>
    <w:p w14:paraId="7724FB9E" w14:textId="2BABED0D" w:rsidR="000709DF" w:rsidRDefault="00E07BF5" w:rsidP="00B82F4A">
      <w:pPr>
        <w:pStyle w:val="ONUMA"/>
        <w:rPr>
          <w:lang w:bidi="ar-MA"/>
        </w:rPr>
      </w:pPr>
      <w:r>
        <w:rPr>
          <w:rFonts w:hint="cs"/>
          <w:rtl/>
          <w:lang w:bidi="ar-MA"/>
        </w:rPr>
        <w:t>وسعد</w:t>
      </w:r>
      <w:r w:rsidR="000709DF" w:rsidRPr="000709DF">
        <w:rPr>
          <w:rtl/>
          <w:lang w:bidi="ar-MA"/>
        </w:rPr>
        <w:t xml:space="preserve"> المشاركون في </w:t>
      </w:r>
      <w:r>
        <w:rPr>
          <w:rFonts w:hint="cs"/>
          <w:rtl/>
          <w:lang w:bidi="ar-MA"/>
        </w:rPr>
        <w:t>حلقة</w:t>
      </w:r>
      <w:r w:rsidR="000709DF" w:rsidRPr="000709DF">
        <w:rPr>
          <w:rtl/>
          <w:lang w:bidi="ar-MA"/>
        </w:rPr>
        <w:t xml:space="preserve"> العمل </w:t>
      </w:r>
      <w:r>
        <w:rPr>
          <w:rFonts w:hint="cs"/>
          <w:rtl/>
          <w:lang w:bidi="ar-MA"/>
        </w:rPr>
        <w:t>بالتعرّف على</w:t>
      </w:r>
      <w:r w:rsidR="000709DF" w:rsidRPr="000709DF">
        <w:rPr>
          <w:rtl/>
          <w:lang w:bidi="ar-MA"/>
        </w:rPr>
        <w:t xml:space="preserve"> أنشطة </w:t>
      </w:r>
      <w:r>
        <w:rPr>
          <w:rFonts w:hint="cs"/>
          <w:rtl/>
          <w:lang w:bidi="ar-MA"/>
        </w:rPr>
        <w:t xml:space="preserve">مختلف </w:t>
      </w:r>
      <w:r w:rsidR="000709DF" w:rsidRPr="000709DF">
        <w:rPr>
          <w:rtl/>
          <w:lang w:bidi="ar-MA"/>
        </w:rPr>
        <w:t xml:space="preserve">المنظمات </w:t>
      </w:r>
      <w:r>
        <w:rPr>
          <w:rFonts w:hint="cs"/>
          <w:rtl/>
          <w:lang w:bidi="ar-MA"/>
        </w:rPr>
        <w:t>بهذه المناسبة</w:t>
      </w:r>
      <w:r w:rsidR="000709DF" w:rsidRPr="000709DF">
        <w:rPr>
          <w:rtl/>
          <w:lang w:bidi="ar-MA"/>
        </w:rPr>
        <w:t xml:space="preserve">. ومع ذلك، أشار أحد الوفود إلى أن </w:t>
      </w:r>
      <w:r>
        <w:rPr>
          <w:rFonts w:hint="cs"/>
          <w:rtl/>
          <w:lang w:bidi="ar-MA"/>
        </w:rPr>
        <w:t>المقترح</w:t>
      </w:r>
      <w:r w:rsidR="000709DF" w:rsidRPr="000709DF">
        <w:rPr>
          <w:rtl/>
          <w:lang w:bidi="ar-MA"/>
        </w:rPr>
        <w:t xml:space="preserve"> الأخير الم</w:t>
      </w:r>
      <w:r>
        <w:rPr>
          <w:rFonts w:hint="cs"/>
          <w:rtl/>
          <w:lang w:bidi="ar-MA"/>
        </w:rPr>
        <w:t>ُ</w:t>
      </w:r>
      <w:r w:rsidR="000709DF" w:rsidRPr="000709DF">
        <w:rPr>
          <w:rtl/>
          <w:lang w:bidi="ar-MA"/>
        </w:rPr>
        <w:t xml:space="preserve">شار إليه في التعميم </w:t>
      </w:r>
      <w:r w:rsidR="000709DF" w:rsidRPr="000709DF">
        <w:rPr>
          <w:lang w:bidi="ar-MA"/>
        </w:rPr>
        <w:t>C.CWS.171</w:t>
      </w:r>
      <w:r w:rsidR="000709DF" w:rsidRPr="000709DF">
        <w:rPr>
          <w:rtl/>
          <w:lang w:bidi="ar-MA"/>
        </w:rPr>
        <w:t xml:space="preserve"> يبدو </w:t>
      </w:r>
      <w:r>
        <w:rPr>
          <w:rFonts w:hint="cs"/>
          <w:rtl/>
          <w:lang w:bidi="ar-MA"/>
        </w:rPr>
        <w:t>أنه يتجاوز</w:t>
      </w:r>
      <w:r w:rsidR="000709DF" w:rsidRPr="000709DF">
        <w:rPr>
          <w:rtl/>
          <w:lang w:bidi="ar-MA"/>
        </w:rPr>
        <w:t xml:space="preserve"> النطاق المتفق عليه، والذي </w:t>
      </w:r>
      <w:r>
        <w:rPr>
          <w:rFonts w:hint="cs"/>
          <w:rtl/>
          <w:lang w:bidi="ar-MA"/>
        </w:rPr>
        <w:t>اتُفق عليه</w:t>
      </w:r>
      <w:r w:rsidR="000709DF" w:rsidRPr="000709DF">
        <w:rPr>
          <w:rtl/>
          <w:lang w:bidi="ar-MA"/>
        </w:rPr>
        <w:t xml:space="preserve"> في البداية لتسهيل تبادل بيانات المصنفات اليتيمة </w:t>
      </w:r>
      <w:r>
        <w:rPr>
          <w:rFonts w:hint="cs"/>
          <w:rtl/>
          <w:lang w:bidi="ar-MA"/>
        </w:rPr>
        <w:t>المحمية</w:t>
      </w:r>
      <w:r w:rsidR="000709DF" w:rsidRPr="000709DF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 xml:space="preserve">بموجب </w:t>
      </w:r>
      <w:r w:rsidR="000709DF" w:rsidRPr="000709DF">
        <w:rPr>
          <w:rtl/>
          <w:lang w:bidi="ar-MA"/>
        </w:rPr>
        <w:t>حق المؤلف بين مكاتب الملكية الفكرية. كما أن</w:t>
      </w:r>
      <w:r w:rsidR="00462C89">
        <w:rPr>
          <w:rFonts w:hint="cs"/>
          <w:rtl/>
          <w:lang w:bidi="ar-MA"/>
        </w:rPr>
        <w:t xml:space="preserve"> الوفد</w:t>
      </w:r>
      <w:r w:rsidR="000709DF" w:rsidRPr="000709DF">
        <w:rPr>
          <w:rtl/>
          <w:lang w:bidi="ar-MA"/>
        </w:rPr>
        <w:t xml:space="preserve"> لم يك</w:t>
      </w:r>
      <w:r>
        <w:rPr>
          <w:rFonts w:hint="cs"/>
          <w:rtl/>
          <w:lang w:bidi="ar-MA"/>
        </w:rPr>
        <w:t>ن</w:t>
      </w:r>
      <w:r w:rsidR="000709DF" w:rsidRPr="000709DF">
        <w:rPr>
          <w:rtl/>
          <w:lang w:bidi="ar-MA"/>
        </w:rPr>
        <w:t xml:space="preserve"> متأكد</w:t>
      </w:r>
      <w:r w:rsidR="00462C89">
        <w:rPr>
          <w:rFonts w:hint="cs"/>
          <w:rtl/>
          <w:lang w:bidi="ar-MA"/>
        </w:rPr>
        <w:t>اً</w:t>
      </w:r>
      <w:r w:rsidR="000709DF" w:rsidRPr="000709DF">
        <w:rPr>
          <w:rtl/>
          <w:lang w:bidi="ar-MA"/>
        </w:rPr>
        <w:t xml:space="preserve"> من </w:t>
      </w:r>
      <w:r w:rsidR="00462C89">
        <w:rPr>
          <w:rFonts w:hint="cs"/>
          <w:rtl/>
          <w:lang w:bidi="ar-MA"/>
        </w:rPr>
        <w:t>مدى فائدة</w:t>
      </w:r>
      <w:r w:rsidR="000709DF" w:rsidRPr="000709DF">
        <w:rPr>
          <w:rtl/>
          <w:lang w:bidi="ar-MA"/>
        </w:rPr>
        <w:t xml:space="preserve"> دمج </w:t>
      </w:r>
      <w:r w:rsidR="00462C89">
        <w:rPr>
          <w:rFonts w:hint="cs"/>
          <w:rtl/>
          <w:lang w:bidi="ar-MA"/>
        </w:rPr>
        <w:t>تلك</w:t>
      </w:r>
      <w:r w:rsidR="000709DF" w:rsidRPr="000709DF">
        <w:rPr>
          <w:rtl/>
          <w:lang w:bidi="ar-MA"/>
        </w:rPr>
        <w:t xml:space="preserve"> الفئات في معيار</w:t>
      </w:r>
      <w:r w:rsidR="00462C89">
        <w:rPr>
          <w:rFonts w:hint="cs"/>
          <w:rtl/>
          <w:lang w:bidi="ar-MA"/>
        </w:rPr>
        <w:t xml:space="preserve"> الويبو</w:t>
      </w:r>
      <w:r w:rsidR="000709DF" w:rsidRPr="000709DF">
        <w:rPr>
          <w:rtl/>
          <w:lang w:bidi="ar-MA"/>
        </w:rPr>
        <w:t xml:space="preserve"> </w:t>
      </w:r>
      <w:r w:rsidR="000709DF" w:rsidRPr="000709DF">
        <w:rPr>
          <w:lang w:bidi="ar-MA"/>
        </w:rPr>
        <w:t>ST.96</w:t>
      </w:r>
      <w:r w:rsidR="000709DF" w:rsidRPr="000709DF">
        <w:rPr>
          <w:rtl/>
          <w:lang w:bidi="ar-MA"/>
        </w:rPr>
        <w:t xml:space="preserve"> </w:t>
      </w:r>
      <w:r w:rsidR="00462C89">
        <w:rPr>
          <w:rFonts w:hint="cs"/>
          <w:rtl/>
          <w:lang w:bidi="ar-MA"/>
        </w:rPr>
        <w:t>في مساعدة</w:t>
      </w:r>
      <w:r w:rsidR="000709DF" w:rsidRPr="000709DF">
        <w:rPr>
          <w:rtl/>
          <w:lang w:bidi="ar-MA"/>
        </w:rPr>
        <w:t xml:space="preserve"> المنظمات المشاركة. ولم تضع أي من المنظمات المشاركة في المناقش</w:t>
      </w:r>
      <w:r w:rsidR="00462C89">
        <w:rPr>
          <w:rFonts w:hint="cs"/>
          <w:rtl/>
          <w:lang w:bidi="ar-MA"/>
        </w:rPr>
        <w:t>ات</w:t>
      </w:r>
      <w:r w:rsidR="000709DF" w:rsidRPr="000709DF">
        <w:rPr>
          <w:rtl/>
          <w:lang w:bidi="ar-MA"/>
        </w:rPr>
        <w:t xml:space="preserve"> ترتيبات دولية لتبادل البيانات، لكن المشاركين أشاروا إلى أن معيار الويبو </w:t>
      </w:r>
      <w:r w:rsidR="000709DF" w:rsidRPr="000709DF">
        <w:rPr>
          <w:lang w:bidi="ar-MA"/>
        </w:rPr>
        <w:t>ST.96</w:t>
      </w:r>
      <w:r w:rsidR="000709DF" w:rsidRPr="000709DF">
        <w:rPr>
          <w:rtl/>
          <w:lang w:bidi="ar-MA"/>
        </w:rPr>
        <w:t xml:space="preserve"> ال</w:t>
      </w:r>
      <w:r w:rsidR="00462C89">
        <w:rPr>
          <w:rFonts w:hint="cs"/>
          <w:rtl/>
          <w:lang w:bidi="ar-MA"/>
        </w:rPr>
        <w:t>مُ</w:t>
      </w:r>
      <w:r w:rsidR="000709DF" w:rsidRPr="000709DF">
        <w:rPr>
          <w:rtl/>
          <w:lang w:bidi="ar-MA"/>
        </w:rPr>
        <w:t>نقح الذي يتضمن الفئات الجديدة يمكن استخدامه أيض</w:t>
      </w:r>
      <w:r w:rsidR="00462C89">
        <w:rPr>
          <w:rFonts w:hint="cs"/>
          <w:rtl/>
          <w:lang w:bidi="ar-MA"/>
        </w:rPr>
        <w:t>اً</w:t>
      </w:r>
      <w:r w:rsidR="000709DF" w:rsidRPr="000709DF">
        <w:rPr>
          <w:rtl/>
          <w:lang w:bidi="ar-MA"/>
        </w:rPr>
        <w:t xml:space="preserve"> في </w:t>
      </w:r>
      <w:r w:rsidR="00462C89">
        <w:rPr>
          <w:rFonts w:hint="cs"/>
          <w:rtl/>
          <w:lang w:bidi="ar-MA"/>
        </w:rPr>
        <w:t>ال</w:t>
      </w:r>
      <w:r w:rsidR="000709DF" w:rsidRPr="000709DF">
        <w:rPr>
          <w:rtl/>
          <w:lang w:bidi="ar-MA"/>
        </w:rPr>
        <w:t xml:space="preserve">عمليات </w:t>
      </w:r>
      <w:r w:rsidR="00462C89">
        <w:rPr>
          <w:rFonts w:hint="cs"/>
          <w:rtl/>
          <w:lang w:bidi="ar-MA"/>
        </w:rPr>
        <w:t>الإدارية</w:t>
      </w:r>
      <w:r w:rsidR="000709DF" w:rsidRPr="000709DF">
        <w:rPr>
          <w:rtl/>
          <w:lang w:bidi="ar-MA"/>
        </w:rPr>
        <w:t>. وأشار المشاركون أيض</w:t>
      </w:r>
      <w:r w:rsidR="00462C89">
        <w:rPr>
          <w:rFonts w:hint="cs"/>
          <w:rtl/>
          <w:lang w:bidi="ar-MA"/>
        </w:rPr>
        <w:t>اً</w:t>
      </w:r>
      <w:r w:rsidR="000709DF" w:rsidRPr="000709DF">
        <w:rPr>
          <w:rtl/>
          <w:lang w:bidi="ar-MA"/>
        </w:rPr>
        <w:t xml:space="preserve"> إلى أن فئات </w:t>
      </w:r>
      <w:r w:rsidR="00462C89">
        <w:rPr>
          <w:rFonts w:hint="cs"/>
          <w:rtl/>
          <w:lang w:bidi="ar-MA"/>
        </w:rPr>
        <w:t>المصنفات</w:t>
      </w:r>
      <w:r w:rsidR="000709DF" w:rsidRPr="000709DF">
        <w:rPr>
          <w:rtl/>
          <w:lang w:bidi="ar-MA"/>
        </w:rPr>
        <w:t xml:space="preserve"> الإبداعية </w:t>
      </w:r>
      <w:r w:rsidR="00462C89">
        <w:rPr>
          <w:rFonts w:hint="cs"/>
          <w:rtl/>
          <w:lang w:bidi="ar-MA"/>
        </w:rPr>
        <w:t>ينبغي</w:t>
      </w:r>
      <w:r w:rsidR="000709DF" w:rsidRPr="000709DF">
        <w:rPr>
          <w:rtl/>
          <w:lang w:bidi="ar-MA"/>
        </w:rPr>
        <w:t xml:space="preserve"> أن تكون واسعة لأن </w:t>
      </w:r>
      <w:r w:rsidR="00462C89">
        <w:rPr>
          <w:rFonts w:hint="cs"/>
          <w:rtl/>
          <w:lang w:bidi="ar-MA"/>
        </w:rPr>
        <w:t>المصنفات</w:t>
      </w:r>
      <w:r w:rsidR="000709DF" w:rsidRPr="000709DF">
        <w:rPr>
          <w:rtl/>
          <w:lang w:bidi="ar-MA"/>
        </w:rPr>
        <w:t xml:space="preserve"> المحمية ب</w:t>
      </w:r>
      <w:r w:rsidR="00462C89">
        <w:rPr>
          <w:rFonts w:hint="cs"/>
          <w:rtl/>
          <w:lang w:bidi="ar-MA"/>
        </w:rPr>
        <w:t xml:space="preserve">موجب </w:t>
      </w:r>
      <w:r w:rsidR="000709DF" w:rsidRPr="000709DF">
        <w:rPr>
          <w:rtl/>
          <w:lang w:bidi="ar-MA"/>
        </w:rPr>
        <w:t>حق</w:t>
      </w:r>
      <w:r w:rsidR="00462C89">
        <w:rPr>
          <w:rFonts w:hint="cs"/>
          <w:rtl/>
          <w:lang w:bidi="ar-MA"/>
        </w:rPr>
        <w:t xml:space="preserve"> المؤلف </w:t>
      </w:r>
      <w:r w:rsidR="000709DF" w:rsidRPr="000709DF">
        <w:rPr>
          <w:rtl/>
          <w:lang w:bidi="ar-MA"/>
        </w:rPr>
        <w:t xml:space="preserve">يمكن أن تكون في حد ذاتها واسعة ويمكن أن </w:t>
      </w:r>
      <w:r w:rsidR="00462C89">
        <w:rPr>
          <w:rFonts w:hint="cs"/>
          <w:rtl/>
          <w:lang w:val="fr-CH" w:bidi="ar-SY"/>
        </w:rPr>
        <w:t>تكون</w:t>
      </w:r>
      <w:r w:rsidR="000709DF" w:rsidRPr="000709DF">
        <w:rPr>
          <w:rtl/>
          <w:lang w:bidi="ar-MA"/>
        </w:rPr>
        <w:t xml:space="preserve"> جميعها يتيمة</w:t>
      </w:r>
      <w:r w:rsidR="004C5AD5" w:rsidRPr="00D93E99">
        <w:rPr>
          <w:rtl/>
          <w:lang w:bidi="ar-MA"/>
        </w:rPr>
        <w:t>.</w:t>
      </w:r>
    </w:p>
    <w:p w14:paraId="758BBBBF" w14:textId="7B5D4872" w:rsidR="0052686A" w:rsidRDefault="0052686A" w:rsidP="0052686A">
      <w:pPr>
        <w:pStyle w:val="ONUMA"/>
        <w:rPr>
          <w:rtl/>
          <w:lang w:bidi="ar-MA"/>
        </w:rPr>
      </w:pPr>
      <w:r w:rsidRPr="0052686A">
        <w:rPr>
          <w:rtl/>
          <w:lang w:bidi="ar-MA"/>
        </w:rPr>
        <w:t>ونظر</w:t>
      </w:r>
      <w:r w:rsidR="00462C89">
        <w:rPr>
          <w:rFonts w:hint="cs"/>
          <w:rtl/>
          <w:lang w:bidi="ar-MA"/>
        </w:rPr>
        <w:t xml:space="preserve">اً </w:t>
      </w:r>
      <w:r w:rsidRPr="0052686A">
        <w:rPr>
          <w:rtl/>
          <w:lang w:bidi="ar-MA"/>
        </w:rPr>
        <w:t xml:space="preserve">لعدم التوصل إلى اتفاق </w:t>
      </w:r>
      <w:r w:rsidR="008F0C5C">
        <w:rPr>
          <w:rFonts w:hint="cs"/>
          <w:rtl/>
          <w:lang w:bidi="ar-MA"/>
        </w:rPr>
        <w:t>خلال حلقة</w:t>
      </w:r>
      <w:r w:rsidRPr="0052686A">
        <w:rPr>
          <w:rtl/>
          <w:lang w:bidi="ar-MA"/>
        </w:rPr>
        <w:t xml:space="preserve"> العمل بشأن المقترحات وأي </w:t>
      </w:r>
      <w:r w:rsidR="008F0C5C">
        <w:rPr>
          <w:rFonts w:hint="cs"/>
          <w:rtl/>
          <w:lang w:bidi="ar-MA"/>
        </w:rPr>
        <w:t>ال</w:t>
      </w:r>
      <w:r w:rsidRPr="0052686A">
        <w:rPr>
          <w:rtl/>
          <w:lang w:bidi="ar-MA"/>
        </w:rPr>
        <w:t xml:space="preserve">خطوات </w:t>
      </w:r>
      <w:r w:rsidR="008F0C5C">
        <w:rPr>
          <w:rFonts w:hint="cs"/>
          <w:rtl/>
          <w:lang w:bidi="ar-MA"/>
        </w:rPr>
        <w:t>المقبلة</w:t>
      </w:r>
      <w:r w:rsidRPr="0052686A">
        <w:rPr>
          <w:rtl/>
          <w:lang w:bidi="ar-MA"/>
        </w:rPr>
        <w:t>، اقترح المكتب الدولي</w:t>
      </w:r>
      <w:r w:rsidR="008F0C5C">
        <w:rPr>
          <w:rFonts w:hint="cs"/>
          <w:rtl/>
          <w:lang w:bidi="ar-MA"/>
        </w:rPr>
        <w:t xml:space="preserve"> </w:t>
      </w:r>
      <w:r w:rsidRPr="0052686A">
        <w:rPr>
          <w:rtl/>
          <w:lang w:bidi="ar-MA"/>
        </w:rPr>
        <w:t>أن ينظر المشاركون في الخيارات التالية</w:t>
      </w:r>
      <w:r w:rsidR="008F0C5C" w:rsidRPr="008F0C5C">
        <w:rPr>
          <w:rtl/>
          <w:lang w:bidi="ar-MA"/>
        </w:rPr>
        <w:t xml:space="preserve"> </w:t>
      </w:r>
      <w:r w:rsidR="008F0C5C" w:rsidRPr="0052686A">
        <w:rPr>
          <w:rtl/>
          <w:lang w:bidi="ar-MA"/>
        </w:rPr>
        <w:t>من أجل المضي قدم</w:t>
      </w:r>
      <w:r w:rsidR="008F0C5C">
        <w:rPr>
          <w:rFonts w:hint="cs"/>
          <w:rtl/>
          <w:lang w:bidi="ar-MA"/>
        </w:rPr>
        <w:t>اً</w:t>
      </w:r>
      <w:r w:rsidRPr="0052686A">
        <w:rPr>
          <w:rtl/>
          <w:lang w:bidi="ar-MA"/>
        </w:rPr>
        <w:t>:</w:t>
      </w:r>
      <w:r w:rsidR="008F0C5C" w:rsidRPr="008F0C5C">
        <w:rPr>
          <w:rtl/>
          <w:lang w:bidi="ar-MA"/>
        </w:rPr>
        <w:t xml:space="preserve"> </w:t>
      </w:r>
    </w:p>
    <w:p w14:paraId="229C0077" w14:textId="1D2BC289" w:rsidR="0052686A" w:rsidRDefault="0052686A" w:rsidP="0052686A">
      <w:pPr>
        <w:pStyle w:val="ONUMA"/>
        <w:numPr>
          <w:ilvl w:val="0"/>
          <w:numId w:val="31"/>
        </w:numPr>
        <w:spacing w:after="120"/>
        <w:rPr>
          <w:rtl/>
          <w:lang w:bidi="ar-MA"/>
        </w:rPr>
      </w:pPr>
      <w:r w:rsidRPr="008F0C5C">
        <w:rPr>
          <w:u w:val="single"/>
          <w:rtl/>
          <w:lang w:bidi="ar-MA"/>
        </w:rPr>
        <w:t>الخيار 1</w:t>
      </w:r>
      <w:r>
        <w:rPr>
          <w:rtl/>
          <w:lang w:bidi="ar-MA"/>
        </w:rPr>
        <w:t xml:space="preserve">: إدراج </w:t>
      </w:r>
      <w:r w:rsidR="008F0C5C">
        <w:rPr>
          <w:rFonts w:hint="cs"/>
          <w:rtl/>
          <w:lang w:bidi="ar-MA"/>
        </w:rPr>
        <w:t>الفئات المقترحة ل</w:t>
      </w:r>
      <w:r>
        <w:rPr>
          <w:rtl/>
          <w:lang w:bidi="ar-MA"/>
        </w:rPr>
        <w:t xml:space="preserve">أصحاب الحقوق </w:t>
      </w:r>
      <w:r w:rsidR="008F0C5C">
        <w:rPr>
          <w:rFonts w:hint="cs"/>
          <w:rtl/>
          <w:lang w:bidi="ar-MA"/>
        </w:rPr>
        <w:t>والمصنفات</w:t>
      </w:r>
      <w:r>
        <w:rPr>
          <w:rtl/>
          <w:lang w:bidi="ar-MA"/>
        </w:rPr>
        <w:t xml:space="preserve"> الإبداعية </w:t>
      </w:r>
      <w:r w:rsidR="008F0C5C">
        <w:rPr>
          <w:rFonts w:hint="cs"/>
          <w:rtl/>
          <w:lang w:bidi="ar-MA"/>
        </w:rPr>
        <w:t>المنشورة</w:t>
      </w:r>
      <w:r>
        <w:rPr>
          <w:rtl/>
          <w:lang w:bidi="ar-MA"/>
        </w:rPr>
        <w:t xml:space="preserve"> كمرفق </w:t>
      </w:r>
      <w:r w:rsidR="008F0C5C">
        <w:rPr>
          <w:rFonts w:hint="cs"/>
          <w:rtl/>
          <w:lang w:bidi="ar-MA"/>
        </w:rPr>
        <w:t>با</w:t>
      </w:r>
      <w:r>
        <w:rPr>
          <w:rtl/>
          <w:lang w:bidi="ar-MA"/>
        </w:rPr>
        <w:t xml:space="preserve">لوثيقة </w:t>
      </w:r>
      <w:r>
        <w:rPr>
          <w:lang w:bidi="ar-MA"/>
        </w:rPr>
        <w:t>CWS/10/7</w:t>
      </w:r>
      <w:r w:rsidR="008F0C5C">
        <w:rPr>
          <w:rFonts w:hint="cs"/>
          <w:rtl/>
          <w:lang w:bidi="ar-MA"/>
        </w:rPr>
        <w:t>، في الإصدارات المقبلة</w:t>
      </w:r>
      <w:r>
        <w:rPr>
          <w:rtl/>
          <w:lang w:bidi="ar-MA"/>
        </w:rPr>
        <w:t xml:space="preserve"> أو المستقبلية </w:t>
      </w:r>
      <w:r w:rsidR="008F0C5C">
        <w:rPr>
          <w:rFonts w:hint="cs"/>
          <w:rtl/>
          <w:lang w:bidi="ar-MA"/>
        </w:rPr>
        <w:t>لمعيار الويبو</w:t>
      </w:r>
      <w:r>
        <w:rPr>
          <w:rtl/>
          <w:lang w:bidi="ar-MA"/>
        </w:rPr>
        <w:t xml:space="preserve"> </w:t>
      </w:r>
      <w:r>
        <w:rPr>
          <w:lang w:bidi="ar-MA"/>
        </w:rPr>
        <w:t>ST.96</w:t>
      </w:r>
      <w:r>
        <w:rPr>
          <w:rtl/>
          <w:lang w:bidi="ar-MA"/>
        </w:rPr>
        <w:t>؛</w:t>
      </w:r>
    </w:p>
    <w:p w14:paraId="6B06856C" w14:textId="5804202D" w:rsidR="0052686A" w:rsidRDefault="0052686A" w:rsidP="0052686A">
      <w:pPr>
        <w:pStyle w:val="ONUMA"/>
        <w:numPr>
          <w:ilvl w:val="0"/>
          <w:numId w:val="31"/>
        </w:numPr>
        <w:spacing w:after="120"/>
        <w:rPr>
          <w:lang w:bidi="ar-MA"/>
        </w:rPr>
      </w:pPr>
      <w:r w:rsidRPr="008F0C5C">
        <w:rPr>
          <w:u w:val="single"/>
          <w:rtl/>
          <w:lang w:bidi="ar-MA"/>
        </w:rPr>
        <w:t>الخيار 2</w:t>
      </w:r>
      <w:r>
        <w:rPr>
          <w:rtl/>
          <w:lang w:bidi="ar-MA"/>
        </w:rPr>
        <w:t xml:space="preserve">: مواصلة مناقشة المقترحات </w:t>
      </w:r>
      <w:r w:rsidR="008F0C5C">
        <w:rPr>
          <w:rFonts w:hint="cs"/>
          <w:rtl/>
          <w:lang w:bidi="ar-MA"/>
        </w:rPr>
        <w:t>ضمن فرقة</w:t>
      </w:r>
      <w:r>
        <w:rPr>
          <w:rtl/>
          <w:lang w:bidi="ar-MA"/>
        </w:rPr>
        <w:t xml:space="preserve"> </w:t>
      </w:r>
      <w:r w:rsidR="008F0C5C">
        <w:rPr>
          <w:rFonts w:hint="cs"/>
          <w:rtl/>
          <w:lang w:bidi="ar-MA"/>
        </w:rPr>
        <w:t>ال</w:t>
      </w:r>
      <w:r>
        <w:rPr>
          <w:rtl/>
          <w:lang w:bidi="ar-MA"/>
        </w:rPr>
        <w:t xml:space="preserve">عمل </w:t>
      </w:r>
      <w:r>
        <w:rPr>
          <w:lang w:bidi="ar-MA"/>
        </w:rPr>
        <w:t>XML4IP</w:t>
      </w:r>
      <w:r>
        <w:rPr>
          <w:rtl/>
          <w:lang w:bidi="ar-MA"/>
        </w:rPr>
        <w:t xml:space="preserve"> أو </w:t>
      </w:r>
      <w:r w:rsidR="008F0C5C">
        <w:rPr>
          <w:rFonts w:hint="cs"/>
          <w:rtl/>
          <w:lang w:bidi="ar-MA"/>
        </w:rPr>
        <w:t>منصة</w:t>
      </w:r>
      <w:r>
        <w:rPr>
          <w:rtl/>
          <w:lang w:bidi="ar-MA"/>
        </w:rPr>
        <w:t xml:space="preserve"> بديل</w:t>
      </w:r>
      <w:r w:rsidR="008F0C5C">
        <w:rPr>
          <w:rFonts w:hint="cs"/>
          <w:rtl/>
          <w:lang w:bidi="ar-MA"/>
        </w:rPr>
        <w:t>ة</w:t>
      </w:r>
      <w:r>
        <w:rPr>
          <w:rtl/>
          <w:lang w:bidi="ar-MA"/>
        </w:rPr>
        <w:t xml:space="preserve"> </w:t>
      </w:r>
      <w:r w:rsidR="008F0C5C">
        <w:rPr>
          <w:rFonts w:hint="cs"/>
          <w:rtl/>
          <w:lang w:bidi="ar-MA"/>
        </w:rPr>
        <w:t>ت</w:t>
      </w:r>
      <w:r>
        <w:rPr>
          <w:rtl/>
          <w:lang w:bidi="ar-MA"/>
        </w:rPr>
        <w:t xml:space="preserve">ضم خبراء </w:t>
      </w:r>
      <w:r w:rsidR="008F0C5C">
        <w:rPr>
          <w:rFonts w:hint="cs"/>
          <w:rtl/>
          <w:lang w:bidi="ar-MA"/>
        </w:rPr>
        <w:t>متخصصين في هذا المجال</w:t>
      </w:r>
      <w:r>
        <w:rPr>
          <w:rtl/>
          <w:lang w:bidi="ar-MA"/>
        </w:rPr>
        <w:t>.</w:t>
      </w:r>
    </w:p>
    <w:p w14:paraId="419E2924" w14:textId="2F012CF1" w:rsidR="0052686A" w:rsidRPr="0052686A" w:rsidRDefault="0052686A" w:rsidP="0052686A">
      <w:pPr>
        <w:pStyle w:val="Heading2"/>
        <w:spacing w:after="120"/>
        <w:rPr>
          <w:b/>
          <w:bCs/>
          <w:sz w:val="24"/>
          <w:szCs w:val="24"/>
          <w:rtl/>
        </w:rPr>
      </w:pPr>
      <w:r w:rsidRPr="0052686A">
        <w:rPr>
          <w:rFonts w:hint="cs"/>
          <w:b/>
          <w:bCs/>
          <w:sz w:val="24"/>
          <w:szCs w:val="24"/>
          <w:rtl/>
        </w:rPr>
        <w:t>الخطوات المقبلة</w:t>
      </w:r>
    </w:p>
    <w:p w14:paraId="0995549A" w14:textId="26A18E2C" w:rsidR="00AD2969" w:rsidRDefault="00E23BB5" w:rsidP="00AD2969">
      <w:pPr>
        <w:pStyle w:val="ONUMA"/>
        <w:rPr>
          <w:rtl/>
          <w:lang w:bidi="ar-MA"/>
        </w:rPr>
      </w:pPr>
      <w:r>
        <w:rPr>
          <w:rFonts w:hint="cs"/>
          <w:rtl/>
          <w:lang w:val="fr-CH" w:bidi="ar-SY"/>
        </w:rPr>
        <w:t>عقب</w:t>
      </w:r>
      <w:r w:rsidR="00AD296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حلقة</w:t>
      </w:r>
      <w:r w:rsidR="00AD2969">
        <w:rPr>
          <w:rtl/>
          <w:lang w:bidi="ar-MA"/>
        </w:rPr>
        <w:t xml:space="preserve"> العمل، </w:t>
      </w:r>
      <w:r>
        <w:rPr>
          <w:rFonts w:hint="cs"/>
          <w:rtl/>
          <w:lang w:bidi="ar-MA"/>
        </w:rPr>
        <w:t>أبلغ</w:t>
      </w:r>
      <w:r w:rsidR="00AD2969">
        <w:rPr>
          <w:rtl/>
          <w:lang w:bidi="ar-MA"/>
        </w:rPr>
        <w:t xml:space="preserve"> المكتب الدولي </w:t>
      </w:r>
      <w:r>
        <w:rPr>
          <w:rFonts w:hint="cs"/>
          <w:rtl/>
          <w:lang w:bidi="ar-MA"/>
        </w:rPr>
        <w:t>فرقة ال</w:t>
      </w:r>
      <w:r w:rsidR="00AD2969">
        <w:rPr>
          <w:rtl/>
          <w:lang w:bidi="ar-MA"/>
        </w:rPr>
        <w:t xml:space="preserve">عمل </w:t>
      </w:r>
      <w:r w:rsidR="00AD2969">
        <w:rPr>
          <w:lang w:bidi="ar-MA"/>
        </w:rPr>
        <w:t>XML4IP</w:t>
      </w:r>
      <w:r w:rsidR="00AD296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ب</w:t>
      </w:r>
      <w:r w:rsidR="00AD2969">
        <w:rPr>
          <w:rtl/>
          <w:lang w:bidi="ar-MA"/>
        </w:rPr>
        <w:t xml:space="preserve">نتائج </w:t>
      </w:r>
      <w:r>
        <w:rPr>
          <w:rFonts w:hint="cs"/>
          <w:rtl/>
          <w:lang w:bidi="ar-MA"/>
        </w:rPr>
        <w:t>حلقة</w:t>
      </w:r>
      <w:r w:rsidR="00AD2969">
        <w:rPr>
          <w:rtl/>
          <w:lang w:bidi="ar-MA"/>
        </w:rPr>
        <w:t xml:space="preserve"> العمل </w:t>
      </w:r>
      <w:r>
        <w:rPr>
          <w:rFonts w:hint="cs"/>
          <w:rtl/>
          <w:lang w:bidi="ar-MA"/>
        </w:rPr>
        <w:t>خلال</w:t>
      </w:r>
      <w:r w:rsidR="00AD2969">
        <w:rPr>
          <w:rtl/>
          <w:lang w:bidi="ar-MA"/>
        </w:rPr>
        <w:t xml:space="preserve"> اجتماع</w:t>
      </w:r>
      <w:r>
        <w:rPr>
          <w:rFonts w:hint="cs"/>
          <w:rtl/>
          <w:lang w:bidi="ar-MA"/>
        </w:rPr>
        <w:t>ها الذي</w:t>
      </w:r>
      <w:r w:rsidR="00AD2969">
        <w:rPr>
          <w:rtl/>
          <w:lang w:bidi="ar-MA"/>
        </w:rPr>
        <w:t xml:space="preserve"> ع</w:t>
      </w:r>
      <w:r>
        <w:rPr>
          <w:rFonts w:hint="cs"/>
          <w:rtl/>
          <w:lang w:bidi="ar-MA"/>
        </w:rPr>
        <w:t>ُ</w:t>
      </w:r>
      <w:r w:rsidR="00AD2969">
        <w:rPr>
          <w:rtl/>
          <w:lang w:bidi="ar-MA"/>
        </w:rPr>
        <w:t xml:space="preserve">قد في مايو 2024. </w:t>
      </w:r>
      <w:r>
        <w:rPr>
          <w:rFonts w:hint="cs"/>
          <w:rtl/>
          <w:lang w:bidi="ar-MA"/>
        </w:rPr>
        <w:t xml:space="preserve">والاجتماع ذاته، </w:t>
      </w:r>
      <w:r w:rsidR="00AD2969">
        <w:rPr>
          <w:rtl/>
          <w:lang w:bidi="ar-MA"/>
        </w:rPr>
        <w:t xml:space="preserve">اقترح المكتب الدولي، بصفته </w:t>
      </w:r>
      <w:r>
        <w:rPr>
          <w:rFonts w:hint="cs"/>
          <w:rtl/>
          <w:lang w:bidi="ar-MA"/>
        </w:rPr>
        <w:t>المشرف على</w:t>
      </w:r>
      <w:r w:rsidR="00AD296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فرقة</w:t>
      </w:r>
      <w:r w:rsidR="00AD2969">
        <w:rPr>
          <w:rtl/>
          <w:lang w:bidi="ar-MA"/>
        </w:rPr>
        <w:t xml:space="preserve"> العمل، إدراج مجموعتي </w:t>
      </w:r>
      <w:r>
        <w:rPr>
          <w:rFonts w:hint="cs"/>
          <w:rtl/>
          <w:lang w:bidi="ar-MA"/>
        </w:rPr>
        <w:t>ر</w:t>
      </w:r>
      <w:r w:rsidR="00AD2969">
        <w:rPr>
          <w:rtl/>
          <w:lang w:bidi="ar-MA"/>
        </w:rPr>
        <w:t>موز فيما يتعلق ب</w:t>
      </w:r>
      <w:r>
        <w:rPr>
          <w:rFonts w:hint="cs"/>
          <w:rtl/>
          <w:lang w:bidi="ar-MA"/>
        </w:rPr>
        <w:t xml:space="preserve">فئات </w:t>
      </w:r>
      <w:r w:rsidR="00AD2969">
        <w:rPr>
          <w:rtl/>
          <w:lang w:bidi="ar-MA"/>
        </w:rPr>
        <w:t xml:space="preserve">أصحاب الحقوق </w:t>
      </w:r>
      <w:r>
        <w:rPr>
          <w:rFonts w:hint="cs"/>
          <w:rtl/>
          <w:lang w:bidi="ar-MA"/>
        </w:rPr>
        <w:t>والمصنفات الإبداعية</w:t>
      </w:r>
      <w:r w:rsidR="00AD2969">
        <w:rPr>
          <w:rtl/>
          <w:lang w:bidi="ar-MA"/>
        </w:rPr>
        <w:t xml:space="preserve"> للمصنفات اليتيمة </w:t>
      </w:r>
      <w:r w:rsidR="003810CA">
        <w:rPr>
          <w:rFonts w:hint="cs"/>
          <w:rtl/>
          <w:lang w:bidi="ar-MA"/>
        </w:rPr>
        <w:t xml:space="preserve">المحمية </w:t>
      </w:r>
      <w:r w:rsidR="00AD2969">
        <w:rPr>
          <w:rtl/>
          <w:lang w:bidi="ar-MA"/>
        </w:rPr>
        <w:t xml:space="preserve">بموجب حق المؤلف في الإصدار 8.0 من معيار الويبو </w:t>
      </w:r>
      <w:r w:rsidR="00AD2969">
        <w:rPr>
          <w:lang w:bidi="ar-MA"/>
        </w:rPr>
        <w:t>ST.96</w:t>
      </w:r>
      <w:r w:rsidR="003810CA">
        <w:rPr>
          <w:rFonts w:hint="cs"/>
          <w:rtl/>
          <w:lang w:bidi="ar-MA"/>
        </w:rPr>
        <w:t>، ا</w:t>
      </w:r>
      <w:r w:rsidR="00AD2969">
        <w:rPr>
          <w:rtl/>
          <w:lang w:bidi="ar-MA"/>
        </w:rPr>
        <w:t xml:space="preserve">لمقرر نشره في 1 أكتوبر 2024. وفي الاجتماع التالي لفرقة العمل </w:t>
      </w:r>
      <w:r w:rsidR="00AD2969">
        <w:rPr>
          <w:lang w:bidi="ar-MA"/>
        </w:rPr>
        <w:t>XML4IP</w:t>
      </w:r>
      <w:r w:rsidR="00AD2969">
        <w:rPr>
          <w:rtl/>
          <w:lang w:bidi="ar-MA"/>
        </w:rPr>
        <w:t xml:space="preserve"> المنعقد في يوليو 2024، أشار المكتب الدولي إلى </w:t>
      </w:r>
      <w:r w:rsidR="003810CA">
        <w:rPr>
          <w:rFonts w:hint="cs"/>
          <w:rtl/>
          <w:lang w:bidi="ar-MA"/>
        </w:rPr>
        <w:t>مقترحه المقدم</w:t>
      </w:r>
      <w:r w:rsidR="00AD2969">
        <w:rPr>
          <w:rtl/>
          <w:lang w:bidi="ar-MA"/>
        </w:rPr>
        <w:t xml:space="preserve"> في</w:t>
      </w:r>
      <w:r w:rsidR="003810CA">
        <w:rPr>
          <w:rFonts w:hint="cs"/>
          <w:rtl/>
          <w:lang w:bidi="ar-MA"/>
        </w:rPr>
        <w:t xml:space="preserve"> شهر</w:t>
      </w:r>
      <w:r w:rsidR="00AD2969">
        <w:rPr>
          <w:rtl/>
          <w:lang w:bidi="ar-MA"/>
        </w:rPr>
        <w:t xml:space="preserve"> مايو ولم يكن هناك أي اعتراض على </w:t>
      </w:r>
      <w:r w:rsidR="003810CA">
        <w:rPr>
          <w:rFonts w:hint="cs"/>
          <w:rtl/>
          <w:lang w:bidi="ar-MA"/>
        </w:rPr>
        <w:t>المقترح،</w:t>
      </w:r>
      <w:r w:rsidR="00AD2969">
        <w:rPr>
          <w:rtl/>
          <w:lang w:bidi="ar-MA"/>
        </w:rPr>
        <w:t xml:space="preserve"> بينما طلب أحد </w:t>
      </w:r>
      <w:r w:rsidR="003810CA">
        <w:rPr>
          <w:rFonts w:hint="cs"/>
          <w:rtl/>
          <w:lang w:bidi="ar-MA"/>
        </w:rPr>
        <w:t>ال</w:t>
      </w:r>
      <w:r w:rsidR="00AD2969">
        <w:rPr>
          <w:rtl/>
          <w:lang w:bidi="ar-MA"/>
        </w:rPr>
        <w:t>مكاتب</w:t>
      </w:r>
      <w:r w:rsidR="003810CA">
        <w:rPr>
          <w:rFonts w:hint="cs"/>
          <w:rtl/>
          <w:lang w:bidi="ar-MA"/>
        </w:rPr>
        <w:t xml:space="preserve"> الأعضاء</w:t>
      </w:r>
      <w:r w:rsidR="00AD2969">
        <w:rPr>
          <w:rtl/>
          <w:lang w:bidi="ar-MA"/>
        </w:rPr>
        <w:t xml:space="preserve"> </w:t>
      </w:r>
      <w:r w:rsidR="003810CA">
        <w:rPr>
          <w:rFonts w:hint="cs"/>
          <w:rtl/>
          <w:lang w:bidi="ar-MA"/>
        </w:rPr>
        <w:t xml:space="preserve">في </w:t>
      </w:r>
      <w:r w:rsidR="00AD2969">
        <w:rPr>
          <w:rtl/>
          <w:lang w:bidi="ar-MA"/>
        </w:rPr>
        <w:t>فرقة العمل مزيد</w:t>
      </w:r>
      <w:r w:rsidR="003810CA">
        <w:rPr>
          <w:rFonts w:hint="cs"/>
          <w:rtl/>
          <w:lang w:bidi="ar-MA"/>
        </w:rPr>
        <w:t>اً</w:t>
      </w:r>
      <w:r w:rsidR="00AD2969">
        <w:rPr>
          <w:rtl/>
          <w:lang w:bidi="ar-MA"/>
        </w:rPr>
        <w:t xml:space="preserve"> من الوقت ل</w:t>
      </w:r>
      <w:r w:rsidR="003810CA">
        <w:rPr>
          <w:rFonts w:hint="cs"/>
          <w:rtl/>
          <w:lang w:bidi="ar-MA"/>
        </w:rPr>
        <w:t xml:space="preserve">إجراء </w:t>
      </w:r>
      <w:r w:rsidR="00AD2969">
        <w:rPr>
          <w:rtl/>
          <w:lang w:bidi="ar-MA"/>
        </w:rPr>
        <w:t>مناقش</w:t>
      </w:r>
      <w:r w:rsidR="003810CA">
        <w:rPr>
          <w:rFonts w:hint="cs"/>
          <w:rtl/>
          <w:lang w:bidi="ar-MA"/>
        </w:rPr>
        <w:t>ات</w:t>
      </w:r>
      <w:r w:rsidR="00AD2969">
        <w:rPr>
          <w:rtl/>
          <w:lang w:bidi="ar-MA"/>
        </w:rPr>
        <w:t xml:space="preserve"> داخلية.</w:t>
      </w:r>
    </w:p>
    <w:p w14:paraId="14F7BCF2" w14:textId="424751F1" w:rsidR="00B82F4A" w:rsidRPr="00D93E99" w:rsidRDefault="00740C1F" w:rsidP="00AD2969">
      <w:pPr>
        <w:pStyle w:val="ONUMA"/>
        <w:rPr>
          <w:lang w:bidi="ar-MA"/>
        </w:rPr>
      </w:pPr>
      <w:r>
        <w:rPr>
          <w:rFonts w:hint="cs"/>
          <w:rtl/>
          <w:lang w:bidi="ar-MA"/>
        </w:rPr>
        <w:t>وتُدعى</w:t>
      </w:r>
      <w:r w:rsidR="00AD2969">
        <w:rPr>
          <w:rtl/>
          <w:lang w:bidi="ar-MA"/>
        </w:rPr>
        <w:t xml:space="preserve"> لجنة المعايير إلى الإحاطة علماً بمناقشة الفئات المقترحة وإدراجها في الإصدار 8.0 من معيار الويبو </w:t>
      </w:r>
      <w:r w:rsidR="00AD2969">
        <w:rPr>
          <w:lang w:bidi="ar-MA"/>
        </w:rPr>
        <w:t>ST.96</w:t>
      </w:r>
      <w:r w:rsidR="00AD2969">
        <w:rPr>
          <w:rtl/>
          <w:lang w:bidi="ar-MA"/>
        </w:rPr>
        <w:t>؛ و</w:t>
      </w:r>
      <w:r>
        <w:rPr>
          <w:rFonts w:hint="cs"/>
          <w:rtl/>
          <w:lang w:bidi="ar-MA"/>
        </w:rPr>
        <w:t xml:space="preserve">إلى </w:t>
      </w:r>
      <w:r w:rsidR="00AD2969">
        <w:rPr>
          <w:rtl/>
          <w:lang w:bidi="ar-MA"/>
        </w:rPr>
        <w:t>تشج</w:t>
      </w:r>
      <w:r>
        <w:rPr>
          <w:rFonts w:hint="cs"/>
          <w:rtl/>
          <w:lang w:bidi="ar-MA"/>
        </w:rPr>
        <w:t>ي</w:t>
      </w:r>
      <w:r w:rsidR="00AD2969">
        <w:rPr>
          <w:rtl/>
          <w:lang w:bidi="ar-MA"/>
        </w:rPr>
        <w:t xml:space="preserve">ع </w:t>
      </w:r>
      <w:r>
        <w:rPr>
          <w:rFonts w:hint="cs"/>
          <w:rtl/>
          <w:lang w:bidi="ar-MA"/>
        </w:rPr>
        <w:t>الأعضاء والمراقبين</w:t>
      </w:r>
      <w:r w:rsidR="00AD2969">
        <w:rPr>
          <w:rtl/>
          <w:lang w:bidi="ar-MA"/>
        </w:rPr>
        <w:t xml:space="preserve"> على ترشيح خبراءهم المتخصصين ل</w:t>
      </w:r>
      <w:r>
        <w:rPr>
          <w:rFonts w:hint="cs"/>
          <w:rtl/>
          <w:lang w:bidi="ar-MA"/>
        </w:rPr>
        <w:t xml:space="preserve">لعمل في </w:t>
      </w:r>
      <w:r w:rsidR="00AD2969">
        <w:rPr>
          <w:rtl/>
          <w:lang w:bidi="ar-MA"/>
        </w:rPr>
        <w:t xml:space="preserve">فرقة </w:t>
      </w:r>
      <w:r>
        <w:rPr>
          <w:rFonts w:hint="cs"/>
          <w:rtl/>
          <w:lang w:bidi="ar-MA"/>
        </w:rPr>
        <w:t>ال</w:t>
      </w:r>
      <w:r w:rsidR="00AD2969">
        <w:rPr>
          <w:rtl/>
          <w:lang w:bidi="ar-MA"/>
        </w:rPr>
        <w:t xml:space="preserve">عمل </w:t>
      </w:r>
      <w:r w:rsidR="00AD2969">
        <w:rPr>
          <w:lang w:bidi="ar-MA"/>
        </w:rPr>
        <w:t>XML4IP</w:t>
      </w:r>
      <w:r w:rsidR="00AD296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 xml:space="preserve">من أجل </w:t>
      </w:r>
      <w:r w:rsidR="00AD2969">
        <w:rPr>
          <w:rtl/>
          <w:lang w:bidi="ar-MA"/>
        </w:rPr>
        <w:t xml:space="preserve">تحسين </w:t>
      </w:r>
      <w:r w:rsidR="0040700A">
        <w:rPr>
          <w:rFonts w:hint="cs"/>
          <w:rtl/>
          <w:lang w:bidi="ar-MA"/>
        </w:rPr>
        <w:t>مكونات</w:t>
      </w:r>
      <w:r>
        <w:rPr>
          <w:rFonts w:hint="cs"/>
          <w:rtl/>
          <w:lang w:bidi="ar-MA"/>
        </w:rPr>
        <w:t xml:space="preserve"> </w:t>
      </w:r>
      <w:r>
        <w:rPr>
          <w:lang w:val="de-CH" w:bidi="ar-MA"/>
        </w:rPr>
        <w:t>XML</w:t>
      </w:r>
      <w:r w:rsidR="00AD2969">
        <w:rPr>
          <w:rtl/>
          <w:lang w:bidi="ar-MA"/>
        </w:rPr>
        <w:t xml:space="preserve"> </w:t>
      </w:r>
      <w:r w:rsidR="00320987">
        <w:rPr>
          <w:rFonts w:hint="cs"/>
          <w:rtl/>
          <w:lang w:bidi="ar-MA"/>
        </w:rPr>
        <w:t>الخاصة بمعيار الويبو</w:t>
      </w:r>
      <w:r w:rsidR="00AD2969">
        <w:rPr>
          <w:lang w:bidi="ar-MA"/>
        </w:rPr>
        <w:t xml:space="preserve">ST.96 </w:t>
      </w:r>
      <w:r w:rsidR="00AD2969">
        <w:rPr>
          <w:rtl/>
          <w:lang w:bidi="ar-MA"/>
        </w:rPr>
        <w:t xml:space="preserve"> </w:t>
      </w:r>
      <w:r w:rsidR="00320987">
        <w:rPr>
          <w:rFonts w:hint="cs"/>
          <w:rtl/>
          <w:lang w:bidi="ar-MA"/>
        </w:rPr>
        <w:t xml:space="preserve">وذات الصلة بالمصنفات المحمية بحق المؤلف، </w:t>
      </w:r>
      <w:r w:rsidR="00AD2969">
        <w:rPr>
          <w:rtl/>
          <w:lang w:bidi="ar-MA"/>
        </w:rPr>
        <w:t>في المستقبل</w:t>
      </w:r>
      <w:r w:rsidR="00B82F4A" w:rsidRPr="00B82F4A">
        <w:rPr>
          <w:rtl/>
          <w:lang w:bidi="ar-MA"/>
        </w:rPr>
        <w:t>.</w:t>
      </w:r>
    </w:p>
    <w:p w14:paraId="37460F16" w14:textId="5182500A" w:rsidR="00097FB7" w:rsidRPr="00001275" w:rsidRDefault="00AD2969" w:rsidP="006E6E23">
      <w:pPr>
        <w:pStyle w:val="Heading2"/>
        <w:spacing w:after="120"/>
        <w:ind w:left="5103" w:firstLine="567"/>
        <w:rPr>
          <w:b/>
          <w:i/>
          <w:iCs/>
          <w:sz w:val="22"/>
          <w:szCs w:val="22"/>
        </w:rPr>
      </w:pPr>
      <w:r>
        <w:rPr>
          <w:rFonts w:hint="cs"/>
          <w:i/>
          <w:iCs/>
          <w:sz w:val="22"/>
          <w:szCs w:val="22"/>
          <w:rtl/>
        </w:rPr>
        <w:t>12</w:t>
      </w:r>
      <w:r w:rsidR="00001275" w:rsidRPr="00001275">
        <w:rPr>
          <w:rFonts w:hint="cs"/>
          <w:i/>
          <w:iCs/>
          <w:sz w:val="22"/>
          <w:szCs w:val="22"/>
          <w:rtl/>
        </w:rPr>
        <w:t>.</w:t>
      </w:r>
      <w:r w:rsidR="006E6E23">
        <w:rPr>
          <w:b/>
          <w:bCs/>
          <w:sz w:val="22"/>
          <w:szCs w:val="22"/>
        </w:rPr>
        <w:tab/>
      </w:r>
      <w:r w:rsidR="006E6E23" w:rsidRPr="006E6E23">
        <w:rPr>
          <w:rFonts w:hint="cs"/>
          <w:b/>
          <w:bCs/>
          <w:i/>
          <w:iCs/>
          <w:sz w:val="22"/>
          <w:szCs w:val="22"/>
          <w:rtl/>
          <w:lang w:val="fr-CH" w:bidi="ar-SY"/>
        </w:rPr>
        <w:t>إ</w:t>
      </w:r>
      <w:r w:rsidR="00097FB7" w:rsidRPr="006E6E23">
        <w:rPr>
          <w:i/>
          <w:iCs/>
          <w:sz w:val="22"/>
          <w:szCs w:val="22"/>
          <w:rtl/>
        </w:rPr>
        <w:t>ن</w:t>
      </w:r>
      <w:r w:rsidR="00097FB7" w:rsidRPr="00001275">
        <w:rPr>
          <w:i/>
          <w:iCs/>
          <w:sz w:val="22"/>
          <w:szCs w:val="22"/>
          <w:rtl/>
        </w:rPr>
        <w:t xml:space="preserve"> ل</w:t>
      </w:r>
      <w:r w:rsidR="00E2768B" w:rsidRPr="00001275">
        <w:rPr>
          <w:i/>
          <w:iCs/>
          <w:sz w:val="22"/>
          <w:szCs w:val="22"/>
          <w:rtl/>
          <w:lang w:bidi="ar-EG"/>
        </w:rPr>
        <w:t>جنة ال</w:t>
      </w:r>
      <w:r w:rsidR="00E2768B" w:rsidRPr="00001275">
        <w:rPr>
          <w:rFonts w:hint="cs"/>
          <w:i/>
          <w:iCs/>
          <w:sz w:val="22"/>
          <w:szCs w:val="22"/>
          <w:rtl/>
          <w:lang w:bidi="ar-EG"/>
        </w:rPr>
        <w:t>معايير</w:t>
      </w:r>
      <w:r w:rsidR="00097FB7" w:rsidRPr="00001275">
        <w:rPr>
          <w:i/>
          <w:iCs/>
          <w:sz w:val="22"/>
          <w:szCs w:val="22"/>
          <w:rtl/>
          <w:lang w:bidi="ar-EG"/>
        </w:rPr>
        <w:t xml:space="preserve"> مدعوة إلى:</w:t>
      </w:r>
    </w:p>
    <w:p w14:paraId="15BDA25A" w14:textId="63230624" w:rsidR="00097FB7" w:rsidRPr="00D93E99" w:rsidRDefault="00AE5CC2" w:rsidP="00AE64DE">
      <w:pPr>
        <w:pStyle w:val="BodyText"/>
        <w:spacing w:after="120"/>
        <w:ind w:left="5670" w:firstLine="567"/>
        <w:rPr>
          <w:b/>
          <w:i/>
          <w:iCs/>
          <w:lang w:bidi="ar-MA"/>
        </w:rPr>
      </w:pPr>
      <w:r w:rsidRPr="00D93E99">
        <w:rPr>
          <w:rFonts w:hint="cs"/>
          <w:i/>
          <w:iCs/>
          <w:rtl/>
          <w:lang w:bidi="ar-EG"/>
        </w:rPr>
        <w:t>(أ)</w:t>
      </w:r>
      <w:r w:rsidRPr="00D93E99">
        <w:rPr>
          <w:rFonts w:hint="cs"/>
          <w:i/>
          <w:iCs/>
          <w:rtl/>
          <w:lang w:bidi="ar-EG"/>
        </w:rPr>
        <w:tab/>
      </w:r>
      <w:r w:rsidR="00783007" w:rsidRPr="00D93E99">
        <w:rPr>
          <w:i/>
          <w:iCs/>
          <w:rtl/>
          <w:lang w:bidi="ar-EG"/>
        </w:rPr>
        <w:t>الإحاطة علماً</w:t>
      </w:r>
      <w:r w:rsidR="00783007" w:rsidRPr="00D93E99">
        <w:rPr>
          <w:rFonts w:hint="cs"/>
          <w:i/>
          <w:iCs/>
          <w:rtl/>
          <w:lang w:bidi="ar-EG"/>
        </w:rPr>
        <w:t xml:space="preserve"> </w:t>
      </w:r>
      <w:r w:rsidR="00320987">
        <w:rPr>
          <w:rFonts w:hint="cs"/>
          <w:i/>
          <w:iCs/>
          <w:rtl/>
          <w:lang w:bidi="ar-EG"/>
        </w:rPr>
        <w:t>بمحتوى</w:t>
      </w:r>
      <w:r w:rsidR="00A31A7F" w:rsidRPr="00D93E99">
        <w:rPr>
          <w:rFonts w:hint="cs"/>
          <w:i/>
          <w:iCs/>
          <w:rtl/>
          <w:lang w:bidi="ar-EG"/>
        </w:rPr>
        <w:t xml:space="preserve"> </w:t>
      </w:r>
      <w:r w:rsidR="0072205B" w:rsidRPr="00D93E99">
        <w:rPr>
          <w:i/>
          <w:iCs/>
          <w:rtl/>
          <w:lang w:bidi="ar-EG"/>
        </w:rPr>
        <w:t>هذه الوثيقة؛</w:t>
      </w:r>
    </w:p>
    <w:p w14:paraId="270A04A1" w14:textId="5DD37AF4" w:rsidR="00097FB7" w:rsidRPr="00D93E99" w:rsidRDefault="00AE5CC2" w:rsidP="00AE64DE">
      <w:pPr>
        <w:pStyle w:val="BodyText"/>
        <w:spacing w:after="480"/>
        <w:ind w:left="6237" w:right="57"/>
        <w:rPr>
          <w:b/>
          <w:i/>
          <w:iCs/>
          <w:lang w:bidi="ar-SY"/>
        </w:rPr>
      </w:pPr>
      <w:r w:rsidRPr="00D93E99">
        <w:rPr>
          <w:rFonts w:hint="cs"/>
          <w:b/>
          <w:i/>
          <w:iCs/>
          <w:rtl/>
          <w:lang w:bidi="ar-MA"/>
        </w:rPr>
        <w:t>(ب)</w:t>
      </w:r>
      <w:r w:rsidR="006E6E23">
        <w:rPr>
          <w:b/>
          <w:i/>
          <w:iCs/>
          <w:rtl/>
          <w:lang w:bidi="ar-MA"/>
        </w:rPr>
        <w:tab/>
      </w:r>
      <w:r w:rsidR="00AD2969" w:rsidRPr="00AD2969">
        <w:rPr>
          <w:b/>
          <w:i/>
          <w:iCs/>
          <w:rtl/>
          <w:lang w:val="fr-FR" w:bidi="ar-SY"/>
        </w:rPr>
        <w:t>تشجيع أعضائها ومراقبيها على ترشيح خبرائهم المتخصصين ل</w:t>
      </w:r>
      <w:r w:rsidR="00320987">
        <w:rPr>
          <w:rFonts w:hint="cs"/>
          <w:b/>
          <w:i/>
          <w:iCs/>
          <w:rtl/>
          <w:lang w:val="fr-FR" w:bidi="ar-SY"/>
        </w:rPr>
        <w:t xml:space="preserve">لعمل في </w:t>
      </w:r>
      <w:r w:rsidR="00AD2969" w:rsidRPr="00AD2969">
        <w:rPr>
          <w:b/>
          <w:i/>
          <w:iCs/>
          <w:rtl/>
          <w:lang w:val="fr-FR" w:bidi="ar-SY"/>
        </w:rPr>
        <w:t xml:space="preserve">فرقة </w:t>
      </w:r>
      <w:r w:rsidR="00320987">
        <w:rPr>
          <w:rFonts w:hint="cs"/>
          <w:b/>
          <w:i/>
          <w:iCs/>
          <w:rtl/>
          <w:lang w:val="fr-FR" w:bidi="ar-SY"/>
        </w:rPr>
        <w:t>ال</w:t>
      </w:r>
      <w:r w:rsidR="00AD2969" w:rsidRPr="00AD2969">
        <w:rPr>
          <w:b/>
          <w:i/>
          <w:iCs/>
          <w:rtl/>
          <w:lang w:val="fr-FR" w:bidi="ar-SY"/>
        </w:rPr>
        <w:t xml:space="preserve">عمل </w:t>
      </w:r>
      <w:r w:rsidR="00AD2969" w:rsidRPr="00AD2969">
        <w:rPr>
          <w:bCs/>
          <w:i/>
          <w:iCs/>
          <w:lang w:val="fr-FR" w:bidi="ar-SY"/>
        </w:rPr>
        <w:t>XML4IP</w:t>
      </w:r>
      <w:r w:rsidR="00320987">
        <w:rPr>
          <w:rFonts w:hint="cs"/>
          <w:b/>
          <w:i/>
          <w:iCs/>
          <w:rtl/>
          <w:lang w:val="fr-FR" w:bidi="ar-SY"/>
        </w:rPr>
        <w:t xml:space="preserve"> من أجل </w:t>
      </w:r>
      <w:r w:rsidR="00AD2969" w:rsidRPr="00AD2969">
        <w:rPr>
          <w:b/>
          <w:i/>
          <w:iCs/>
          <w:rtl/>
          <w:lang w:val="fr-FR" w:bidi="ar-SY"/>
        </w:rPr>
        <w:t xml:space="preserve">تحسين </w:t>
      </w:r>
      <w:r w:rsidR="0040700A">
        <w:rPr>
          <w:rFonts w:hint="cs"/>
          <w:b/>
          <w:i/>
          <w:iCs/>
          <w:rtl/>
          <w:lang w:val="fr-FR" w:bidi="ar-SY"/>
        </w:rPr>
        <w:t>مكونات</w:t>
      </w:r>
      <w:r w:rsidR="00320987" w:rsidRPr="00AD2969">
        <w:rPr>
          <w:bCs/>
          <w:i/>
          <w:iCs/>
          <w:lang w:val="fr-FR" w:bidi="ar-SY"/>
        </w:rPr>
        <w:t>XML</w:t>
      </w:r>
      <w:r w:rsidR="00AD2969" w:rsidRPr="00AD2969">
        <w:rPr>
          <w:bCs/>
          <w:i/>
          <w:iCs/>
          <w:lang w:val="fr-FR" w:bidi="ar-SY"/>
        </w:rPr>
        <w:t xml:space="preserve"> </w:t>
      </w:r>
      <w:r w:rsidR="00320987">
        <w:rPr>
          <w:rFonts w:hint="cs"/>
          <w:bCs/>
          <w:i/>
          <w:iCs/>
          <w:rtl/>
          <w:lang w:val="fr-FR" w:bidi="ar-SY"/>
        </w:rPr>
        <w:t xml:space="preserve">  </w:t>
      </w:r>
      <w:r w:rsidR="00320987" w:rsidRPr="00320987">
        <w:rPr>
          <w:rFonts w:hint="cs"/>
          <w:b/>
          <w:i/>
          <w:iCs/>
          <w:rtl/>
          <w:lang w:val="fr-FR" w:bidi="ar-SY"/>
        </w:rPr>
        <w:t>الخاصة بمعيار الويبو</w:t>
      </w:r>
      <w:r w:rsidR="00320987">
        <w:rPr>
          <w:rFonts w:hint="cs"/>
          <w:bCs/>
          <w:i/>
          <w:iCs/>
          <w:rtl/>
          <w:lang w:val="fr-FR" w:bidi="ar-SY"/>
        </w:rPr>
        <w:t xml:space="preserve"> </w:t>
      </w:r>
      <w:r w:rsidR="00320987" w:rsidRPr="00AD2969">
        <w:rPr>
          <w:bCs/>
          <w:i/>
          <w:iCs/>
          <w:lang w:val="fr-FR" w:bidi="ar-SY"/>
        </w:rPr>
        <w:t>ST.96</w:t>
      </w:r>
      <w:r w:rsidR="00320987">
        <w:rPr>
          <w:rFonts w:hint="cs"/>
          <w:bCs/>
          <w:i/>
          <w:iCs/>
          <w:rtl/>
          <w:lang w:val="fr-FR" w:bidi="ar-SY"/>
        </w:rPr>
        <w:t xml:space="preserve"> </w:t>
      </w:r>
      <w:r w:rsidR="00AD2969" w:rsidRPr="00AD2969">
        <w:rPr>
          <w:b/>
          <w:i/>
          <w:iCs/>
          <w:rtl/>
          <w:lang w:val="fr-FR" w:bidi="ar-SY"/>
        </w:rPr>
        <w:t>في المستقبل</w:t>
      </w:r>
      <w:r w:rsidR="00320987">
        <w:rPr>
          <w:rFonts w:hint="cs"/>
          <w:b/>
          <w:i/>
          <w:iCs/>
          <w:rtl/>
          <w:lang w:val="fr-FR" w:bidi="ar-SY"/>
        </w:rPr>
        <w:t>، على النحو المُشار إليه</w:t>
      </w:r>
      <w:r w:rsidR="00AD2969" w:rsidRPr="00AD2969">
        <w:rPr>
          <w:b/>
          <w:i/>
          <w:iCs/>
          <w:rtl/>
          <w:lang w:val="fr-FR" w:bidi="ar-SY"/>
        </w:rPr>
        <w:t xml:space="preserve"> في الفقرة 11 أعلاه</w:t>
      </w:r>
      <w:r w:rsidR="00AD2969">
        <w:rPr>
          <w:rFonts w:hint="cs"/>
          <w:b/>
          <w:i/>
          <w:iCs/>
          <w:rtl/>
          <w:lang w:bidi="ar-SY"/>
        </w:rPr>
        <w:t>.</w:t>
      </w:r>
    </w:p>
    <w:p w14:paraId="097E187B" w14:textId="24E2BCA4" w:rsidR="00783007" w:rsidRPr="006E6E23" w:rsidRDefault="00C73196" w:rsidP="006E6E23">
      <w:pPr>
        <w:pStyle w:val="Endofdocument-Annex"/>
        <w:rPr>
          <w:lang w:val="fr-CA" w:bidi="ar-MA"/>
        </w:rPr>
      </w:pPr>
      <w:r w:rsidRPr="00D93E99">
        <w:rPr>
          <w:rtl/>
          <w:lang w:val="fr-CA" w:bidi="ar-MA"/>
        </w:rPr>
        <w:t>[</w:t>
      </w:r>
      <w:r w:rsidR="00CC74D3" w:rsidRPr="00D93E99">
        <w:rPr>
          <w:rFonts w:hint="cs"/>
          <w:rtl/>
          <w:lang w:val="fr-CA" w:bidi="ar-MA"/>
        </w:rPr>
        <w:t>نهاية الوثيقة</w:t>
      </w:r>
      <w:r w:rsidRPr="00D93E99">
        <w:rPr>
          <w:rtl/>
          <w:lang w:val="fr-CA" w:bidi="ar-MA"/>
        </w:rPr>
        <w:t>]</w:t>
      </w:r>
    </w:p>
    <w:p w14:paraId="4AD7AE29" w14:textId="77777777" w:rsidR="00304991" w:rsidRPr="00D93E99" w:rsidRDefault="00304991" w:rsidP="004E6D5F">
      <w:pPr>
        <w:pStyle w:val="BodyText"/>
      </w:pPr>
      <w:bookmarkStart w:id="4" w:name="Prepared"/>
      <w:bookmarkEnd w:id="0"/>
      <w:bookmarkEnd w:id="4"/>
    </w:p>
    <w:sectPr w:rsidR="00304991" w:rsidRPr="00D93E99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6548C" w14:textId="77777777" w:rsidR="00595D40" w:rsidRDefault="00595D40">
      <w:r>
        <w:separator/>
      </w:r>
    </w:p>
  </w:endnote>
  <w:endnote w:type="continuationSeparator" w:id="0">
    <w:p w14:paraId="61C0E204" w14:textId="77777777" w:rsidR="00595D40" w:rsidRDefault="00595D40" w:rsidP="003B38C1">
      <w:r>
        <w:separator/>
      </w:r>
    </w:p>
    <w:p w14:paraId="3FABA306" w14:textId="77777777" w:rsidR="00595D40" w:rsidRPr="003B38C1" w:rsidRDefault="00595D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8FD00D" w14:textId="77777777" w:rsidR="00595D40" w:rsidRPr="003B38C1" w:rsidRDefault="00595D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C13DB" w14:textId="77777777" w:rsidR="00595D40" w:rsidRDefault="00595D40">
      <w:r>
        <w:separator/>
      </w:r>
    </w:p>
  </w:footnote>
  <w:footnote w:type="continuationSeparator" w:id="0">
    <w:p w14:paraId="3EE9DF3D" w14:textId="77777777" w:rsidR="00595D40" w:rsidRDefault="00595D40" w:rsidP="008B60B2">
      <w:r>
        <w:separator/>
      </w:r>
    </w:p>
    <w:p w14:paraId="2D260160" w14:textId="77777777" w:rsidR="00595D40" w:rsidRPr="00ED77FB" w:rsidRDefault="00595D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DC86754" w14:textId="77777777" w:rsidR="00595D40" w:rsidRPr="00ED77FB" w:rsidRDefault="00595D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02BE0" w14:textId="64385D14" w:rsidR="0092178B" w:rsidRPr="00872E9A" w:rsidRDefault="0092178B" w:rsidP="0092178B">
    <w:pPr>
      <w:bidi w:val="0"/>
      <w:rPr>
        <w:caps/>
        <w:lang w:val="de-CH"/>
      </w:rPr>
    </w:pPr>
    <w:r>
      <w:rPr>
        <w:caps/>
      </w:rPr>
      <w:t>CWS/</w:t>
    </w:r>
    <w:r w:rsidR="00AD0B1C">
      <w:rPr>
        <w:caps/>
      </w:rPr>
      <w:t>12/</w:t>
    </w:r>
    <w:r w:rsidR="00872E9A">
      <w:rPr>
        <w:caps/>
        <w:lang w:val="de-CH"/>
      </w:rPr>
      <w:t>21</w:t>
    </w:r>
  </w:p>
  <w:p w14:paraId="1C10287D" w14:textId="77777777" w:rsidR="0092178B" w:rsidRDefault="0092178B" w:rsidP="0092178B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695312">
      <w:rPr>
        <w:noProof/>
      </w:rPr>
      <w:t>5</w:t>
    </w:r>
    <w:r>
      <w:fldChar w:fldCharType="end"/>
    </w:r>
  </w:p>
  <w:p w14:paraId="32EDFD68" w14:textId="77777777" w:rsidR="00AE5CC2" w:rsidRDefault="00AE5CC2" w:rsidP="00AE5CC2">
    <w:pPr>
      <w:bidi w:val="0"/>
    </w:pPr>
  </w:p>
  <w:p w14:paraId="6F1F48E2" w14:textId="77777777" w:rsidR="00AE5CC2" w:rsidRDefault="00AE5CC2" w:rsidP="00AE5CC2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892C13"/>
    <w:multiLevelType w:val="hybridMultilevel"/>
    <w:tmpl w:val="3EC2FB24"/>
    <w:lvl w:ilvl="0" w:tplc="C26C24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6953CB"/>
    <w:multiLevelType w:val="hybridMultilevel"/>
    <w:tmpl w:val="AE4AF63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5038B"/>
    <w:multiLevelType w:val="hybridMultilevel"/>
    <w:tmpl w:val="49500D5E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6251BF6"/>
    <w:multiLevelType w:val="hybridMultilevel"/>
    <w:tmpl w:val="D486D23A"/>
    <w:lvl w:ilvl="0" w:tplc="17AC92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682A"/>
    <w:multiLevelType w:val="hybridMultilevel"/>
    <w:tmpl w:val="B97C3CA6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A74465"/>
    <w:multiLevelType w:val="hybridMultilevel"/>
    <w:tmpl w:val="55BEDC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1" w15:restartNumberingAfterBreak="0">
    <w:nsid w:val="38E203C6"/>
    <w:multiLevelType w:val="hybridMultilevel"/>
    <w:tmpl w:val="C30A129C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B30BB"/>
    <w:multiLevelType w:val="hybridMultilevel"/>
    <w:tmpl w:val="88EC55FA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D44886"/>
    <w:multiLevelType w:val="hybridMultilevel"/>
    <w:tmpl w:val="0F2A2A90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457C0"/>
    <w:multiLevelType w:val="hybridMultilevel"/>
    <w:tmpl w:val="33046E86"/>
    <w:lvl w:ilvl="0" w:tplc="F8F47300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179FA"/>
    <w:multiLevelType w:val="hybridMultilevel"/>
    <w:tmpl w:val="3A543C74"/>
    <w:lvl w:ilvl="0" w:tplc="A646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8510D4A"/>
    <w:multiLevelType w:val="hybridMultilevel"/>
    <w:tmpl w:val="F4E22592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787105"/>
    <w:multiLevelType w:val="hybridMultilevel"/>
    <w:tmpl w:val="5120CED2"/>
    <w:lvl w:ilvl="0" w:tplc="1009000F">
      <w:start w:val="1"/>
      <w:numFmt w:val="decimal"/>
      <w:lvlText w:val="%1."/>
      <w:lvlJc w:val="left"/>
      <w:pPr>
        <w:ind w:left="1492" w:hanging="360"/>
      </w:pPr>
    </w:lvl>
    <w:lvl w:ilvl="1" w:tplc="10090019" w:tentative="1">
      <w:start w:val="1"/>
      <w:numFmt w:val="lowerLetter"/>
      <w:lvlText w:val="%2."/>
      <w:lvlJc w:val="left"/>
      <w:pPr>
        <w:ind w:left="2212" w:hanging="360"/>
      </w:pPr>
    </w:lvl>
    <w:lvl w:ilvl="2" w:tplc="1009001B" w:tentative="1">
      <w:start w:val="1"/>
      <w:numFmt w:val="lowerRoman"/>
      <w:lvlText w:val="%3."/>
      <w:lvlJc w:val="right"/>
      <w:pPr>
        <w:ind w:left="2932" w:hanging="180"/>
      </w:pPr>
    </w:lvl>
    <w:lvl w:ilvl="3" w:tplc="1009000F" w:tentative="1">
      <w:start w:val="1"/>
      <w:numFmt w:val="decimal"/>
      <w:lvlText w:val="%4."/>
      <w:lvlJc w:val="left"/>
      <w:pPr>
        <w:ind w:left="3652" w:hanging="360"/>
      </w:pPr>
    </w:lvl>
    <w:lvl w:ilvl="4" w:tplc="10090019" w:tentative="1">
      <w:start w:val="1"/>
      <w:numFmt w:val="lowerLetter"/>
      <w:lvlText w:val="%5."/>
      <w:lvlJc w:val="left"/>
      <w:pPr>
        <w:ind w:left="4372" w:hanging="360"/>
      </w:pPr>
    </w:lvl>
    <w:lvl w:ilvl="5" w:tplc="1009001B" w:tentative="1">
      <w:start w:val="1"/>
      <w:numFmt w:val="lowerRoman"/>
      <w:lvlText w:val="%6."/>
      <w:lvlJc w:val="right"/>
      <w:pPr>
        <w:ind w:left="5092" w:hanging="180"/>
      </w:pPr>
    </w:lvl>
    <w:lvl w:ilvl="6" w:tplc="1009000F" w:tentative="1">
      <w:start w:val="1"/>
      <w:numFmt w:val="decimal"/>
      <w:lvlText w:val="%7."/>
      <w:lvlJc w:val="left"/>
      <w:pPr>
        <w:ind w:left="5812" w:hanging="360"/>
      </w:pPr>
    </w:lvl>
    <w:lvl w:ilvl="7" w:tplc="10090019" w:tentative="1">
      <w:start w:val="1"/>
      <w:numFmt w:val="lowerLetter"/>
      <w:lvlText w:val="%8."/>
      <w:lvlJc w:val="left"/>
      <w:pPr>
        <w:ind w:left="6532" w:hanging="360"/>
      </w:pPr>
    </w:lvl>
    <w:lvl w:ilvl="8" w:tplc="10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039B8"/>
    <w:multiLevelType w:val="hybridMultilevel"/>
    <w:tmpl w:val="7A64D3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0061B"/>
    <w:multiLevelType w:val="multilevel"/>
    <w:tmpl w:val="44FE289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2" w15:restartNumberingAfterBreak="0">
    <w:nsid w:val="5CCE2138"/>
    <w:multiLevelType w:val="hybridMultilevel"/>
    <w:tmpl w:val="D34EFFAC"/>
    <w:lvl w:ilvl="0" w:tplc="5690640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9721F5"/>
    <w:multiLevelType w:val="hybridMultilevel"/>
    <w:tmpl w:val="B296D3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972F7"/>
    <w:multiLevelType w:val="hybridMultilevel"/>
    <w:tmpl w:val="638C60B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C47B6F"/>
    <w:multiLevelType w:val="hybridMultilevel"/>
    <w:tmpl w:val="236C5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B4996"/>
    <w:multiLevelType w:val="hybridMultilevel"/>
    <w:tmpl w:val="AA7AB426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702029"/>
    <w:multiLevelType w:val="hybridMultilevel"/>
    <w:tmpl w:val="E94A6EC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F05D92"/>
    <w:multiLevelType w:val="hybridMultilevel"/>
    <w:tmpl w:val="D0783C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B5761"/>
    <w:multiLevelType w:val="hybridMultilevel"/>
    <w:tmpl w:val="CBB0C9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B5385"/>
    <w:multiLevelType w:val="hybridMultilevel"/>
    <w:tmpl w:val="CFEC11CE"/>
    <w:lvl w:ilvl="0" w:tplc="526C877E">
      <w:start w:val="1"/>
      <w:numFmt w:val="arabicAbjad"/>
      <w:lvlText w:val="%1)"/>
      <w:lvlJc w:val="left"/>
      <w:pPr>
        <w:ind w:left="6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515" w:hanging="360"/>
      </w:pPr>
    </w:lvl>
    <w:lvl w:ilvl="2" w:tplc="1009001B" w:tentative="1">
      <w:start w:val="1"/>
      <w:numFmt w:val="lowerRoman"/>
      <w:lvlText w:val="%3."/>
      <w:lvlJc w:val="right"/>
      <w:pPr>
        <w:ind w:left="8235" w:hanging="180"/>
      </w:pPr>
    </w:lvl>
    <w:lvl w:ilvl="3" w:tplc="1009000F" w:tentative="1">
      <w:start w:val="1"/>
      <w:numFmt w:val="decimal"/>
      <w:lvlText w:val="%4."/>
      <w:lvlJc w:val="left"/>
      <w:pPr>
        <w:ind w:left="8955" w:hanging="360"/>
      </w:pPr>
    </w:lvl>
    <w:lvl w:ilvl="4" w:tplc="10090019" w:tentative="1">
      <w:start w:val="1"/>
      <w:numFmt w:val="lowerLetter"/>
      <w:lvlText w:val="%5."/>
      <w:lvlJc w:val="left"/>
      <w:pPr>
        <w:ind w:left="9675" w:hanging="360"/>
      </w:pPr>
    </w:lvl>
    <w:lvl w:ilvl="5" w:tplc="1009001B" w:tentative="1">
      <w:start w:val="1"/>
      <w:numFmt w:val="lowerRoman"/>
      <w:lvlText w:val="%6."/>
      <w:lvlJc w:val="right"/>
      <w:pPr>
        <w:ind w:left="10395" w:hanging="180"/>
      </w:pPr>
    </w:lvl>
    <w:lvl w:ilvl="6" w:tplc="1009000F" w:tentative="1">
      <w:start w:val="1"/>
      <w:numFmt w:val="decimal"/>
      <w:lvlText w:val="%7."/>
      <w:lvlJc w:val="left"/>
      <w:pPr>
        <w:ind w:left="11115" w:hanging="360"/>
      </w:pPr>
    </w:lvl>
    <w:lvl w:ilvl="7" w:tplc="10090019" w:tentative="1">
      <w:start w:val="1"/>
      <w:numFmt w:val="lowerLetter"/>
      <w:lvlText w:val="%8."/>
      <w:lvlJc w:val="left"/>
      <w:pPr>
        <w:ind w:left="11835" w:hanging="360"/>
      </w:pPr>
    </w:lvl>
    <w:lvl w:ilvl="8" w:tplc="1009001B" w:tentative="1">
      <w:start w:val="1"/>
      <w:numFmt w:val="lowerRoman"/>
      <w:lvlText w:val="%9."/>
      <w:lvlJc w:val="right"/>
      <w:pPr>
        <w:ind w:left="12555" w:hanging="180"/>
      </w:pPr>
    </w:lvl>
  </w:abstractNum>
  <w:num w:numId="1" w16cid:durableId="223495853">
    <w:abstractNumId w:val="3"/>
  </w:num>
  <w:num w:numId="2" w16cid:durableId="784545170">
    <w:abstractNumId w:val="16"/>
  </w:num>
  <w:num w:numId="3" w16cid:durableId="1638874716">
    <w:abstractNumId w:val="0"/>
  </w:num>
  <w:num w:numId="4" w16cid:durableId="1165247024">
    <w:abstractNumId w:val="19"/>
  </w:num>
  <w:num w:numId="5" w16cid:durableId="1622149672">
    <w:abstractNumId w:val="1"/>
  </w:num>
  <w:num w:numId="6" w16cid:durableId="1646354675">
    <w:abstractNumId w:val="6"/>
  </w:num>
  <w:num w:numId="7" w16cid:durableId="989864427">
    <w:abstractNumId w:val="21"/>
  </w:num>
  <w:num w:numId="8" w16cid:durableId="364526477">
    <w:abstractNumId w:val="10"/>
  </w:num>
  <w:num w:numId="9" w16cid:durableId="1968201669">
    <w:abstractNumId w:val="14"/>
  </w:num>
  <w:num w:numId="10" w16cid:durableId="1903373153">
    <w:abstractNumId w:val="23"/>
  </w:num>
  <w:num w:numId="11" w16cid:durableId="1920822265">
    <w:abstractNumId w:val="22"/>
  </w:num>
  <w:num w:numId="12" w16cid:durableId="948397335">
    <w:abstractNumId w:val="28"/>
  </w:num>
  <w:num w:numId="13" w16cid:durableId="1964726596">
    <w:abstractNumId w:val="20"/>
  </w:num>
  <w:num w:numId="14" w16cid:durableId="1682969375">
    <w:abstractNumId w:val="8"/>
  </w:num>
  <w:num w:numId="15" w16cid:durableId="1226187170">
    <w:abstractNumId w:val="30"/>
  </w:num>
  <w:num w:numId="16" w16cid:durableId="1799059593">
    <w:abstractNumId w:val="18"/>
  </w:num>
  <w:num w:numId="17" w16cid:durableId="1274937989">
    <w:abstractNumId w:val="2"/>
  </w:num>
  <w:num w:numId="18" w16cid:durableId="516385836">
    <w:abstractNumId w:val="7"/>
  </w:num>
  <w:num w:numId="19" w16cid:durableId="861283600">
    <w:abstractNumId w:val="11"/>
  </w:num>
  <w:num w:numId="20" w16cid:durableId="1275164333">
    <w:abstractNumId w:val="4"/>
  </w:num>
  <w:num w:numId="21" w16cid:durableId="257369589">
    <w:abstractNumId w:val="5"/>
  </w:num>
  <w:num w:numId="22" w16cid:durableId="1116604508">
    <w:abstractNumId w:val="26"/>
  </w:num>
  <w:num w:numId="23" w16cid:durableId="507839849">
    <w:abstractNumId w:val="17"/>
  </w:num>
  <w:num w:numId="24" w16cid:durableId="2005014540">
    <w:abstractNumId w:val="24"/>
  </w:num>
  <w:num w:numId="25" w16cid:durableId="700711840">
    <w:abstractNumId w:val="27"/>
  </w:num>
  <w:num w:numId="26" w16cid:durableId="2062515636">
    <w:abstractNumId w:val="12"/>
  </w:num>
  <w:num w:numId="27" w16cid:durableId="1725568584">
    <w:abstractNumId w:val="29"/>
  </w:num>
  <w:num w:numId="28" w16cid:durableId="1239630982">
    <w:abstractNumId w:val="15"/>
  </w:num>
  <w:num w:numId="29" w16cid:durableId="1943344064">
    <w:abstractNumId w:val="25"/>
  </w:num>
  <w:num w:numId="30" w16cid:durableId="1876968173">
    <w:abstractNumId w:val="9"/>
  </w:num>
  <w:num w:numId="31" w16cid:durableId="2049793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0B"/>
    <w:rsid w:val="00000021"/>
    <w:rsid w:val="00001275"/>
    <w:rsid w:val="0000313B"/>
    <w:rsid w:val="00003810"/>
    <w:rsid w:val="00010DEE"/>
    <w:rsid w:val="000117E7"/>
    <w:rsid w:val="000126C1"/>
    <w:rsid w:val="00012C9D"/>
    <w:rsid w:val="0001744B"/>
    <w:rsid w:val="000174E7"/>
    <w:rsid w:val="00030F91"/>
    <w:rsid w:val="00037100"/>
    <w:rsid w:val="0004089F"/>
    <w:rsid w:val="00040B87"/>
    <w:rsid w:val="00043CAA"/>
    <w:rsid w:val="00052489"/>
    <w:rsid w:val="00056816"/>
    <w:rsid w:val="000709DF"/>
    <w:rsid w:val="00075432"/>
    <w:rsid w:val="00082541"/>
    <w:rsid w:val="00095F3D"/>
    <w:rsid w:val="000968ED"/>
    <w:rsid w:val="00097FB7"/>
    <w:rsid w:val="000A3B14"/>
    <w:rsid w:val="000A3D97"/>
    <w:rsid w:val="000C4C54"/>
    <w:rsid w:val="000C5B32"/>
    <w:rsid w:val="000D0D75"/>
    <w:rsid w:val="000F4D63"/>
    <w:rsid w:val="000F50DB"/>
    <w:rsid w:val="000F5E56"/>
    <w:rsid w:val="001000BC"/>
    <w:rsid w:val="00101658"/>
    <w:rsid w:val="001213E2"/>
    <w:rsid w:val="001319E9"/>
    <w:rsid w:val="00135E3E"/>
    <w:rsid w:val="001362EE"/>
    <w:rsid w:val="001406E1"/>
    <w:rsid w:val="00144DC3"/>
    <w:rsid w:val="00151289"/>
    <w:rsid w:val="001553A3"/>
    <w:rsid w:val="00155D8A"/>
    <w:rsid w:val="001647D5"/>
    <w:rsid w:val="0017738E"/>
    <w:rsid w:val="001832A6"/>
    <w:rsid w:val="00194A73"/>
    <w:rsid w:val="0019592A"/>
    <w:rsid w:val="001B0BE7"/>
    <w:rsid w:val="001B44C6"/>
    <w:rsid w:val="001B4AA3"/>
    <w:rsid w:val="001B7273"/>
    <w:rsid w:val="001D24E5"/>
    <w:rsid w:val="001D4107"/>
    <w:rsid w:val="001D6DA6"/>
    <w:rsid w:val="001D7ECD"/>
    <w:rsid w:val="001F0AF2"/>
    <w:rsid w:val="00200080"/>
    <w:rsid w:val="00200356"/>
    <w:rsid w:val="00203620"/>
    <w:rsid w:val="00203D24"/>
    <w:rsid w:val="00205102"/>
    <w:rsid w:val="00207E3C"/>
    <w:rsid w:val="00210D5F"/>
    <w:rsid w:val="00211ECF"/>
    <w:rsid w:val="0021217E"/>
    <w:rsid w:val="00227263"/>
    <w:rsid w:val="002326AB"/>
    <w:rsid w:val="00233103"/>
    <w:rsid w:val="00233502"/>
    <w:rsid w:val="00243430"/>
    <w:rsid w:val="002460FF"/>
    <w:rsid w:val="002607A1"/>
    <w:rsid w:val="002634C4"/>
    <w:rsid w:val="002643E2"/>
    <w:rsid w:val="00264637"/>
    <w:rsid w:val="0026508A"/>
    <w:rsid w:val="00267816"/>
    <w:rsid w:val="002700B2"/>
    <w:rsid w:val="00274389"/>
    <w:rsid w:val="00280AD5"/>
    <w:rsid w:val="00283C7A"/>
    <w:rsid w:val="0029052C"/>
    <w:rsid w:val="002917FF"/>
    <w:rsid w:val="002928D3"/>
    <w:rsid w:val="002A0627"/>
    <w:rsid w:val="002A421B"/>
    <w:rsid w:val="002A7EE3"/>
    <w:rsid w:val="002B3618"/>
    <w:rsid w:val="002D6BE0"/>
    <w:rsid w:val="002D6CDB"/>
    <w:rsid w:val="002E216A"/>
    <w:rsid w:val="002E2B01"/>
    <w:rsid w:val="002E7521"/>
    <w:rsid w:val="002F1FE6"/>
    <w:rsid w:val="002F2890"/>
    <w:rsid w:val="002F2DD7"/>
    <w:rsid w:val="002F4E68"/>
    <w:rsid w:val="002F7AE4"/>
    <w:rsid w:val="00304991"/>
    <w:rsid w:val="00312F7F"/>
    <w:rsid w:val="00317E68"/>
    <w:rsid w:val="00320987"/>
    <w:rsid w:val="003245D1"/>
    <w:rsid w:val="00327E43"/>
    <w:rsid w:val="003324A1"/>
    <w:rsid w:val="00344449"/>
    <w:rsid w:val="00345AE6"/>
    <w:rsid w:val="00347BDF"/>
    <w:rsid w:val="003575A5"/>
    <w:rsid w:val="00357AB4"/>
    <w:rsid w:val="00361450"/>
    <w:rsid w:val="00365147"/>
    <w:rsid w:val="003673CF"/>
    <w:rsid w:val="003704C9"/>
    <w:rsid w:val="00372461"/>
    <w:rsid w:val="003810CA"/>
    <w:rsid w:val="003845C1"/>
    <w:rsid w:val="003850AF"/>
    <w:rsid w:val="0038638F"/>
    <w:rsid w:val="0038692F"/>
    <w:rsid w:val="0039336E"/>
    <w:rsid w:val="0039350D"/>
    <w:rsid w:val="003978C2"/>
    <w:rsid w:val="003A0B13"/>
    <w:rsid w:val="003A2586"/>
    <w:rsid w:val="003A388C"/>
    <w:rsid w:val="003A6F0A"/>
    <w:rsid w:val="003A6F89"/>
    <w:rsid w:val="003B355C"/>
    <w:rsid w:val="003B38C1"/>
    <w:rsid w:val="003B42B2"/>
    <w:rsid w:val="003B69E8"/>
    <w:rsid w:val="003C32A0"/>
    <w:rsid w:val="003C34E9"/>
    <w:rsid w:val="003C4115"/>
    <w:rsid w:val="003C5FA9"/>
    <w:rsid w:val="003E2854"/>
    <w:rsid w:val="003F3AA9"/>
    <w:rsid w:val="003F6FD9"/>
    <w:rsid w:val="00406340"/>
    <w:rsid w:val="0040700A"/>
    <w:rsid w:val="00414727"/>
    <w:rsid w:val="00423E3E"/>
    <w:rsid w:val="00423F57"/>
    <w:rsid w:val="004250DD"/>
    <w:rsid w:val="00427AF4"/>
    <w:rsid w:val="00430910"/>
    <w:rsid w:val="0044422A"/>
    <w:rsid w:val="00462C89"/>
    <w:rsid w:val="00463ACD"/>
    <w:rsid w:val="004647DA"/>
    <w:rsid w:val="004652A3"/>
    <w:rsid w:val="00474062"/>
    <w:rsid w:val="004770C4"/>
    <w:rsid w:val="00477D6B"/>
    <w:rsid w:val="004823FA"/>
    <w:rsid w:val="00484648"/>
    <w:rsid w:val="00486B87"/>
    <w:rsid w:val="004926F8"/>
    <w:rsid w:val="004A521F"/>
    <w:rsid w:val="004B0DF7"/>
    <w:rsid w:val="004B1DB8"/>
    <w:rsid w:val="004B25E2"/>
    <w:rsid w:val="004C063F"/>
    <w:rsid w:val="004C1797"/>
    <w:rsid w:val="004C3A1A"/>
    <w:rsid w:val="004C5AD5"/>
    <w:rsid w:val="004D1C19"/>
    <w:rsid w:val="004D3B17"/>
    <w:rsid w:val="004D414A"/>
    <w:rsid w:val="004E1539"/>
    <w:rsid w:val="004E51CE"/>
    <w:rsid w:val="004E6D5F"/>
    <w:rsid w:val="004F1795"/>
    <w:rsid w:val="005019FF"/>
    <w:rsid w:val="00501B64"/>
    <w:rsid w:val="005218D3"/>
    <w:rsid w:val="0052686A"/>
    <w:rsid w:val="0053057A"/>
    <w:rsid w:val="00551AB5"/>
    <w:rsid w:val="00556076"/>
    <w:rsid w:val="0056002C"/>
    <w:rsid w:val="00560A29"/>
    <w:rsid w:val="0056700E"/>
    <w:rsid w:val="005708B3"/>
    <w:rsid w:val="00577673"/>
    <w:rsid w:val="00595D40"/>
    <w:rsid w:val="005A5FF8"/>
    <w:rsid w:val="005A6124"/>
    <w:rsid w:val="005A7075"/>
    <w:rsid w:val="005A71CE"/>
    <w:rsid w:val="005B0AA9"/>
    <w:rsid w:val="005C2599"/>
    <w:rsid w:val="005C6649"/>
    <w:rsid w:val="005D1C49"/>
    <w:rsid w:val="005D2EFA"/>
    <w:rsid w:val="005E6BC8"/>
    <w:rsid w:val="005E7B89"/>
    <w:rsid w:val="005F3004"/>
    <w:rsid w:val="005F3C9B"/>
    <w:rsid w:val="00605827"/>
    <w:rsid w:val="00617A87"/>
    <w:rsid w:val="00621976"/>
    <w:rsid w:val="006335AA"/>
    <w:rsid w:val="00643902"/>
    <w:rsid w:val="00643CBA"/>
    <w:rsid w:val="0064539B"/>
    <w:rsid w:val="00646050"/>
    <w:rsid w:val="006478CB"/>
    <w:rsid w:val="00656294"/>
    <w:rsid w:val="0065739A"/>
    <w:rsid w:val="0066518D"/>
    <w:rsid w:val="006713CA"/>
    <w:rsid w:val="00675250"/>
    <w:rsid w:val="00676C5C"/>
    <w:rsid w:val="00681E08"/>
    <w:rsid w:val="0069250A"/>
    <w:rsid w:val="00695312"/>
    <w:rsid w:val="006A0A0C"/>
    <w:rsid w:val="006B2440"/>
    <w:rsid w:val="006B2CB4"/>
    <w:rsid w:val="006B3BE4"/>
    <w:rsid w:val="006B5C12"/>
    <w:rsid w:val="006B7A17"/>
    <w:rsid w:val="006C25FE"/>
    <w:rsid w:val="006D0600"/>
    <w:rsid w:val="006D4132"/>
    <w:rsid w:val="006E6E23"/>
    <w:rsid w:val="006F50B1"/>
    <w:rsid w:val="007004EA"/>
    <w:rsid w:val="00707638"/>
    <w:rsid w:val="00711420"/>
    <w:rsid w:val="007126F0"/>
    <w:rsid w:val="00720EFD"/>
    <w:rsid w:val="0072205B"/>
    <w:rsid w:val="00723FFE"/>
    <w:rsid w:val="00730284"/>
    <w:rsid w:val="00737D32"/>
    <w:rsid w:val="007407C0"/>
    <w:rsid w:val="00740C1F"/>
    <w:rsid w:val="00744875"/>
    <w:rsid w:val="00753A2D"/>
    <w:rsid w:val="00757973"/>
    <w:rsid w:val="00765330"/>
    <w:rsid w:val="00766753"/>
    <w:rsid w:val="00770A05"/>
    <w:rsid w:val="0077784E"/>
    <w:rsid w:val="007804BC"/>
    <w:rsid w:val="00783007"/>
    <w:rsid w:val="007854AF"/>
    <w:rsid w:val="007859A5"/>
    <w:rsid w:val="00787D24"/>
    <w:rsid w:val="00791915"/>
    <w:rsid w:val="00793A7C"/>
    <w:rsid w:val="00797830"/>
    <w:rsid w:val="007A28BD"/>
    <w:rsid w:val="007A398A"/>
    <w:rsid w:val="007A5350"/>
    <w:rsid w:val="007A606C"/>
    <w:rsid w:val="007A75DA"/>
    <w:rsid w:val="007A7C84"/>
    <w:rsid w:val="007B4DDC"/>
    <w:rsid w:val="007C4902"/>
    <w:rsid w:val="007D1613"/>
    <w:rsid w:val="007E2E0D"/>
    <w:rsid w:val="007E4C0E"/>
    <w:rsid w:val="007F2029"/>
    <w:rsid w:val="007F5BA7"/>
    <w:rsid w:val="00813BD9"/>
    <w:rsid w:val="00816194"/>
    <w:rsid w:val="00822533"/>
    <w:rsid w:val="00830ABC"/>
    <w:rsid w:val="00836F0A"/>
    <w:rsid w:val="0084164E"/>
    <w:rsid w:val="0087152E"/>
    <w:rsid w:val="00872E9A"/>
    <w:rsid w:val="00877B8E"/>
    <w:rsid w:val="00891ADF"/>
    <w:rsid w:val="00893D90"/>
    <w:rsid w:val="008A134B"/>
    <w:rsid w:val="008B1E88"/>
    <w:rsid w:val="008B2CC1"/>
    <w:rsid w:val="008B60B2"/>
    <w:rsid w:val="008E67A1"/>
    <w:rsid w:val="008F0C5C"/>
    <w:rsid w:val="008F217F"/>
    <w:rsid w:val="008F24D4"/>
    <w:rsid w:val="009005C6"/>
    <w:rsid w:val="0090627D"/>
    <w:rsid w:val="0090731E"/>
    <w:rsid w:val="0091345B"/>
    <w:rsid w:val="00916A25"/>
    <w:rsid w:val="00916EE2"/>
    <w:rsid w:val="0092178B"/>
    <w:rsid w:val="0092544D"/>
    <w:rsid w:val="00936D75"/>
    <w:rsid w:val="00941394"/>
    <w:rsid w:val="00947B19"/>
    <w:rsid w:val="0095271F"/>
    <w:rsid w:val="00966A22"/>
    <w:rsid w:val="0096722F"/>
    <w:rsid w:val="00980843"/>
    <w:rsid w:val="00981A0A"/>
    <w:rsid w:val="00982624"/>
    <w:rsid w:val="009A55E2"/>
    <w:rsid w:val="009B0855"/>
    <w:rsid w:val="009C7B91"/>
    <w:rsid w:val="009D16E9"/>
    <w:rsid w:val="009E2791"/>
    <w:rsid w:val="009E2CF4"/>
    <w:rsid w:val="009E3F6F"/>
    <w:rsid w:val="009E4EBB"/>
    <w:rsid w:val="009F17F7"/>
    <w:rsid w:val="009F499F"/>
    <w:rsid w:val="009F4B7D"/>
    <w:rsid w:val="00A1112D"/>
    <w:rsid w:val="00A20FF9"/>
    <w:rsid w:val="00A217C8"/>
    <w:rsid w:val="00A303E8"/>
    <w:rsid w:val="00A31A7F"/>
    <w:rsid w:val="00A34634"/>
    <w:rsid w:val="00A35449"/>
    <w:rsid w:val="00A36865"/>
    <w:rsid w:val="00A37342"/>
    <w:rsid w:val="00A42DAF"/>
    <w:rsid w:val="00A45BD8"/>
    <w:rsid w:val="00A54254"/>
    <w:rsid w:val="00A548A0"/>
    <w:rsid w:val="00A62E5E"/>
    <w:rsid w:val="00A65D26"/>
    <w:rsid w:val="00A66F16"/>
    <w:rsid w:val="00A70B2B"/>
    <w:rsid w:val="00A74499"/>
    <w:rsid w:val="00A7670B"/>
    <w:rsid w:val="00A81A64"/>
    <w:rsid w:val="00A869B7"/>
    <w:rsid w:val="00A90F0A"/>
    <w:rsid w:val="00A93B72"/>
    <w:rsid w:val="00AA2A27"/>
    <w:rsid w:val="00AC205C"/>
    <w:rsid w:val="00AD0B1C"/>
    <w:rsid w:val="00AD0FB5"/>
    <w:rsid w:val="00AD1E45"/>
    <w:rsid w:val="00AD2969"/>
    <w:rsid w:val="00AE1616"/>
    <w:rsid w:val="00AE1A04"/>
    <w:rsid w:val="00AE5CC2"/>
    <w:rsid w:val="00AE64DE"/>
    <w:rsid w:val="00AF0A6B"/>
    <w:rsid w:val="00AF23D2"/>
    <w:rsid w:val="00B0379E"/>
    <w:rsid w:val="00B05A69"/>
    <w:rsid w:val="00B104C6"/>
    <w:rsid w:val="00B113CF"/>
    <w:rsid w:val="00B412E4"/>
    <w:rsid w:val="00B42CA9"/>
    <w:rsid w:val="00B43945"/>
    <w:rsid w:val="00B51FF7"/>
    <w:rsid w:val="00B548D2"/>
    <w:rsid w:val="00B5495A"/>
    <w:rsid w:val="00B6053B"/>
    <w:rsid w:val="00B61F9C"/>
    <w:rsid w:val="00B75281"/>
    <w:rsid w:val="00B80967"/>
    <w:rsid w:val="00B82F4A"/>
    <w:rsid w:val="00B854F9"/>
    <w:rsid w:val="00B90004"/>
    <w:rsid w:val="00B91F42"/>
    <w:rsid w:val="00B92F1F"/>
    <w:rsid w:val="00B9734B"/>
    <w:rsid w:val="00B97683"/>
    <w:rsid w:val="00BA020B"/>
    <w:rsid w:val="00BA30E2"/>
    <w:rsid w:val="00BB6F17"/>
    <w:rsid w:val="00BC1B9A"/>
    <w:rsid w:val="00BD6F7E"/>
    <w:rsid w:val="00BE414C"/>
    <w:rsid w:val="00BE516E"/>
    <w:rsid w:val="00C01859"/>
    <w:rsid w:val="00C04284"/>
    <w:rsid w:val="00C11BFE"/>
    <w:rsid w:val="00C13BF1"/>
    <w:rsid w:val="00C5068F"/>
    <w:rsid w:val="00C52D12"/>
    <w:rsid w:val="00C6670B"/>
    <w:rsid w:val="00C67FC6"/>
    <w:rsid w:val="00C73196"/>
    <w:rsid w:val="00C73EC7"/>
    <w:rsid w:val="00C8421F"/>
    <w:rsid w:val="00C86D74"/>
    <w:rsid w:val="00C94CE2"/>
    <w:rsid w:val="00C97564"/>
    <w:rsid w:val="00CB3DBA"/>
    <w:rsid w:val="00CC3E2D"/>
    <w:rsid w:val="00CC5BAE"/>
    <w:rsid w:val="00CC7385"/>
    <w:rsid w:val="00CC74D3"/>
    <w:rsid w:val="00CD04F1"/>
    <w:rsid w:val="00CD0EAF"/>
    <w:rsid w:val="00CD1D1B"/>
    <w:rsid w:val="00CE19F8"/>
    <w:rsid w:val="00CE2FCA"/>
    <w:rsid w:val="00CF22FA"/>
    <w:rsid w:val="00CF681A"/>
    <w:rsid w:val="00D07C78"/>
    <w:rsid w:val="00D15EAD"/>
    <w:rsid w:val="00D16522"/>
    <w:rsid w:val="00D22271"/>
    <w:rsid w:val="00D2247A"/>
    <w:rsid w:val="00D22CFE"/>
    <w:rsid w:val="00D25EFA"/>
    <w:rsid w:val="00D36293"/>
    <w:rsid w:val="00D45252"/>
    <w:rsid w:val="00D47C72"/>
    <w:rsid w:val="00D60B2C"/>
    <w:rsid w:val="00D61FF6"/>
    <w:rsid w:val="00D67EAE"/>
    <w:rsid w:val="00D71A05"/>
    <w:rsid w:val="00D71B4D"/>
    <w:rsid w:val="00D8102A"/>
    <w:rsid w:val="00D90B96"/>
    <w:rsid w:val="00D9276B"/>
    <w:rsid w:val="00D93D55"/>
    <w:rsid w:val="00D93E99"/>
    <w:rsid w:val="00D97F1E"/>
    <w:rsid w:val="00DA20D8"/>
    <w:rsid w:val="00DA219A"/>
    <w:rsid w:val="00DA2E5E"/>
    <w:rsid w:val="00DC0AED"/>
    <w:rsid w:val="00DC3105"/>
    <w:rsid w:val="00DD7B7F"/>
    <w:rsid w:val="00DE46EC"/>
    <w:rsid w:val="00DF1391"/>
    <w:rsid w:val="00DF1CF2"/>
    <w:rsid w:val="00DF7188"/>
    <w:rsid w:val="00DF7CE1"/>
    <w:rsid w:val="00E07BF5"/>
    <w:rsid w:val="00E11F29"/>
    <w:rsid w:val="00E137DB"/>
    <w:rsid w:val="00E15015"/>
    <w:rsid w:val="00E23BB5"/>
    <w:rsid w:val="00E2768B"/>
    <w:rsid w:val="00E319DF"/>
    <w:rsid w:val="00E31A50"/>
    <w:rsid w:val="00E335FE"/>
    <w:rsid w:val="00E34B12"/>
    <w:rsid w:val="00E52639"/>
    <w:rsid w:val="00E562C3"/>
    <w:rsid w:val="00E62A29"/>
    <w:rsid w:val="00E66CC5"/>
    <w:rsid w:val="00E7374D"/>
    <w:rsid w:val="00E75AD4"/>
    <w:rsid w:val="00E7728B"/>
    <w:rsid w:val="00E8192E"/>
    <w:rsid w:val="00E86041"/>
    <w:rsid w:val="00E96A49"/>
    <w:rsid w:val="00EA7D6E"/>
    <w:rsid w:val="00EB2F76"/>
    <w:rsid w:val="00EB73D3"/>
    <w:rsid w:val="00EC2E91"/>
    <w:rsid w:val="00EC31FD"/>
    <w:rsid w:val="00EC438D"/>
    <w:rsid w:val="00EC4E49"/>
    <w:rsid w:val="00ED77FB"/>
    <w:rsid w:val="00EE066C"/>
    <w:rsid w:val="00EE2A9E"/>
    <w:rsid w:val="00EE45FA"/>
    <w:rsid w:val="00EF1526"/>
    <w:rsid w:val="00F00A33"/>
    <w:rsid w:val="00F043DE"/>
    <w:rsid w:val="00F21CD6"/>
    <w:rsid w:val="00F308E3"/>
    <w:rsid w:val="00F54B6A"/>
    <w:rsid w:val="00F61133"/>
    <w:rsid w:val="00F66152"/>
    <w:rsid w:val="00F80D80"/>
    <w:rsid w:val="00F828CF"/>
    <w:rsid w:val="00F9165B"/>
    <w:rsid w:val="00F97813"/>
    <w:rsid w:val="00FB2094"/>
    <w:rsid w:val="00FB3239"/>
    <w:rsid w:val="00FB6500"/>
    <w:rsid w:val="00FC444D"/>
    <w:rsid w:val="00FC482F"/>
    <w:rsid w:val="00FD4E84"/>
    <w:rsid w:val="00FD7167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2F62B"/>
  <w15:docId w15:val="{22DD35E5-C3E8-4DF4-8821-A609DA1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2178B"/>
    <w:pPr>
      <w:keepNext/>
      <w:spacing w:before="240" w:after="60"/>
      <w:outlineLvl w:val="1"/>
    </w:pPr>
    <w:rPr>
      <w:caps/>
      <w:sz w:val="28"/>
      <w:szCs w:val="28"/>
      <w:lang w:bidi="ar-MA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002C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FD71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54"/>
    <w:rPr>
      <w:color w:val="808080"/>
    </w:rPr>
  </w:style>
  <w:style w:type="character" w:styleId="Hyperlink">
    <w:name w:val="Hyperlink"/>
    <w:basedOn w:val="DefaultParagraphFont"/>
    <w:unhideWhenUsed/>
    <w:rsid w:val="00D165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47B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1356-6759-41EF-9191-F9C3C432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1224</Words>
  <Characters>6512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CWS/12/21</dc:title>
  <dc:subject/>
  <dc:creator>WIPO</dc:creator>
  <cp:keywords>اللجنة المعنية بمعايير الويبو الدورة الثانية عشرة</cp:keywords>
  <cp:lastModifiedBy>BLANCHET Gaspard</cp:lastModifiedBy>
  <cp:revision>16</cp:revision>
  <dcterms:created xsi:type="dcterms:W3CDTF">2024-08-21T05:37:00Z</dcterms:created>
  <dcterms:modified xsi:type="dcterms:W3CDTF">2024-08-21T12:53:00Z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2023-10-25T07:46:12Z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75a57686-b5c9-4d10-9bf7-5313873bb00e</vt:lpwstr>
  </property>
  <property fmtid="{D5CDD505-2E9C-101B-9397-08002B2CF9AE}" pid="8" name="MSIP_Label_20773ee6-353b-4fb9-a59d-0b94c8c67bea_ContentBits">
    <vt:lpwstr>0</vt:lpwstr>
  </property>
</Properties>
</file>