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D316E" w14:textId="6B844C04" w:rsidR="008B2CC1" w:rsidRPr="00F043DE" w:rsidRDefault="00CC3E2D" w:rsidP="003119BF">
      <w:pPr>
        <w:pStyle w:val="Caption"/>
        <w:bidi w:val="0"/>
      </w:pPr>
      <w:r w:rsidRPr="00CC3E2D">
        <w:rPr>
          <w:noProof/>
          <w:lang w:val="en-CA" w:eastAsia="en-CA"/>
        </w:rPr>
        <mc:AlternateContent>
          <mc:Choice Requires="wpg">
            <w:drawing>
              <wp:inline distT="0" distB="0" distL="0" distR="0" wp14:anchorId="7D3B822F" wp14:editId="6EFE4BB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0400E1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r w:rsidR="003119BF" w:rsidRPr="00601760">
        <w:rPr>
          <w:rFonts w:ascii="Arial Black" w:hAnsi="Arial Black"/>
          <w:caps/>
          <w:noProof/>
          <w:sz w:val="15"/>
          <w:szCs w:val="15"/>
          <w:lang w:eastAsia="en-US"/>
        </w:rPr>
        <mc:AlternateContent>
          <mc:Choice Requires="wps">
            <w:drawing>
              <wp:inline distT="0" distB="0" distL="0" distR="0" wp14:anchorId="4D652938" wp14:editId="3CEB153F">
                <wp:extent cx="5935980" cy="0"/>
                <wp:effectExtent l="0" t="0" r="26670" b="19050"/>
                <wp:docPr id="677282157" name="Straight Connector 67728215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1F3634" id="Straight Connector 67728215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70E3F59" w14:textId="16CC5FF3"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A410A9">
        <w:rPr>
          <w:rFonts w:ascii="Arial Black" w:hAnsi="Arial Black"/>
          <w:caps/>
          <w:sz w:val="15"/>
          <w:szCs w:val="15"/>
        </w:rPr>
        <w:t>2</w:t>
      </w:r>
      <w:r w:rsidR="00FE5D75" w:rsidRPr="00FE5D75">
        <w:rPr>
          <w:rFonts w:ascii="Arial Black" w:hAnsi="Arial Black"/>
          <w:caps/>
          <w:sz w:val="15"/>
          <w:szCs w:val="15"/>
        </w:rPr>
        <w:t>/</w:t>
      </w:r>
      <w:r w:rsidR="002C5AE1">
        <w:rPr>
          <w:rFonts w:ascii="Arial Black" w:hAnsi="Arial Black"/>
          <w:caps/>
          <w:sz w:val="15"/>
          <w:szCs w:val="15"/>
        </w:rPr>
        <w:t>23</w:t>
      </w:r>
      <w:r w:rsidR="003119BF">
        <w:rPr>
          <w:rFonts w:ascii="Arial Black" w:hAnsi="Arial Black"/>
          <w:caps/>
          <w:sz w:val="15"/>
          <w:szCs w:val="15"/>
        </w:rPr>
        <w:t xml:space="preserve"> REV.</w:t>
      </w:r>
    </w:p>
    <w:p w14:paraId="58A112DF" w14:textId="77777777" w:rsidR="008B2CC1" w:rsidRPr="002C5AE1" w:rsidRDefault="00CC3E2D" w:rsidP="00CC3E2D">
      <w:pPr>
        <w:jc w:val="right"/>
        <w:rPr>
          <w:rFonts w:asciiTheme="minorHAnsi" w:hAnsiTheme="minorHAnsi" w:cstheme="minorHAnsi"/>
          <w:b/>
          <w:bCs/>
          <w:caps/>
          <w:sz w:val="15"/>
          <w:szCs w:val="15"/>
          <w:rtl/>
          <w:lang w:bidi="ar-MA"/>
        </w:rPr>
      </w:pPr>
      <w:bookmarkStart w:id="1" w:name="Original"/>
      <w:r w:rsidRPr="002C5AE1">
        <w:rPr>
          <w:rFonts w:asciiTheme="minorHAnsi" w:hAnsiTheme="minorHAnsi" w:cstheme="minorHAnsi" w:hint="cs"/>
          <w:b/>
          <w:bCs/>
          <w:caps/>
          <w:sz w:val="15"/>
          <w:szCs w:val="15"/>
          <w:rtl/>
        </w:rPr>
        <w:t xml:space="preserve">الأصل: </w:t>
      </w:r>
      <w:r w:rsidR="002C5AE1" w:rsidRPr="002C5AE1">
        <w:rPr>
          <w:rFonts w:asciiTheme="minorHAnsi" w:hAnsiTheme="minorHAnsi" w:cstheme="minorHAnsi" w:hint="cs"/>
          <w:b/>
          <w:bCs/>
          <w:caps/>
          <w:sz w:val="15"/>
          <w:szCs w:val="15"/>
          <w:rtl/>
          <w:lang w:bidi="ar-MA"/>
        </w:rPr>
        <w:t>بالإنكليزية</w:t>
      </w:r>
    </w:p>
    <w:p w14:paraId="365DD12D" w14:textId="43DD9C40"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2C5AE1">
        <w:rPr>
          <w:rFonts w:asciiTheme="minorHAnsi" w:hAnsiTheme="minorHAnsi" w:cstheme="minorHAnsi" w:hint="cs"/>
          <w:b/>
          <w:bCs/>
          <w:caps/>
          <w:sz w:val="15"/>
          <w:szCs w:val="15"/>
          <w:rtl/>
        </w:rPr>
        <w:t>12 س</w:t>
      </w:r>
      <w:r w:rsidR="003119BF">
        <w:rPr>
          <w:rFonts w:asciiTheme="minorHAnsi" w:hAnsiTheme="minorHAnsi" w:cstheme="minorHAnsi" w:hint="cs"/>
          <w:b/>
          <w:bCs/>
          <w:caps/>
          <w:sz w:val="15"/>
          <w:szCs w:val="15"/>
          <w:rtl/>
        </w:rPr>
        <w:t>بتمبر</w:t>
      </w:r>
      <w:r w:rsidR="002C5AE1">
        <w:rPr>
          <w:rFonts w:asciiTheme="minorHAnsi" w:hAnsiTheme="minorHAnsi" w:cstheme="minorHAnsi" w:hint="cs"/>
          <w:b/>
          <w:bCs/>
          <w:caps/>
          <w:sz w:val="15"/>
          <w:szCs w:val="15"/>
          <w:rtl/>
        </w:rPr>
        <w:t xml:space="preserve"> 2024</w:t>
      </w:r>
    </w:p>
    <w:bookmarkEnd w:id="2"/>
    <w:p w14:paraId="482E6EDC"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385FBAA6"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410A9">
        <w:rPr>
          <w:rFonts w:asciiTheme="minorHAnsi" w:hAnsiTheme="minorHAnsi" w:cstheme="minorHAnsi" w:hint="cs"/>
          <w:bCs/>
          <w:sz w:val="24"/>
          <w:szCs w:val="24"/>
          <w:rtl/>
        </w:rPr>
        <w:t>الثانية</w:t>
      </w:r>
      <w:r w:rsidR="00E15F75">
        <w:rPr>
          <w:rFonts w:asciiTheme="minorHAnsi" w:hAnsiTheme="minorHAnsi" w:cstheme="minorHAnsi" w:hint="cs"/>
          <w:bCs/>
          <w:sz w:val="24"/>
          <w:szCs w:val="24"/>
          <w:rtl/>
        </w:rPr>
        <w:t xml:space="preserve"> عشرة</w:t>
      </w:r>
    </w:p>
    <w:p w14:paraId="4B884C25"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410A9">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A410A9">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A410A9">
        <w:rPr>
          <w:rFonts w:asciiTheme="minorHAnsi" w:hAnsiTheme="minorHAnsi" w:cstheme="minorHAnsi" w:hint="cs"/>
          <w:bCs/>
          <w:sz w:val="24"/>
          <w:szCs w:val="24"/>
          <w:rtl/>
        </w:rPr>
        <w:t>سبتمبر</w:t>
      </w:r>
      <w:r w:rsidR="00250149">
        <w:rPr>
          <w:rFonts w:asciiTheme="minorHAnsi" w:hAnsiTheme="minorHAnsi" w:cstheme="minorHAnsi" w:hint="cs"/>
          <w:bCs/>
          <w:sz w:val="24"/>
          <w:szCs w:val="24"/>
          <w:rtl/>
        </w:rPr>
        <w:t xml:space="preserve"> </w:t>
      </w:r>
      <w:r w:rsidR="00A410A9">
        <w:rPr>
          <w:rFonts w:asciiTheme="minorHAnsi" w:hAnsiTheme="minorHAnsi" w:cstheme="minorHAnsi" w:hint="cs"/>
          <w:bCs/>
          <w:sz w:val="24"/>
          <w:szCs w:val="24"/>
          <w:rtl/>
        </w:rPr>
        <w:t>2024</w:t>
      </w:r>
    </w:p>
    <w:p w14:paraId="46DDF91D" w14:textId="77777777" w:rsidR="008B2CC1" w:rsidRPr="00424643" w:rsidRDefault="002C5AE1" w:rsidP="00262607">
      <w:pPr>
        <w:spacing w:after="360"/>
        <w:outlineLvl w:val="0"/>
        <w:rPr>
          <w:rFonts w:asciiTheme="minorHAnsi" w:hAnsiTheme="minorHAnsi" w:cstheme="minorHAnsi"/>
          <w:caps/>
          <w:sz w:val="28"/>
          <w:szCs w:val="28"/>
          <w:rtl/>
        </w:rPr>
      </w:pPr>
      <w:bookmarkStart w:id="3" w:name="TitleOfDoc"/>
      <w:r w:rsidRPr="00424643">
        <w:rPr>
          <w:rFonts w:asciiTheme="minorHAnsi" w:hAnsiTheme="minorHAnsi" w:cstheme="minorHAnsi" w:hint="cs"/>
          <w:caps/>
          <w:sz w:val="28"/>
          <w:szCs w:val="28"/>
          <w:rtl/>
        </w:rPr>
        <w:t>اقتراح توصيات بشأن إطار ومنصة تبادل البيانات</w:t>
      </w:r>
    </w:p>
    <w:p w14:paraId="4CAAA6ED" w14:textId="77777777" w:rsidR="00424643" w:rsidRPr="00262607" w:rsidRDefault="00424643" w:rsidP="00262607">
      <w:pPr>
        <w:spacing w:after="360"/>
        <w:outlineLvl w:val="0"/>
        <w:rPr>
          <w:rFonts w:asciiTheme="minorHAnsi" w:hAnsiTheme="minorHAnsi" w:cstheme="minorHAnsi"/>
          <w:caps/>
          <w:sz w:val="24"/>
          <w:szCs w:val="24"/>
        </w:rPr>
      </w:pPr>
      <w:r>
        <w:rPr>
          <w:rFonts w:asciiTheme="minorHAnsi" w:hAnsiTheme="minorHAnsi" w:cstheme="minorHAnsi" w:hint="cs"/>
          <w:caps/>
          <w:sz w:val="24"/>
          <w:szCs w:val="24"/>
          <w:rtl/>
        </w:rPr>
        <w:t>وثيقة من إعداد المكتب الدولي</w:t>
      </w:r>
    </w:p>
    <w:p w14:paraId="49D2A053" w14:textId="77777777" w:rsidR="007969D1" w:rsidRPr="008A56CE" w:rsidRDefault="002C5AE1" w:rsidP="008A56CE">
      <w:pPr>
        <w:pStyle w:val="Heading2"/>
        <w:rPr>
          <w:b/>
          <w:bCs w:val="0"/>
          <w:rtl/>
        </w:rPr>
      </w:pPr>
      <w:bookmarkStart w:id="4" w:name="Prepared"/>
      <w:bookmarkEnd w:id="3"/>
      <w:bookmarkEnd w:id="4"/>
      <w:r w:rsidRPr="008A56CE">
        <w:rPr>
          <w:rFonts w:hint="cs"/>
          <w:i/>
          <w:iCs w:val="0"/>
          <w:rtl/>
        </w:rPr>
        <w:t>ملخص</w:t>
      </w:r>
    </w:p>
    <w:p w14:paraId="305D5BE8" w14:textId="77777777" w:rsidR="002C5AE1" w:rsidRDefault="002C5AE1" w:rsidP="008A56CE">
      <w:pPr>
        <w:pStyle w:val="ONUMA"/>
        <w:rPr>
          <w:rtl/>
        </w:rPr>
      </w:pPr>
      <w:r>
        <w:rPr>
          <w:rFonts w:hint="cs"/>
          <w:rtl/>
        </w:rPr>
        <w:t>بعد نتائج الدورة الحادية عشرة للجنة المعنية بمعايير الويبو (لجنة المعايير)، قدم وفدا اليابان والمملكة العربية السعودية موجز</w:t>
      </w:r>
      <w:r>
        <w:t xml:space="preserve"> </w:t>
      </w:r>
      <w:r>
        <w:rPr>
          <w:rFonts w:hint="cs"/>
          <w:rtl/>
          <w:lang w:bidi="ar-MA"/>
        </w:rPr>
        <w:t xml:space="preserve">مشروع </w:t>
      </w:r>
      <w:r w:rsidR="005E0A3B">
        <w:rPr>
          <w:rFonts w:hint="cs"/>
          <w:rtl/>
        </w:rPr>
        <w:t xml:space="preserve">موحد </w:t>
      </w:r>
      <w:r w:rsidR="005E0A3B">
        <w:rPr>
          <w:rFonts w:hint="cs"/>
          <w:rtl/>
          <w:lang w:bidi="ar-MA"/>
        </w:rPr>
        <w:t xml:space="preserve">بشأن </w:t>
      </w:r>
      <w:r>
        <w:rPr>
          <w:rFonts w:hint="cs"/>
          <w:rtl/>
        </w:rPr>
        <w:t>تبادل بيانات الملكية الفكرية. وفي ضوء الاقتراح المقدم، يقترح المكتب الدولي إضافة مهمة جديدة إلى برنامج عمل لجنة المعايير وإنشاء فرقة عمل معنية بها.</w:t>
      </w:r>
    </w:p>
    <w:p w14:paraId="089B9F43" w14:textId="77777777" w:rsidR="002C5AE1" w:rsidRPr="008A56CE" w:rsidRDefault="002C5AE1" w:rsidP="002C5AE1">
      <w:pPr>
        <w:pStyle w:val="Heading2"/>
        <w:rPr>
          <w:i/>
          <w:iCs w:val="0"/>
          <w:rtl/>
        </w:rPr>
      </w:pPr>
      <w:r w:rsidRPr="008A56CE">
        <w:rPr>
          <w:rFonts w:hint="cs"/>
          <w:i/>
          <w:iCs w:val="0"/>
          <w:rtl/>
        </w:rPr>
        <w:t>معلومات أساسية</w:t>
      </w:r>
    </w:p>
    <w:p w14:paraId="553987DC" w14:textId="77777777" w:rsidR="002C5AE1" w:rsidRPr="00F512E7" w:rsidRDefault="002C5AE1" w:rsidP="002C5AE1">
      <w:pPr>
        <w:pStyle w:val="Heading3"/>
        <w:rPr>
          <w:rtl/>
        </w:rPr>
      </w:pPr>
      <w:r>
        <w:rPr>
          <w:rFonts w:hint="cs"/>
          <w:rtl/>
        </w:rPr>
        <w:t>اقتراحات تبادل البيانات في الدورة الحادية عشرة للجنة المعايير</w:t>
      </w:r>
    </w:p>
    <w:p w14:paraId="150CBC9B" w14:textId="47638C19" w:rsidR="00E24A15" w:rsidRDefault="002C5AE1" w:rsidP="00E24A15">
      <w:pPr>
        <w:pStyle w:val="ONUMA"/>
        <w:rPr>
          <w:rtl/>
        </w:rPr>
      </w:pPr>
      <w:r>
        <w:rPr>
          <w:rFonts w:hint="cs"/>
          <w:rtl/>
        </w:rPr>
        <w:t>في الدورة الحادية عشرة للجنة المعايير، قدم وفدا اليابان والمملكة العربية السعودية اقتراحين منفصلين يتعلقان بحل الم</w:t>
      </w:r>
      <w:r>
        <w:rPr>
          <w:rFonts w:hint="cs"/>
          <w:rtl/>
          <w:lang w:bidi="ar-MA"/>
        </w:rPr>
        <w:t>سائل</w:t>
      </w:r>
      <w:r>
        <w:rPr>
          <w:rFonts w:hint="cs"/>
          <w:rtl/>
        </w:rPr>
        <w:t xml:space="preserve"> التي </w:t>
      </w:r>
      <w:proofErr w:type="spellStart"/>
      <w:r>
        <w:rPr>
          <w:rFonts w:hint="cs"/>
          <w:rtl/>
        </w:rPr>
        <w:t>يواجهانها</w:t>
      </w:r>
      <w:proofErr w:type="spellEnd"/>
      <w:r>
        <w:rPr>
          <w:rFonts w:hint="cs"/>
          <w:rtl/>
        </w:rPr>
        <w:t xml:space="preserve"> في إرساء ما يلزم لتبادل بيانات الملكية الفكرية مع مكاتب أخرى. ولإيجاد حلول، اقترح الوفدان إضافة مهمتين إلى برنامج عمل لجنة المعايير على التوالي. واقترح وفد اليابان إنشاء إطار يضع إرشادات بشأن سياسات تبادل بيانات الملكية الفكرية، والترخيص لاستخدامها من طرف ثالث، وتوفير بيانات تتسم بالجودة من المنبع </w:t>
      </w:r>
      <w:r w:rsidRPr="00057E6D">
        <w:rPr>
          <w:rFonts w:hint="cs"/>
          <w:rtl/>
        </w:rPr>
        <w:t>من خلال</w:t>
      </w:r>
      <w:r w:rsidR="005E0A3B">
        <w:rPr>
          <w:rFonts w:hint="cs"/>
          <w:rtl/>
        </w:rPr>
        <w:t xml:space="preserve"> توفير</w:t>
      </w:r>
      <w:r w:rsidRPr="00057E6D">
        <w:rPr>
          <w:rFonts w:hint="cs"/>
          <w:rtl/>
          <w:lang w:bidi="ar-MA"/>
        </w:rPr>
        <w:t xml:space="preserve"> ما يناسب</w:t>
      </w:r>
      <w:r>
        <w:rPr>
          <w:rFonts w:hint="cs"/>
          <w:rtl/>
        </w:rPr>
        <w:t xml:space="preserve"> </w:t>
      </w:r>
      <w:r>
        <w:rPr>
          <w:rFonts w:hint="cs"/>
          <w:rtl/>
          <w:lang w:bidi="ar-MA"/>
        </w:rPr>
        <w:t xml:space="preserve">في </w:t>
      </w:r>
      <w:proofErr w:type="spellStart"/>
      <w:r>
        <w:rPr>
          <w:rFonts w:hint="cs"/>
          <w:rtl/>
        </w:rPr>
        <w:t>الرقمنة</w:t>
      </w:r>
      <w:proofErr w:type="spellEnd"/>
      <w:r>
        <w:rPr>
          <w:rFonts w:hint="cs"/>
          <w:rtl/>
        </w:rPr>
        <w:t xml:space="preserve"> وهيكل البيانات ونسق تبادلها، ويفضل أن يكون ذلك من خلال استخدام معايير الويبو (انظر الوثيقة </w:t>
      </w:r>
      <w:hyperlink r:id="rId12" w:history="1">
        <w:r w:rsidRPr="003119BF">
          <w:rPr>
            <w:rStyle w:val="Hyperlink"/>
          </w:rPr>
          <w:t>CWS/11/16</w:t>
        </w:r>
      </w:hyperlink>
      <w:r>
        <w:rPr>
          <w:rFonts w:hint="cs"/>
          <w:rtl/>
        </w:rPr>
        <w:t xml:space="preserve">). واقترح وفد المملكة العربية السعودية إنشاء منصة عالمية لتبادل البيانات، تحت إشراف الويبو، تهدف إلى تنسيق وتوحيد بيانات الملكية الفكرية المقدمة من مصادر مختلفة (انظر الوثيقة </w:t>
      </w:r>
      <w:hyperlink r:id="rId13" w:history="1">
        <w:r w:rsidRPr="003119BF">
          <w:rPr>
            <w:rStyle w:val="Hyperlink"/>
          </w:rPr>
          <w:t>CWS/11/25</w:t>
        </w:r>
      </w:hyperlink>
      <w:r>
        <w:rPr>
          <w:rFonts w:hint="cs"/>
          <w:rtl/>
        </w:rPr>
        <w:t>).</w:t>
      </w:r>
    </w:p>
    <w:p w14:paraId="62DEDFB1" w14:textId="77777777" w:rsidR="002C5AE1" w:rsidRDefault="002C5AE1" w:rsidP="008A56CE">
      <w:pPr>
        <w:pStyle w:val="ONUMA"/>
      </w:pPr>
      <w:r>
        <w:rPr>
          <w:rFonts w:hint="cs"/>
          <w:rtl/>
        </w:rPr>
        <w:t xml:space="preserve">وأشارت اللجنة في دورتها الحادية عشرة إلى أن العديد من الوفود اعتبرت أن الاقتراحين مترابطان واقترحت أن يعمل الوفدان مقدما الاقتراح معا </w:t>
      </w:r>
      <w:r>
        <w:rPr>
          <w:rFonts w:hint="cs"/>
          <w:rtl/>
          <w:lang w:bidi="ar-MA"/>
        </w:rPr>
        <w:t xml:space="preserve">على </w:t>
      </w:r>
      <w:r>
        <w:rPr>
          <w:rFonts w:hint="cs"/>
          <w:rtl/>
        </w:rPr>
        <w:t xml:space="preserve">إعداد اقتراح موحد يتضمن أهدافا أكثر واقعية وقابلية للتحقيق في المستقبل القريب (انظر الفقرة 175 من الوثيقة </w:t>
      </w:r>
      <w:r>
        <w:t>CWS/11/28</w:t>
      </w:r>
      <w:r>
        <w:rPr>
          <w:rFonts w:hint="cs"/>
          <w:rtl/>
        </w:rPr>
        <w:t xml:space="preserve">). </w:t>
      </w:r>
    </w:p>
    <w:p w14:paraId="1B387ABF" w14:textId="77777777" w:rsidR="002C5AE1" w:rsidRDefault="002C5AE1" w:rsidP="008A56CE">
      <w:pPr>
        <w:pStyle w:val="ONUMA"/>
        <w:rPr>
          <w:rtl/>
        </w:rPr>
      </w:pPr>
      <w:r>
        <w:rPr>
          <w:rFonts w:hint="cs"/>
          <w:rtl/>
        </w:rPr>
        <w:t xml:space="preserve">وفي الدورة نفسها، اقترح الوفدان، مع مراعاة التعليقات الواردة من الوفود، مهمة مشتركة واحدة وفرقة عمل واحدة مع الوصف التالي للمهمة المشتركة: </w:t>
      </w:r>
    </w:p>
    <w:p w14:paraId="60C9A503" w14:textId="77777777" w:rsidR="002C5AE1" w:rsidRDefault="002C5AE1" w:rsidP="002C5AE1">
      <w:pPr>
        <w:spacing w:after="240"/>
        <w:ind w:left="567"/>
        <w:rPr>
          <w:rtl/>
        </w:rPr>
      </w:pPr>
      <w:r>
        <w:rPr>
          <w:rFonts w:hint="cs"/>
          <w:rtl/>
        </w:rPr>
        <w:t xml:space="preserve">"تحليل ممارسات مكاتب الملكية الفكرية والتحديات التي تواجهها، في تبادل بياناتها؛ واستكشاف الحلول التقنية؛ وإعداد توصيات بشأن تبادل بيانات الملكية الفكرية" </w:t>
      </w:r>
    </w:p>
    <w:p w14:paraId="32CC43B3" w14:textId="77777777" w:rsidR="002C5AE1" w:rsidRDefault="002C5AE1" w:rsidP="002C5AE1">
      <w:pPr>
        <w:spacing w:after="240"/>
        <w:rPr>
          <w:rtl/>
        </w:rPr>
      </w:pPr>
      <w:r>
        <w:rPr>
          <w:rFonts w:hint="cs"/>
          <w:rtl/>
        </w:rPr>
        <w:lastRenderedPageBreak/>
        <w:t xml:space="preserve">وأحاطت لجنة المعايير بتأييد العديد من الوفود صراحة </w:t>
      </w:r>
      <w:r w:rsidRPr="00057E6D">
        <w:rPr>
          <w:rFonts w:hint="cs"/>
          <w:rtl/>
        </w:rPr>
        <w:t>وصف المهمة الجديد</w:t>
      </w:r>
      <w:r w:rsidRPr="00057E6D">
        <w:rPr>
          <w:rFonts w:hint="cs"/>
          <w:rtl/>
          <w:lang w:bidi="ar-MA"/>
        </w:rPr>
        <w:t>ة</w:t>
      </w:r>
      <w:r w:rsidRPr="00057E6D">
        <w:rPr>
          <w:rFonts w:hint="cs"/>
          <w:rtl/>
        </w:rPr>
        <w:t xml:space="preserve"> فضلا</w:t>
      </w:r>
      <w:r>
        <w:rPr>
          <w:rFonts w:hint="cs"/>
          <w:rtl/>
        </w:rPr>
        <w:t xml:space="preserve"> عن تطوع وفدي اليابان والمملكة العربية السعودية للمشاركة في الإشراف على فرقة العمل المشتركة مع المكتب الدولي حين إنشائها. بيد أنه لم يكن هناك توافق في الآراء بشأن إنشاء المهمة أو فرقة العمل هذه (انظر الفقرتين 176 و177 من الوثيقة </w:t>
      </w:r>
      <w:r>
        <w:t>CWS/11/28</w:t>
      </w:r>
      <w:r>
        <w:rPr>
          <w:rFonts w:hint="cs"/>
          <w:rtl/>
        </w:rPr>
        <w:t>).</w:t>
      </w:r>
    </w:p>
    <w:p w14:paraId="614DFB2C" w14:textId="77777777" w:rsidR="002C5AE1" w:rsidRPr="00F3485B" w:rsidRDefault="002C5AE1" w:rsidP="008A56CE">
      <w:pPr>
        <w:pStyle w:val="ONUMA"/>
        <w:rPr>
          <w:rtl/>
        </w:rPr>
      </w:pPr>
      <w:r>
        <w:rPr>
          <w:rFonts w:hint="cs"/>
          <w:rtl/>
        </w:rPr>
        <w:t xml:space="preserve">وطلبت لجنة المعايير، في دورتها الحادية عشرة، من الأمانة إصدار تعميم </w:t>
      </w:r>
      <w:r>
        <w:rPr>
          <w:rFonts w:hint="cs"/>
          <w:rtl/>
          <w:lang w:bidi="ar-MA"/>
        </w:rPr>
        <w:t>ت</w:t>
      </w:r>
      <w:proofErr w:type="spellStart"/>
      <w:r>
        <w:rPr>
          <w:rFonts w:hint="cs"/>
          <w:rtl/>
        </w:rPr>
        <w:t>دعو</w:t>
      </w:r>
      <w:proofErr w:type="spellEnd"/>
      <w:r>
        <w:rPr>
          <w:rFonts w:hint="cs"/>
          <w:rtl/>
        </w:rPr>
        <w:t xml:space="preserve"> فيه أعضائها لغرض جمع المعلومات اللازمة حتى يتسنى لوفدي اليابان والمملكة العربية السعودية إعداد اقتراح موحد محسّن وتقديمه إلى الدورة الثانية عشرة للجنة. وعلى أساس الاقتراح الموحد، ستنظر لجنة المعايير في إنشاء المهمة الجديدة وفرقة العمل الجديدة في دورتها الثانية عشرة (انظر الفقرتين 178 و179 من الوثيقة </w:t>
      </w:r>
      <w:r>
        <w:t>CWS/11/28</w:t>
      </w:r>
      <w:r>
        <w:rPr>
          <w:rFonts w:hint="cs"/>
          <w:rtl/>
        </w:rPr>
        <w:t xml:space="preserve">).  </w:t>
      </w:r>
    </w:p>
    <w:p w14:paraId="07A9BC53" w14:textId="77777777" w:rsidR="002C5AE1" w:rsidRPr="00F3485B" w:rsidRDefault="002C5AE1" w:rsidP="002C5AE1">
      <w:pPr>
        <w:pStyle w:val="Heading3"/>
        <w:rPr>
          <w:b/>
          <w:iCs/>
          <w:caps/>
          <w:rtl/>
        </w:rPr>
      </w:pPr>
      <w:r>
        <w:rPr>
          <w:rFonts w:hint="cs"/>
          <w:rtl/>
        </w:rPr>
        <w:t>دراسة استقصائية بشأن تبادل بينات الملكية الفكرية</w:t>
      </w:r>
    </w:p>
    <w:p w14:paraId="15AA80DD" w14:textId="77777777" w:rsidR="002C5AE1" w:rsidRDefault="002C5AE1" w:rsidP="008A56CE">
      <w:pPr>
        <w:pStyle w:val="ONUMA"/>
        <w:rPr>
          <w:rtl/>
        </w:rPr>
      </w:pPr>
      <w:r>
        <w:rPr>
          <w:rFonts w:hint="cs"/>
          <w:rtl/>
        </w:rPr>
        <w:t xml:space="preserve">في إطار متابعة القرارات المتخذة في الدورة الحادية عشرة للجنة المعايير، دعت الأمانة، في مايو 2024، أعضاء اللجنة إلى المشاركة في دراسة استقصائية </w:t>
      </w:r>
      <w:r>
        <w:rPr>
          <w:rFonts w:hint="cs"/>
          <w:rtl/>
          <w:lang w:bidi="ar-MA"/>
        </w:rPr>
        <w:t>طلبت</w:t>
      </w:r>
      <w:r>
        <w:rPr>
          <w:rFonts w:hint="cs"/>
          <w:rtl/>
        </w:rPr>
        <w:t xml:space="preserve"> معلومات من المكاتب بشأن المشكلات التي يُحتمل أنها تواجهها في تبادل بيانات الملكية الفكرية والحلول المحتملة (يشار إليها فيما يلي باسم "دراسة استقصائية بشأن تبادل بيانات </w:t>
      </w:r>
      <w:proofErr w:type="spellStart"/>
      <w:r>
        <w:rPr>
          <w:rFonts w:hint="cs"/>
          <w:rtl/>
        </w:rPr>
        <w:t>الملكلية</w:t>
      </w:r>
      <w:proofErr w:type="spellEnd"/>
      <w:r>
        <w:rPr>
          <w:rFonts w:hint="cs"/>
          <w:rtl/>
        </w:rPr>
        <w:t xml:space="preserve"> الفكرية").  </w:t>
      </w:r>
    </w:p>
    <w:p w14:paraId="491E676A" w14:textId="6F09B60A" w:rsidR="002C5AE1" w:rsidRDefault="002C5AE1" w:rsidP="008A56CE">
      <w:pPr>
        <w:pStyle w:val="ONUMA"/>
        <w:rPr>
          <w:rtl/>
        </w:rPr>
      </w:pPr>
      <w:r>
        <w:rPr>
          <w:rFonts w:hint="cs"/>
          <w:rtl/>
        </w:rPr>
        <w:t>وورد س</w:t>
      </w:r>
      <w:r w:rsidR="003119BF">
        <w:rPr>
          <w:rFonts w:hint="cs"/>
          <w:rtl/>
          <w:lang w:val="fr-CH" w:bidi="ar-SY"/>
        </w:rPr>
        <w:t>بعة</w:t>
      </w:r>
      <w:r>
        <w:rPr>
          <w:rFonts w:hint="cs"/>
          <w:rtl/>
        </w:rPr>
        <w:t xml:space="preserve"> </w:t>
      </w:r>
      <w:r w:rsidRPr="005A55C8">
        <w:rPr>
          <w:rFonts w:hint="cs"/>
          <w:rtl/>
        </w:rPr>
        <w:t>وثلاثين ردا كاملا من المكاتب</w:t>
      </w:r>
      <w:r>
        <w:rPr>
          <w:rFonts w:hint="cs"/>
          <w:rtl/>
        </w:rPr>
        <w:t xml:space="preserve"> على الدراسة الاستقصائية في الدول الأعضاء التالية: أرمينيا (</w:t>
      </w:r>
      <w:r>
        <w:rPr>
          <w:lang w:val="fr-CA"/>
        </w:rPr>
        <w:t>(</w:t>
      </w:r>
      <w:r>
        <w:t>AM</w:t>
      </w:r>
      <w:r>
        <w:rPr>
          <w:rFonts w:hint="cs"/>
          <w:rtl/>
        </w:rPr>
        <w:t>، والنمسا</w:t>
      </w:r>
      <w:r>
        <w:t xml:space="preserve">(AT) </w:t>
      </w:r>
      <w:r>
        <w:rPr>
          <w:rFonts w:hint="cs"/>
          <w:rtl/>
        </w:rPr>
        <w:t xml:space="preserve"> وأستراليا </w:t>
      </w:r>
      <w:r>
        <w:t>(AU)</w:t>
      </w:r>
      <w:r>
        <w:rPr>
          <w:rFonts w:hint="cs"/>
          <w:rtl/>
          <w:lang w:bidi="ar-MA"/>
        </w:rPr>
        <w:t xml:space="preserve">، </w:t>
      </w:r>
      <w:r>
        <w:rPr>
          <w:rFonts w:hint="cs"/>
          <w:rtl/>
        </w:rPr>
        <w:t xml:space="preserve">وأذربيجان </w:t>
      </w:r>
      <w:r>
        <w:t>(AZ)</w:t>
      </w:r>
      <w:r>
        <w:rPr>
          <w:rFonts w:hint="cs"/>
          <w:rtl/>
        </w:rPr>
        <w:t xml:space="preserve">، وبلغاريا </w:t>
      </w:r>
      <w:r>
        <w:t>(BG)</w:t>
      </w:r>
      <w:r>
        <w:rPr>
          <w:rFonts w:hint="cs"/>
          <w:rtl/>
        </w:rPr>
        <w:t xml:space="preserve">، والبحرين </w:t>
      </w:r>
      <w:r>
        <w:t>(BH)</w:t>
      </w:r>
      <w:r>
        <w:rPr>
          <w:rFonts w:hint="cs"/>
          <w:rtl/>
        </w:rPr>
        <w:t xml:space="preserve">، وكندا </w:t>
      </w:r>
      <w:r>
        <w:t>(CA)</w:t>
      </w:r>
      <w:r>
        <w:rPr>
          <w:rFonts w:hint="cs"/>
          <w:rtl/>
        </w:rPr>
        <w:t xml:space="preserve">، والصين </w:t>
      </w:r>
      <w:r>
        <w:t>(C</w:t>
      </w:r>
      <w:r>
        <w:rPr>
          <w:lang w:val="fr-CA"/>
        </w:rPr>
        <w:t>N</w:t>
      </w:r>
      <w:r>
        <w:t>)</w:t>
      </w:r>
      <w:r>
        <w:rPr>
          <w:rFonts w:hint="cs"/>
          <w:rtl/>
        </w:rPr>
        <w:t xml:space="preserve">، وألمانيا </w:t>
      </w:r>
      <w:r>
        <w:t>(DE)</w:t>
      </w:r>
      <w:r>
        <w:rPr>
          <w:rFonts w:hint="cs"/>
          <w:rtl/>
        </w:rPr>
        <w:t xml:space="preserve">، ومصر </w:t>
      </w:r>
      <w:r>
        <w:t>(EG)</w:t>
      </w:r>
      <w:r>
        <w:rPr>
          <w:rFonts w:hint="cs"/>
          <w:rtl/>
        </w:rPr>
        <w:t xml:space="preserve">، وإسبانيا </w:t>
      </w:r>
      <w:r>
        <w:t>(ES)</w:t>
      </w:r>
      <w:r>
        <w:rPr>
          <w:rFonts w:hint="cs"/>
          <w:rtl/>
        </w:rPr>
        <w:t xml:space="preserve">، وإثيوبيا </w:t>
      </w:r>
      <w:r>
        <w:t>(ET)</w:t>
      </w:r>
      <w:r>
        <w:rPr>
          <w:rFonts w:hint="cs"/>
          <w:rtl/>
        </w:rPr>
        <w:t xml:space="preserve">، وغامبيا </w:t>
      </w:r>
      <w:r>
        <w:t>(GM)</w:t>
      </w:r>
      <w:r>
        <w:rPr>
          <w:rFonts w:hint="cs"/>
          <w:rtl/>
        </w:rPr>
        <w:t xml:space="preserve">، وغينيا الاستوائية </w:t>
      </w:r>
      <w:r>
        <w:t>(GQ)</w:t>
      </w:r>
      <w:r>
        <w:rPr>
          <w:rFonts w:hint="cs"/>
          <w:rtl/>
        </w:rPr>
        <w:t xml:space="preserve">، وهندوراس </w:t>
      </w:r>
      <w:r>
        <w:t>(HN)</w:t>
      </w:r>
      <w:r>
        <w:rPr>
          <w:rFonts w:hint="cs"/>
          <w:rtl/>
        </w:rPr>
        <w:t xml:space="preserve">، وكرواتيا </w:t>
      </w:r>
      <w:r>
        <w:t>(HR)</w:t>
      </w:r>
      <w:r>
        <w:rPr>
          <w:rFonts w:hint="cs"/>
          <w:rtl/>
        </w:rPr>
        <w:t xml:space="preserve">، وهنغاريا </w:t>
      </w:r>
      <w:r>
        <w:t>(H</w:t>
      </w:r>
      <w:r>
        <w:rPr>
          <w:lang w:val="fr-CA"/>
        </w:rPr>
        <w:t>U</w:t>
      </w:r>
      <w:r>
        <w:t>)</w:t>
      </w:r>
      <w:r>
        <w:rPr>
          <w:rFonts w:hint="cs"/>
          <w:rtl/>
        </w:rPr>
        <w:t xml:space="preserve">، وإيطاليا </w:t>
      </w:r>
      <w:r>
        <w:t>(IT)</w:t>
      </w:r>
      <w:r>
        <w:rPr>
          <w:rFonts w:hint="cs"/>
          <w:rtl/>
        </w:rPr>
        <w:t xml:space="preserve">، واليابان </w:t>
      </w:r>
      <w:r>
        <w:t>(JP)</w:t>
      </w:r>
      <w:r>
        <w:rPr>
          <w:rFonts w:hint="cs"/>
          <w:rtl/>
        </w:rPr>
        <w:t>، وكينيا (</w:t>
      </w:r>
      <w:r>
        <w:t>KE</w:t>
      </w:r>
      <w:r>
        <w:rPr>
          <w:rFonts w:hint="cs"/>
          <w:rtl/>
        </w:rPr>
        <w:t xml:space="preserve">)، وقيرغيزستان </w:t>
      </w:r>
      <w:r>
        <w:t>(KG)</w:t>
      </w:r>
      <w:r>
        <w:rPr>
          <w:rFonts w:hint="cs"/>
          <w:rtl/>
        </w:rPr>
        <w:t xml:space="preserve">، وجمهورية كوريا </w:t>
      </w:r>
      <w:r>
        <w:t>(KR)</w:t>
      </w:r>
      <w:r>
        <w:rPr>
          <w:rFonts w:hint="cs"/>
          <w:rtl/>
        </w:rPr>
        <w:t xml:space="preserve">، وليبيريا </w:t>
      </w:r>
      <w:r>
        <w:t>(LR)</w:t>
      </w:r>
      <w:r>
        <w:rPr>
          <w:rFonts w:hint="cs"/>
          <w:rtl/>
        </w:rPr>
        <w:t>، ومنغوليا</w:t>
      </w:r>
      <w:r>
        <w:t xml:space="preserve">(MN) </w:t>
      </w:r>
      <w:r>
        <w:rPr>
          <w:rFonts w:hint="cs"/>
          <w:rtl/>
        </w:rPr>
        <w:t xml:space="preserve">، ونيجيريا </w:t>
      </w:r>
      <w:r>
        <w:t>(NG)</w:t>
      </w:r>
      <w:r>
        <w:rPr>
          <w:rFonts w:hint="cs"/>
          <w:rtl/>
        </w:rPr>
        <w:t xml:space="preserve">، وبولندا </w:t>
      </w:r>
      <w:r>
        <w:t>(PL)</w:t>
      </w:r>
      <w:r>
        <w:rPr>
          <w:rFonts w:hint="cs"/>
          <w:rtl/>
        </w:rPr>
        <w:t xml:space="preserve">، وصربيا </w:t>
      </w:r>
      <w:r>
        <w:t>(RS)</w:t>
      </w:r>
      <w:r>
        <w:rPr>
          <w:rFonts w:hint="cs"/>
          <w:rtl/>
        </w:rPr>
        <w:t xml:space="preserve">، </w:t>
      </w:r>
      <w:r w:rsidR="003119BF">
        <w:rPr>
          <w:rFonts w:hint="cs"/>
          <w:rtl/>
        </w:rPr>
        <w:t>والاتحاد الروسي (</w:t>
      </w:r>
      <w:r w:rsidR="003119BF" w:rsidRPr="003119BF">
        <w:t>RU</w:t>
      </w:r>
      <w:r w:rsidR="003119BF">
        <w:rPr>
          <w:rFonts w:hint="cs"/>
          <w:rtl/>
        </w:rPr>
        <w:t xml:space="preserve">)، </w:t>
      </w:r>
      <w:r>
        <w:rPr>
          <w:rFonts w:hint="cs"/>
          <w:rtl/>
        </w:rPr>
        <w:t xml:space="preserve">والمملكة العربية السعودية </w:t>
      </w:r>
      <w:r>
        <w:t>(S</w:t>
      </w:r>
      <w:r>
        <w:rPr>
          <w:lang w:val="fr-CA"/>
        </w:rPr>
        <w:t>A</w:t>
      </w:r>
      <w:r>
        <w:t>)</w:t>
      </w:r>
      <w:r>
        <w:rPr>
          <w:rFonts w:hint="cs"/>
          <w:rtl/>
        </w:rPr>
        <w:t xml:space="preserve">، والسويد </w:t>
      </w:r>
      <w:r>
        <w:t>(</w:t>
      </w:r>
      <w:r>
        <w:rPr>
          <w:lang w:val="fr-CA"/>
        </w:rPr>
        <w:t>S</w:t>
      </w:r>
      <w:r>
        <w:t>E)</w:t>
      </w:r>
      <w:r>
        <w:rPr>
          <w:rFonts w:hint="cs"/>
          <w:rtl/>
        </w:rPr>
        <w:t>،</w:t>
      </w:r>
      <w:r>
        <w:t xml:space="preserve"> </w:t>
      </w:r>
      <w:r>
        <w:rPr>
          <w:rFonts w:hint="cs"/>
          <w:rtl/>
        </w:rPr>
        <w:t xml:space="preserve">وسنغافورة </w:t>
      </w:r>
      <w:r>
        <w:rPr>
          <w:lang w:val="fr-CA"/>
        </w:rPr>
        <w:t>(</w:t>
      </w:r>
      <w:r>
        <w:t>SG)</w:t>
      </w:r>
      <w:r>
        <w:rPr>
          <w:rFonts w:hint="cs"/>
          <w:rtl/>
        </w:rPr>
        <w:t xml:space="preserve">، والجمهورية العربية السورية </w:t>
      </w:r>
      <w:r>
        <w:t>(SY)</w:t>
      </w:r>
      <w:r>
        <w:rPr>
          <w:rFonts w:hint="cs"/>
          <w:rtl/>
        </w:rPr>
        <w:t>، والولايات المتحدة الأمريكية (</w:t>
      </w:r>
      <w:r>
        <w:t>US</w:t>
      </w:r>
      <w:r>
        <w:rPr>
          <w:rFonts w:hint="cs"/>
          <w:rtl/>
        </w:rPr>
        <w:t xml:space="preserve">) وأوروغواي </w:t>
      </w:r>
      <w:r>
        <w:t>(UY)</w:t>
      </w:r>
      <w:r>
        <w:rPr>
          <w:rFonts w:hint="cs"/>
          <w:rtl/>
        </w:rPr>
        <w:t>؛ والمكاتب الإقليمية التالية: المكتب الأوروبي الآسيوي للبراءات (</w:t>
      </w:r>
      <w:r>
        <w:t>EA</w:t>
      </w:r>
      <w:r>
        <w:rPr>
          <w:rFonts w:hint="cs"/>
          <w:rtl/>
        </w:rPr>
        <w:t>) والمكتب الأوروبي للبراءات (</w:t>
      </w:r>
      <w:r>
        <w:t>EP</w:t>
      </w:r>
      <w:r>
        <w:rPr>
          <w:rFonts w:hint="cs"/>
          <w:rtl/>
        </w:rPr>
        <w:t>)  ومكتب الاتحاد الأوروبي للملكية الفكرية (</w:t>
      </w:r>
      <w:r>
        <w:t>EM</w:t>
      </w:r>
      <w:r>
        <w:rPr>
          <w:rFonts w:hint="cs"/>
          <w:rtl/>
        </w:rPr>
        <w:t xml:space="preserve">). </w:t>
      </w:r>
      <w:r>
        <w:rPr>
          <w:rFonts w:hint="cs"/>
          <w:rtl/>
          <w:lang w:bidi="ar-MA"/>
        </w:rPr>
        <w:t>و</w:t>
      </w:r>
      <w:r>
        <w:rPr>
          <w:rFonts w:hint="cs"/>
          <w:rtl/>
        </w:rPr>
        <w:t xml:space="preserve">ترد نتائج الدراسة الاستقصائية </w:t>
      </w:r>
      <w:proofErr w:type="spellStart"/>
      <w:r>
        <w:rPr>
          <w:rFonts w:hint="cs"/>
          <w:rtl/>
        </w:rPr>
        <w:t>المتلقاة</w:t>
      </w:r>
      <w:proofErr w:type="spellEnd"/>
      <w:r>
        <w:rPr>
          <w:rFonts w:hint="cs"/>
          <w:rtl/>
        </w:rPr>
        <w:t xml:space="preserve"> في المرفق الأول من هذه الوثيقة، مع </w:t>
      </w:r>
      <w:r>
        <w:rPr>
          <w:rFonts w:hint="cs"/>
          <w:rtl/>
          <w:lang w:bidi="ar-MA"/>
        </w:rPr>
        <w:t>حجب</w:t>
      </w:r>
      <w:r>
        <w:rPr>
          <w:rFonts w:hint="cs"/>
          <w:rtl/>
        </w:rPr>
        <w:t xml:space="preserve"> الردود </w:t>
      </w:r>
      <w:r w:rsidRPr="005A55C8">
        <w:rPr>
          <w:rFonts w:hint="cs"/>
          <w:rtl/>
        </w:rPr>
        <w:t xml:space="preserve">الفردية </w:t>
      </w:r>
      <w:r w:rsidRPr="005A55C8">
        <w:rPr>
          <w:rFonts w:hint="cs"/>
          <w:rtl/>
          <w:lang w:bidi="ar-MA"/>
        </w:rPr>
        <w:t>في</w:t>
      </w:r>
      <w:r w:rsidRPr="005A55C8">
        <w:rPr>
          <w:rFonts w:hint="cs"/>
          <w:rtl/>
        </w:rPr>
        <w:t xml:space="preserve"> نصوص حرة.</w:t>
      </w:r>
    </w:p>
    <w:p w14:paraId="2E723223" w14:textId="29323F43" w:rsidR="002C5AE1" w:rsidRDefault="002C5AE1" w:rsidP="008A56CE">
      <w:pPr>
        <w:pStyle w:val="ONUMA"/>
        <w:rPr>
          <w:rtl/>
        </w:rPr>
      </w:pPr>
      <w:r>
        <w:rPr>
          <w:rFonts w:hint="cs"/>
          <w:rtl/>
        </w:rPr>
        <w:t xml:space="preserve">وأحاط المكتب الدولي علما بأن العديد من المجيبين كانوا من مكاتب أصغر، مما يدل على </w:t>
      </w:r>
      <w:r>
        <w:rPr>
          <w:rFonts w:hint="cs"/>
          <w:rtl/>
          <w:lang w:bidi="ar-MA"/>
        </w:rPr>
        <w:t>تحمّسهم</w:t>
      </w:r>
      <w:r>
        <w:rPr>
          <w:rFonts w:hint="cs"/>
          <w:rtl/>
        </w:rPr>
        <w:t xml:space="preserve"> لتوسيع شبكة المكاتب التي يتبادلون البيانات معها. وعلى وجه الخصوص، أشار </w:t>
      </w:r>
      <w:r w:rsidR="003119BF">
        <w:rPr>
          <w:rFonts w:hint="cs"/>
          <w:rtl/>
        </w:rPr>
        <w:t xml:space="preserve">28 مكتباً (أي 76 </w:t>
      </w:r>
      <w:r>
        <w:rPr>
          <w:rFonts w:hint="cs"/>
          <w:rtl/>
        </w:rPr>
        <w:t>بالمائة</w:t>
      </w:r>
      <w:r w:rsidR="003119BF">
        <w:rPr>
          <w:rFonts w:hint="cs"/>
          <w:rtl/>
        </w:rPr>
        <w:t>)</w:t>
      </w:r>
      <w:r>
        <w:rPr>
          <w:rFonts w:hint="cs"/>
          <w:rtl/>
        </w:rPr>
        <w:t xml:space="preserve"> إلى رغبتها في تبادل البيانات مع مكاتب أكبر مثل "مكاتب الملكية الفكرية الخمسة" (</w:t>
      </w:r>
      <w:r>
        <w:t>IP5</w:t>
      </w:r>
      <w:r>
        <w:rPr>
          <w:rFonts w:hint="cs"/>
          <w:rtl/>
        </w:rPr>
        <w:t xml:space="preserve">). وأشارت نتائج الدراسة الاستقصائية إلى أن أكبر المشكلات التي تواجهها المكاتب، بغض النظر عن حجمها، هي عدم إتاحة بيانات الجرائد الرسمية </w:t>
      </w:r>
      <w:r w:rsidRPr="005A55C8">
        <w:rPr>
          <w:rFonts w:hint="cs"/>
          <w:rtl/>
        </w:rPr>
        <w:t>للملكية الفكرية بنسق قابل للقراءة آلياً، وعدم</w:t>
      </w:r>
      <w:r w:rsidR="005E0A3B">
        <w:rPr>
          <w:rFonts w:hint="cs"/>
          <w:rtl/>
        </w:rPr>
        <w:t xml:space="preserve"> وجود موارد كافية</w:t>
      </w:r>
      <w:r>
        <w:rPr>
          <w:rFonts w:hint="cs"/>
          <w:rtl/>
        </w:rPr>
        <w:t xml:space="preserve"> من أجل دعم هذه الأنشطة، سواء من حيث الفجوات في مهارات الموظفين أو موارد تكنولوجيا المعلومات. وتستخدم غالبية المكاتب معايير الويبو (</w:t>
      </w:r>
      <w:r w:rsidR="003119BF">
        <w:rPr>
          <w:rFonts w:hint="cs"/>
          <w:rtl/>
        </w:rPr>
        <w:t>84</w:t>
      </w:r>
      <w:r>
        <w:rPr>
          <w:rFonts w:hint="cs"/>
          <w:rtl/>
        </w:rPr>
        <w:t xml:space="preserve"> في </w:t>
      </w:r>
      <w:proofErr w:type="gramStart"/>
      <w:r>
        <w:rPr>
          <w:rFonts w:hint="cs"/>
          <w:rtl/>
        </w:rPr>
        <w:t>المائة</w:t>
      </w:r>
      <w:proofErr w:type="gramEnd"/>
      <w:r>
        <w:rPr>
          <w:rFonts w:hint="cs"/>
          <w:rtl/>
        </w:rPr>
        <w:t xml:space="preserve">) لتبادل البيانات.  </w:t>
      </w:r>
    </w:p>
    <w:p w14:paraId="6DFA4061" w14:textId="65B2792A" w:rsidR="002C5AE1" w:rsidRDefault="002C5AE1" w:rsidP="008A56CE">
      <w:pPr>
        <w:pStyle w:val="ONUMA"/>
      </w:pPr>
      <w:r>
        <w:rPr>
          <w:rFonts w:hint="cs"/>
          <w:rtl/>
        </w:rPr>
        <w:t xml:space="preserve">وفيما يتعلق بتوفير خدمة تنزيل البيانات بالجملة، أجاب </w:t>
      </w:r>
      <w:r w:rsidR="003119BF">
        <w:rPr>
          <w:rFonts w:hint="cs"/>
          <w:rtl/>
        </w:rPr>
        <w:t>23</w:t>
      </w:r>
      <w:r>
        <w:rPr>
          <w:rFonts w:hint="cs"/>
          <w:rtl/>
        </w:rPr>
        <w:t xml:space="preserve"> مكتبا (</w:t>
      </w:r>
      <w:r w:rsidR="003119BF">
        <w:rPr>
          <w:rFonts w:hint="cs"/>
          <w:rtl/>
        </w:rPr>
        <w:t xml:space="preserve">62 </w:t>
      </w:r>
      <w:r>
        <w:rPr>
          <w:rFonts w:hint="cs"/>
          <w:rtl/>
        </w:rPr>
        <w:t xml:space="preserve">في </w:t>
      </w:r>
      <w:proofErr w:type="gramStart"/>
      <w:r>
        <w:rPr>
          <w:rFonts w:hint="cs"/>
          <w:rtl/>
        </w:rPr>
        <w:t>المائة</w:t>
      </w:r>
      <w:proofErr w:type="gramEnd"/>
      <w:r>
        <w:rPr>
          <w:rFonts w:hint="cs"/>
          <w:rtl/>
        </w:rPr>
        <w:t>) بأنه يقدم خدمة واحدة في ح</w:t>
      </w:r>
      <w:r w:rsidR="005E0A3B">
        <w:rPr>
          <w:rFonts w:hint="cs"/>
          <w:rtl/>
        </w:rPr>
        <w:t>ين أشار 14 مكتبا إلى أنه لا يقدم هذه الخدمة</w:t>
      </w:r>
      <w:r>
        <w:rPr>
          <w:rFonts w:hint="cs"/>
          <w:rtl/>
        </w:rPr>
        <w:t>. وفيما يتعلق بالحلول المقترحة، أبدى</w:t>
      </w:r>
      <w:r w:rsidR="003119BF">
        <w:rPr>
          <w:rFonts w:hint="cs"/>
          <w:rtl/>
        </w:rPr>
        <w:t xml:space="preserve"> 16 </w:t>
      </w:r>
      <w:r>
        <w:rPr>
          <w:rFonts w:hint="cs"/>
          <w:rtl/>
        </w:rPr>
        <w:t>مكتب</w:t>
      </w:r>
      <w:r w:rsidR="003119BF">
        <w:rPr>
          <w:rFonts w:hint="cs"/>
          <w:rtl/>
        </w:rPr>
        <w:t>اً</w:t>
      </w:r>
      <w:r>
        <w:rPr>
          <w:rFonts w:hint="cs"/>
          <w:rtl/>
        </w:rPr>
        <w:t xml:space="preserve"> اهتماما</w:t>
      </w:r>
      <w:r w:rsidR="003119BF">
        <w:rPr>
          <w:rFonts w:hint="cs"/>
          <w:rtl/>
        </w:rPr>
        <w:t>ً</w:t>
      </w:r>
      <w:r>
        <w:rPr>
          <w:rFonts w:hint="cs"/>
          <w:rtl/>
        </w:rPr>
        <w:t xml:space="preserve"> بإنشاء منتدى مثل لوحة إعلانات </w:t>
      </w:r>
      <w:r>
        <w:rPr>
          <w:rFonts w:hint="cs"/>
          <w:rtl/>
          <w:lang w:bidi="ar-MA"/>
        </w:rPr>
        <w:t>ت</w:t>
      </w:r>
      <w:r w:rsidR="005E0A3B">
        <w:rPr>
          <w:rFonts w:hint="cs"/>
          <w:rtl/>
        </w:rPr>
        <w:t>مكنها</w:t>
      </w:r>
      <w:r>
        <w:rPr>
          <w:rFonts w:hint="cs"/>
          <w:rtl/>
        </w:rPr>
        <w:t xml:space="preserve"> من جمع وتبادل أفضل الممارسات بشأن تبادل البيانات. وتشترك أفرقة عمل لجنة المعايير في هدف مماثل ويمكن أن يكون أحد وسائل تنفيذ هذا الحل بالتحديد.  </w:t>
      </w:r>
    </w:p>
    <w:p w14:paraId="3484B702" w14:textId="3171C536" w:rsidR="002C5AE1" w:rsidRDefault="002C5AE1" w:rsidP="008A56CE">
      <w:pPr>
        <w:pStyle w:val="ONUMA"/>
        <w:rPr>
          <w:rtl/>
        </w:rPr>
      </w:pPr>
      <w:r>
        <w:rPr>
          <w:rFonts w:hint="cs"/>
          <w:rtl/>
        </w:rPr>
        <w:t>وتجدر الإشارة إلى أن غالبية المكاتب (</w:t>
      </w:r>
      <w:r w:rsidR="003119BF">
        <w:rPr>
          <w:rFonts w:hint="cs"/>
          <w:rtl/>
        </w:rPr>
        <w:t>65</w:t>
      </w:r>
      <w:r>
        <w:rPr>
          <w:rFonts w:hint="cs"/>
          <w:rtl/>
        </w:rPr>
        <w:t xml:space="preserve"> في </w:t>
      </w:r>
      <w:proofErr w:type="gramStart"/>
      <w:r>
        <w:rPr>
          <w:rFonts w:hint="cs"/>
          <w:rtl/>
        </w:rPr>
        <w:t>المائة</w:t>
      </w:r>
      <w:proofErr w:type="gramEnd"/>
      <w:r>
        <w:rPr>
          <w:rFonts w:hint="cs"/>
          <w:rtl/>
        </w:rPr>
        <w:t>) تتبادل البيانات مع أقل من خمسة مكاتب. بيد أنه من الواضح، على حد ما ورد من المجيبين على الدراسة الاستقصائية</w:t>
      </w:r>
      <w:r>
        <w:rPr>
          <w:rFonts w:hint="cs"/>
          <w:rtl/>
          <w:lang w:bidi="ar-MA"/>
        </w:rPr>
        <w:t>،</w:t>
      </w:r>
      <w:r>
        <w:rPr>
          <w:rFonts w:hint="cs"/>
          <w:rtl/>
        </w:rPr>
        <w:t xml:space="preserve"> أن مكاتب الملكية الفكرية ترغب في زيادة عدد </w:t>
      </w:r>
      <w:r w:rsidR="005E0A3B">
        <w:rPr>
          <w:rFonts w:hint="cs"/>
          <w:rtl/>
        </w:rPr>
        <w:t>ال</w:t>
      </w:r>
      <w:r>
        <w:rPr>
          <w:rFonts w:hint="cs"/>
          <w:rtl/>
        </w:rPr>
        <w:t xml:space="preserve">مكاتب التي تتبادل البيانات </w:t>
      </w:r>
      <w:proofErr w:type="gramStart"/>
      <w:r>
        <w:rPr>
          <w:rFonts w:hint="cs"/>
          <w:rtl/>
        </w:rPr>
        <w:t>معها</w:t>
      </w:r>
      <w:proofErr w:type="gramEnd"/>
      <w:r>
        <w:rPr>
          <w:rFonts w:hint="cs"/>
          <w:rtl/>
        </w:rPr>
        <w:t xml:space="preserve"> ولكن هناك بعض العقبات التي ينبغي أن تتغلب عليها أولاً. ولجنة المعايير هي منتدى يجمع المكاتب الأعضاء لمناقشة أفضل الممارسات </w:t>
      </w:r>
      <w:r>
        <w:rPr>
          <w:rFonts w:hint="cs"/>
          <w:rtl/>
          <w:lang w:bidi="ar-MA"/>
        </w:rPr>
        <w:t xml:space="preserve">بشأن </w:t>
      </w:r>
      <w:r>
        <w:rPr>
          <w:rFonts w:hint="cs"/>
          <w:rtl/>
        </w:rPr>
        <w:t xml:space="preserve">نشر البيانات وتوثيقها، وبالتالي ينبغي أن تبحث عن أفضل السبل لدعم المكاتب في تعزيز تبادل معلومات الملكية الفكرية. </w:t>
      </w:r>
    </w:p>
    <w:p w14:paraId="626DA59C" w14:textId="77777777" w:rsidR="002C5AE1" w:rsidRPr="008A56CE" w:rsidRDefault="002C5AE1" w:rsidP="002C5AE1">
      <w:pPr>
        <w:pStyle w:val="Heading2"/>
        <w:rPr>
          <w:b/>
          <w:bCs w:val="0"/>
          <w:i/>
          <w:iCs w:val="0"/>
          <w:caps w:val="0"/>
          <w:rtl/>
        </w:rPr>
      </w:pPr>
      <w:r w:rsidRPr="008A56CE">
        <w:rPr>
          <w:rFonts w:hint="cs"/>
          <w:i/>
          <w:iCs w:val="0"/>
          <w:rtl/>
        </w:rPr>
        <w:t>اقتراح مهمة جديدة بشأن تبادل بيانات الملكية الفكرية</w:t>
      </w:r>
    </w:p>
    <w:p w14:paraId="2377425E" w14:textId="77777777" w:rsidR="002C5AE1" w:rsidRDefault="002C5AE1" w:rsidP="008A56CE">
      <w:pPr>
        <w:pStyle w:val="ONUMA"/>
      </w:pPr>
      <w:r>
        <w:rPr>
          <w:rFonts w:hint="cs"/>
          <w:rtl/>
        </w:rPr>
        <w:t>بالنظر إلى تحليل الردود على الدراسة الاستقص</w:t>
      </w:r>
      <w:r w:rsidR="005E0A3B">
        <w:rPr>
          <w:rFonts w:hint="cs"/>
          <w:rtl/>
        </w:rPr>
        <w:t>ائية أعلاه، وكخطوة أولى في إرساء</w:t>
      </w:r>
      <w:r>
        <w:rPr>
          <w:rFonts w:hint="cs"/>
          <w:rtl/>
        </w:rPr>
        <w:t xml:space="preserve"> ما يلزم لتبادل البيانات بين مكتبين للملكية الفكرية، يجب التفاوض على اتفاق ثنائي يحدد كيفية توفير </w:t>
      </w:r>
      <w:r w:rsidRPr="005A55C8">
        <w:rPr>
          <w:rFonts w:hint="cs"/>
          <w:rtl/>
        </w:rPr>
        <w:t>البيانات والشروط التي</w:t>
      </w:r>
      <w:r>
        <w:rPr>
          <w:rFonts w:hint="cs"/>
          <w:rtl/>
        </w:rPr>
        <w:t xml:space="preserve"> يمكن استخدامها بموجبها. ويود المكتب الدولي أن يشير إلى أن هناك مسائل مش</w:t>
      </w:r>
      <w:r w:rsidR="00B33C4D">
        <w:rPr>
          <w:rFonts w:hint="cs"/>
          <w:rtl/>
        </w:rPr>
        <w:t>تركة تواجهها المكاتب، بما يشمل</w:t>
      </w:r>
      <w:r>
        <w:rPr>
          <w:rFonts w:hint="cs"/>
          <w:rtl/>
        </w:rPr>
        <w:t xml:space="preserve"> المكتب الدولي نفسه، في عملية ترتيب تبادل بيانات الملكية الفكرية مع مكاتبها الشريكة، تشمل:</w:t>
      </w:r>
    </w:p>
    <w:p w14:paraId="3139CAD2" w14:textId="77777777" w:rsidR="002C5AE1" w:rsidRPr="00956419" w:rsidRDefault="002C5AE1" w:rsidP="008A56CE">
      <w:pPr>
        <w:pStyle w:val="ListParagraph"/>
        <w:numPr>
          <w:ilvl w:val="0"/>
          <w:numId w:val="5"/>
        </w:numPr>
        <w:rPr>
          <w:rtl/>
        </w:rPr>
      </w:pPr>
      <w:r w:rsidRPr="00807D29">
        <w:rPr>
          <w:rFonts w:hint="cs"/>
          <w:u w:val="single"/>
          <w:rtl/>
        </w:rPr>
        <w:t>جودة البيانات</w:t>
      </w:r>
      <w:r>
        <w:rPr>
          <w:rFonts w:hint="cs"/>
          <w:rtl/>
        </w:rPr>
        <w:t>: جود</w:t>
      </w:r>
      <w:r w:rsidR="00B33C4D">
        <w:rPr>
          <w:rFonts w:hint="cs"/>
          <w:rtl/>
        </w:rPr>
        <w:t>ة البيانات من المنبع رديئة ووجود</w:t>
      </w:r>
      <w:r>
        <w:rPr>
          <w:rFonts w:hint="cs"/>
          <w:rtl/>
        </w:rPr>
        <w:t xml:space="preserve"> فجوات في البيانات؛</w:t>
      </w:r>
    </w:p>
    <w:p w14:paraId="11269662" w14:textId="77777777" w:rsidR="002C5AE1" w:rsidRPr="00956419" w:rsidRDefault="002C5AE1" w:rsidP="008A56CE">
      <w:pPr>
        <w:pStyle w:val="ListParagraph"/>
        <w:numPr>
          <w:ilvl w:val="0"/>
          <w:numId w:val="5"/>
        </w:numPr>
        <w:rPr>
          <w:rtl/>
        </w:rPr>
      </w:pPr>
      <w:r w:rsidRPr="00807D29">
        <w:rPr>
          <w:rFonts w:hint="cs"/>
          <w:u w:val="single"/>
          <w:rtl/>
        </w:rPr>
        <w:t>الحوافز المالية</w:t>
      </w:r>
      <w:r>
        <w:rPr>
          <w:rFonts w:hint="cs"/>
          <w:rtl/>
        </w:rPr>
        <w:t>: تعتبر بعض المكاتب بياناتها بمثابة مصدر محتمل للدخل؛</w:t>
      </w:r>
    </w:p>
    <w:p w14:paraId="1063FB01" w14:textId="77777777" w:rsidR="002C5AE1" w:rsidRDefault="002C5AE1" w:rsidP="008A56CE">
      <w:pPr>
        <w:pStyle w:val="ListParagraph"/>
        <w:numPr>
          <w:ilvl w:val="0"/>
          <w:numId w:val="5"/>
        </w:numPr>
        <w:spacing w:after="240"/>
        <w:rPr>
          <w:rtl/>
        </w:rPr>
      </w:pPr>
      <w:r w:rsidRPr="00807D29">
        <w:rPr>
          <w:rFonts w:hint="cs"/>
          <w:u w:val="single"/>
          <w:rtl/>
        </w:rPr>
        <w:t>الملكية</w:t>
      </w:r>
      <w:r>
        <w:rPr>
          <w:rFonts w:hint="cs"/>
          <w:rtl/>
        </w:rPr>
        <w:t xml:space="preserve">: عادةً ما تكون المكاتب غير راغبة في السماح بالنفاذ إلى بياناتها ما لم تحتفظ بملكيتها مع فرض قيود على كيفية استخدامها. </w:t>
      </w:r>
    </w:p>
    <w:p w14:paraId="4E8327BF" w14:textId="1B681E2D" w:rsidR="002C5AE1" w:rsidRDefault="002C5AE1" w:rsidP="008A56CE">
      <w:pPr>
        <w:pStyle w:val="ONUMA"/>
        <w:rPr>
          <w:rtl/>
        </w:rPr>
      </w:pPr>
      <w:r>
        <w:rPr>
          <w:rFonts w:hint="cs"/>
          <w:rtl/>
        </w:rPr>
        <w:lastRenderedPageBreak/>
        <w:t xml:space="preserve">في حين أن المكتب الدولي يوفر بالفعل سلسلة من قواعد بيانات الملكية الفكرية العالمية </w:t>
      </w:r>
      <w:r>
        <w:rPr>
          <w:rFonts w:hint="cs"/>
          <w:rtl/>
          <w:lang w:bidi="ar-MA"/>
        </w:rPr>
        <w:t xml:space="preserve">المتاحة للاستخدام </w:t>
      </w:r>
      <w:r>
        <w:rPr>
          <w:rFonts w:hint="cs"/>
          <w:rtl/>
        </w:rPr>
        <w:t>مجانا، بما في ذلك</w:t>
      </w:r>
      <w:hyperlink r:id="rId14" w:history="1">
        <w:r w:rsidRPr="00807D29">
          <w:rPr>
            <w:rStyle w:val="Hyperlink"/>
            <w:rFonts w:hint="cs"/>
            <w:caps/>
            <w:rtl/>
          </w:rPr>
          <w:t xml:space="preserve"> ركن البراءات </w:t>
        </w:r>
      </w:hyperlink>
      <w:r w:rsidR="00B33C4D">
        <w:rPr>
          <w:rStyle w:val="Hyperlink"/>
          <w:caps/>
        </w:rPr>
        <w:t xml:space="preserve"> </w:t>
      </w:r>
      <w:r w:rsidR="00B33C4D">
        <w:rPr>
          <w:rStyle w:val="Hyperlink"/>
          <w:caps/>
          <w:lang w:val="fr-CA"/>
        </w:rPr>
        <w:t>(PATENTSCOPE)</w:t>
      </w:r>
      <w:r>
        <w:rPr>
          <w:rFonts w:hint="cs"/>
          <w:rtl/>
        </w:rPr>
        <w:t>و</w:t>
      </w:r>
      <w:hyperlink r:id="rId15" w:history="1">
        <w:r>
          <w:rPr>
            <w:rStyle w:val="Hyperlink"/>
            <w:rFonts w:hint="cs"/>
            <w:rtl/>
          </w:rPr>
          <w:t>قاعدة بيانات العلامات التجارية العالمية</w:t>
        </w:r>
      </w:hyperlink>
      <w:r>
        <w:rPr>
          <w:rFonts w:hint="cs"/>
          <w:rtl/>
        </w:rPr>
        <w:t xml:space="preserve"> </w:t>
      </w:r>
      <w:r w:rsidRPr="005A55C8">
        <w:rPr>
          <w:rFonts w:hint="cs"/>
          <w:rtl/>
        </w:rPr>
        <w:t>و</w:t>
      </w:r>
      <w:hyperlink r:id="rId16" w:history="1">
        <w:r w:rsidRPr="005A55C8">
          <w:rPr>
            <w:rStyle w:val="Hyperlink"/>
            <w:rFonts w:hint="cs"/>
            <w:rtl/>
          </w:rPr>
          <w:t>قاعدة بيانات التصاميم العالمية،</w:t>
        </w:r>
      </w:hyperlink>
      <w:r w:rsidRPr="005A55C8">
        <w:rPr>
          <w:rStyle w:val="Hyperlink"/>
          <w:rFonts w:hint="cs"/>
          <w:rtl/>
        </w:rPr>
        <w:t xml:space="preserve"> </w:t>
      </w:r>
      <w:r w:rsidRPr="005A55C8">
        <w:rPr>
          <w:rFonts w:hint="cs"/>
          <w:rtl/>
        </w:rPr>
        <w:t>فإن تنزيل</w:t>
      </w:r>
      <w:r>
        <w:rPr>
          <w:rFonts w:hint="cs"/>
          <w:rtl/>
        </w:rPr>
        <w:t xml:space="preserve"> البيانات من هذه المنصات</w:t>
      </w:r>
      <w:r w:rsidR="00B33C4D">
        <w:t xml:space="preserve"> </w:t>
      </w:r>
      <w:r w:rsidR="00B33C4D">
        <w:rPr>
          <w:rFonts w:hint="cs"/>
          <w:rtl/>
        </w:rPr>
        <w:t>بالجملة</w:t>
      </w:r>
      <w:r w:rsidR="00B33C4D">
        <w:t xml:space="preserve"> </w:t>
      </w:r>
      <w:r>
        <w:rPr>
          <w:rFonts w:hint="cs"/>
          <w:rtl/>
        </w:rPr>
        <w:t xml:space="preserve">غير متاح لأن المكاتب توفر البيانات بموجب الاتفاق على أن البيانات متاحة لأغراض البحث حصرا ولا </w:t>
      </w:r>
      <w:r>
        <w:rPr>
          <w:rFonts w:hint="cs"/>
          <w:rtl/>
          <w:lang w:bidi="ar-MA"/>
        </w:rPr>
        <w:t xml:space="preserve">يعاد </w:t>
      </w:r>
      <w:r>
        <w:rPr>
          <w:rFonts w:hint="cs"/>
          <w:rtl/>
        </w:rPr>
        <w:t xml:space="preserve">توزيعها. بالإضافة إلى ذلك، تتاح قواعد البيانات العالمية </w:t>
      </w:r>
      <w:r w:rsidR="00B33C4D">
        <w:rPr>
          <w:rFonts w:hint="cs"/>
          <w:rtl/>
          <w:lang w:bidi="ar-MA"/>
        </w:rPr>
        <w:t>باعتبارها</w:t>
      </w:r>
      <w:r>
        <w:rPr>
          <w:rFonts w:hint="cs"/>
          <w:rtl/>
        </w:rPr>
        <w:t xml:space="preserve"> أنظمة بحث ع</w:t>
      </w:r>
      <w:r w:rsidR="00B33C4D">
        <w:rPr>
          <w:rFonts w:hint="cs"/>
          <w:rtl/>
        </w:rPr>
        <w:t>امة، وبالتالي لم تُصمّم باعتبارها</w:t>
      </w:r>
      <w:r>
        <w:rPr>
          <w:rFonts w:hint="cs"/>
          <w:rtl/>
        </w:rPr>
        <w:t xml:space="preserve"> منصات لتبادل بيانات الملكية الفكرية بين المكاتب</w:t>
      </w:r>
      <w:r w:rsidR="00B33C4D">
        <w:t xml:space="preserve"> </w:t>
      </w:r>
      <w:r w:rsidR="00B33C4D">
        <w:rPr>
          <w:rFonts w:hint="cs"/>
          <w:rtl/>
        </w:rPr>
        <w:t>بالجملة</w:t>
      </w:r>
      <w:r>
        <w:rPr>
          <w:rFonts w:hint="cs"/>
          <w:rtl/>
        </w:rPr>
        <w:t>. ولذ</w:t>
      </w:r>
      <w:r w:rsidR="00B33C4D">
        <w:rPr>
          <w:rFonts w:hint="cs"/>
          <w:rtl/>
        </w:rPr>
        <w:t>لك، من المحتمل أن يستلزم الأمر</w:t>
      </w:r>
      <w:r>
        <w:rPr>
          <w:rFonts w:hint="cs"/>
          <w:rtl/>
        </w:rPr>
        <w:t xml:space="preserve"> إنشاء منصة جديدة للويبو من أجل تسهيل تبادل بيانات الملكية الفكرية بين </w:t>
      </w:r>
      <w:r w:rsidR="00B33C4D">
        <w:rPr>
          <w:rFonts w:hint="cs"/>
          <w:rtl/>
        </w:rPr>
        <w:t>المكاتب</w:t>
      </w:r>
      <w:r>
        <w:rPr>
          <w:rFonts w:hint="cs"/>
          <w:rtl/>
        </w:rPr>
        <w:t xml:space="preserve">، إذا أشارت الدول الأعضاء في </w:t>
      </w:r>
      <w:proofErr w:type="gramStart"/>
      <w:r>
        <w:rPr>
          <w:rFonts w:hint="cs"/>
          <w:rtl/>
        </w:rPr>
        <w:t xml:space="preserve">الويبو </w:t>
      </w:r>
      <w:r w:rsidR="00B33C4D">
        <w:rPr>
          <w:rFonts w:hint="cs"/>
          <w:rtl/>
        </w:rPr>
        <w:t xml:space="preserve"> </w:t>
      </w:r>
      <w:r>
        <w:rPr>
          <w:rFonts w:hint="cs"/>
          <w:rtl/>
        </w:rPr>
        <w:t>إلى</w:t>
      </w:r>
      <w:proofErr w:type="gramEnd"/>
      <w:r>
        <w:rPr>
          <w:rFonts w:hint="cs"/>
          <w:rtl/>
        </w:rPr>
        <w:t xml:space="preserve"> </w:t>
      </w:r>
      <w:r w:rsidR="00B33C4D">
        <w:rPr>
          <w:rFonts w:hint="cs"/>
          <w:rtl/>
        </w:rPr>
        <w:t>ضرورة ذلك</w:t>
      </w:r>
      <w:r>
        <w:rPr>
          <w:rFonts w:hint="cs"/>
          <w:rtl/>
        </w:rPr>
        <w:t xml:space="preserve">.  </w:t>
      </w:r>
    </w:p>
    <w:p w14:paraId="1898A727" w14:textId="77777777" w:rsidR="002C5AE1" w:rsidRDefault="002C5AE1" w:rsidP="008A56CE">
      <w:pPr>
        <w:pStyle w:val="ONUMA"/>
        <w:rPr>
          <w:rtl/>
        </w:rPr>
      </w:pPr>
      <w:r w:rsidRPr="005A55C8">
        <w:rPr>
          <w:rFonts w:hint="cs"/>
          <w:rtl/>
        </w:rPr>
        <w:t xml:space="preserve">وهناك </w:t>
      </w:r>
      <w:r w:rsidRPr="005A55C8">
        <w:rPr>
          <w:rFonts w:hint="cs"/>
          <w:rtl/>
          <w:lang w:bidi="ar-MA"/>
        </w:rPr>
        <w:t>شركات مورّدة للبيانات التجارية</w:t>
      </w:r>
      <w:r w:rsidRPr="005A55C8">
        <w:rPr>
          <w:rFonts w:hint="cs"/>
          <w:rtl/>
        </w:rPr>
        <w:t xml:space="preserve"> تتيح</w:t>
      </w:r>
      <w:r>
        <w:rPr>
          <w:rFonts w:hint="cs"/>
          <w:rtl/>
        </w:rPr>
        <w:t xml:space="preserve"> النفاذ إلى بيانات الملكية الفكرية العالمية، ولكن بتكلفة قد لا تستطيع البلدان النامية تحملها.  </w:t>
      </w:r>
    </w:p>
    <w:p w14:paraId="4CEC7226" w14:textId="18A5EE4D" w:rsidR="002C5AE1" w:rsidRDefault="002C5AE1" w:rsidP="008A56CE">
      <w:pPr>
        <w:pStyle w:val="ONUMA"/>
        <w:rPr>
          <w:rtl/>
        </w:rPr>
      </w:pPr>
      <w:r>
        <w:rPr>
          <w:rFonts w:hint="cs"/>
          <w:rtl/>
        </w:rPr>
        <w:t>وو</w:t>
      </w:r>
      <w:r w:rsidRPr="005A55C8">
        <w:rPr>
          <w:rFonts w:hint="cs"/>
          <w:rtl/>
        </w:rPr>
        <w:t xml:space="preserve">فقا </w:t>
      </w:r>
      <w:hyperlink r:id="rId17" w:history="1">
        <w:r w:rsidRPr="005A55C8">
          <w:rPr>
            <w:rStyle w:val="Hyperlink"/>
            <w:rFonts w:hint="cs"/>
            <w:rtl/>
          </w:rPr>
          <w:t>للنظام الداخلي الخاص</w:t>
        </w:r>
      </w:hyperlink>
      <w:r w:rsidRPr="005A55C8">
        <w:rPr>
          <w:rFonts w:hint="cs"/>
          <w:rtl/>
        </w:rPr>
        <w:t xml:space="preserve"> للجنة المعايير،</w:t>
      </w:r>
      <w:r>
        <w:rPr>
          <w:rFonts w:hint="cs"/>
          <w:rtl/>
        </w:rPr>
        <w:t xml:space="preserve"> يجب أن يكون كل اقتراح بإنشاء مهمة جديدة للجنة المعايير مصحوبا بموجز مشروع يقدم وصفا واضحا للمشكلة وأهداف المهمة وسلسلة من الخيارات التي يمكن أن تشكل الحل </w:t>
      </w:r>
      <w:r w:rsidRPr="005A55C8">
        <w:rPr>
          <w:rFonts w:hint="cs"/>
          <w:rtl/>
        </w:rPr>
        <w:t>وأي منافع</w:t>
      </w:r>
      <w:r>
        <w:rPr>
          <w:rFonts w:hint="cs"/>
          <w:rtl/>
        </w:rPr>
        <w:t xml:space="preserve"> متوقعة. ويرد موجز المشروع الموحد المقدم من وفدي اليابان والمملكة العربية السعودية في المرفق الثاني من هذه الوثيقة. </w:t>
      </w:r>
    </w:p>
    <w:p w14:paraId="25E3F8A5" w14:textId="77777777" w:rsidR="002C5AE1" w:rsidRDefault="002C5AE1" w:rsidP="008A56CE">
      <w:pPr>
        <w:pStyle w:val="ONUMA"/>
        <w:rPr>
          <w:rtl/>
        </w:rPr>
      </w:pPr>
      <w:r>
        <w:rPr>
          <w:rFonts w:hint="cs"/>
          <w:rtl/>
        </w:rPr>
        <w:t>وبالنظر إلى موجز المشروع الموحد المقدم من الوفدين ونتائج الدراسة الاستقصائية، يقترح المكتب الدولي، بالتشاور مع مكتب اليابان للبراءات (</w:t>
      </w:r>
      <w:r>
        <w:t>JPO</w:t>
      </w:r>
      <w:r>
        <w:rPr>
          <w:rFonts w:hint="cs"/>
          <w:rtl/>
        </w:rPr>
        <w:t xml:space="preserve">) والهيئة السعودية للملكية الفكرية </w:t>
      </w:r>
      <w:r>
        <w:t>SAIP)</w:t>
      </w:r>
      <w:r>
        <w:rPr>
          <w:rFonts w:hint="cs"/>
          <w:rtl/>
        </w:rPr>
        <w:t>)، إضافة مهمة جديدة هي المهمة رقم 67</w:t>
      </w:r>
      <w:r w:rsidR="00B33C4D">
        <w:rPr>
          <w:rFonts w:hint="cs"/>
          <w:rtl/>
        </w:rPr>
        <w:t xml:space="preserve"> إلى برنامج عمل لجنة المعايير. </w:t>
      </w:r>
      <w:r>
        <w:rPr>
          <w:rFonts w:hint="cs"/>
          <w:rtl/>
        </w:rPr>
        <w:t>وسيسمح ذلك في البداية للمكاتب ببدء المناقشات بشأن تجاربها إزاء المشكلات التي تواجهها عند تبادل بيانات الملكية الفكرية. وفي إطار هذه المهمة، ستُقَيّم مختلف الحلول المقترحة لحل مشكلات تبادل البيانات التي تواجهها مكاتب الملكية الفكرية، بما في</w:t>
      </w:r>
      <w:r w:rsidR="00B33C4D">
        <w:rPr>
          <w:rFonts w:hint="cs"/>
          <w:rtl/>
        </w:rPr>
        <w:t xml:space="preserve"> ذلك إنشاء إطار </w:t>
      </w:r>
      <w:r>
        <w:rPr>
          <w:rFonts w:hint="cs"/>
          <w:rtl/>
        </w:rPr>
        <w:t>ومنصة عالمية لتبادل بيانات الملكية الفكرية.</w:t>
      </w:r>
    </w:p>
    <w:p w14:paraId="35C68771" w14:textId="77777777" w:rsidR="002C5AE1" w:rsidRDefault="002C5AE1" w:rsidP="008A56CE">
      <w:pPr>
        <w:pStyle w:val="ONUMA"/>
      </w:pPr>
      <w:r>
        <w:rPr>
          <w:rFonts w:hint="cs"/>
          <w:rtl/>
        </w:rPr>
        <w:t xml:space="preserve">والوصف المقترح </w:t>
      </w:r>
      <w:r w:rsidRPr="00A62875">
        <w:rPr>
          <w:rFonts w:hint="cs"/>
          <w:rtl/>
        </w:rPr>
        <w:t xml:space="preserve">للمهمة رقم 67 </w:t>
      </w:r>
      <w:r>
        <w:rPr>
          <w:rFonts w:hint="cs"/>
          <w:rtl/>
          <w:lang w:bidi="ar-MA"/>
        </w:rPr>
        <w:t xml:space="preserve">هو </w:t>
      </w:r>
      <w:r w:rsidRPr="00A62875">
        <w:rPr>
          <w:rFonts w:hint="cs"/>
          <w:rtl/>
        </w:rPr>
        <w:t>كما يلي:</w:t>
      </w:r>
    </w:p>
    <w:p w14:paraId="1C46C80E" w14:textId="77777777" w:rsidR="002C5AE1" w:rsidRDefault="002C5AE1" w:rsidP="003119BF">
      <w:pPr>
        <w:pStyle w:val="BodyText"/>
        <w:ind w:left="562"/>
        <w:rPr>
          <w:rtl/>
        </w:rPr>
      </w:pPr>
      <w:r>
        <w:rPr>
          <w:rFonts w:hint="cs"/>
          <w:rtl/>
        </w:rPr>
        <w:t>"</w:t>
      </w:r>
      <w:bookmarkStart w:id="5" w:name="_Hlk172901571"/>
      <w:r>
        <w:rPr>
          <w:rFonts w:hint="cs"/>
          <w:rtl/>
        </w:rPr>
        <w:t>تحليل الممارسات الحالية لمكاتب الملكية الفكرية والتحديات التي تواجهها</w:t>
      </w:r>
      <w:r>
        <w:rPr>
          <w:rFonts w:hint="cs"/>
          <w:rtl/>
          <w:lang w:bidi="ar-MA"/>
        </w:rPr>
        <w:t xml:space="preserve"> </w:t>
      </w:r>
      <w:r>
        <w:rPr>
          <w:rFonts w:hint="cs"/>
          <w:rtl/>
        </w:rPr>
        <w:t>في إجراء تبادل بيانات الملكية الفكرية بهدف استكشاف الحلول الرامية إلى تحسين النفاذ إلى بيانات الملكية الفكرية العالمية</w:t>
      </w:r>
      <w:bookmarkEnd w:id="5"/>
      <w:r>
        <w:rPr>
          <w:rFonts w:hint="cs"/>
          <w:rtl/>
        </w:rPr>
        <w:t xml:space="preserve">" </w:t>
      </w:r>
    </w:p>
    <w:p w14:paraId="4F86E42A" w14:textId="4B76DDD0" w:rsidR="008A56CE" w:rsidRDefault="002C5AE1" w:rsidP="008A56CE">
      <w:pPr>
        <w:pStyle w:val="ONUMA"/>
        <w:rPr>
          <w:rtl/>
        </w:rPr>
      </w:pPr>
      <w:r>
        <w:rPr>
          <w:rFonts w:hint="cs"/>
          <w:rtl/>
        </w:rPr>
        <w:t xml:space="preserve">ويقترح المكتب الدولي أيضاً إنشاء فرقة عمل جديدة معنية بإدارة هذه المهمة، </w:t>
      </w:r>
      <w:r>
        <w:rPr>
          <w:rFonts w:hint="cs"/>
          <w:rtl/>
          <w:lang w:bidi="ar-MA"/>
        </w:rPr>
        <w:t>و</w:t>
      </w:r>
      <w:r w:rsidR="00B33C4D">
        <w:rPr>
          <w:rFonts w:hint="cs"/>
          <w:rtl/>
          <w:lang w:bidi="ar-MA"/>
        </w:rPr>
        <w:t xml:space="preserve">يكون </w:t>
      </w:r>
      <w:r>
        <w:rPr>
          <w:rFonts w:hint="cs"/>
          <w:rtl/>
          <w:lang w:bidi="ar-MA"/>
        </w:rPr>
        <w:t xml:space="preserve">اسمها </w:t>
      </w:r>
      <w:r>
        <w:rPr>
          <w:rFonts w:hint="cs"/>
          <w:rtl/>
        </w:rPr>
        <w:t>"فرقة العمل المعنية ب</w:t>
      </w:r>
      <w:r w:rsidR="00B33C4D">
        <w:rPr>
          <w:rFonts w:hint="cs"/>
          <w:rtl/>
        </w:rPr>
        <w:t xml:space="preserve">تبادل بيانات الملكية الفكرية". </w:t>
      </w:r>
      <w:r>
        <w:rPr>
          <w:rFonts w:hint="cs"/>
          <w:rtl/>
        </w:rPr>
        <w:t xml:space="preserve">وسيكون المشاركون المقترحون في الإشراف على فرقة العمل هم مكتب اليابان للبراءات والهيئة السعودية للملكية الفكرية والمكتب الدولي. </w:t>
      </w:r>
    </w:p>
    <w:p w14:paraId="6CA31B89" w14:textId="77777777" w:rsidR="002C5AE1" w:rsidRDefault="002C5AE1" w:rsidP="008A56CE">
      <w:pPr>
        <w:pStyle w:val="ONUMA"/>
      </w:pPr>
      <w:r>
        <w:rPr>
          <w:rFonts w:hint="cs"/>
          <w:rtl/>
        </w:rPr>
        <w:t>وإذا وافقت لجنة المعايير على إنشاء المهمة الجديدة وفرقة العمل المعنية بها، يقترح أن تطلب لجنة المعايير من الأمانة إصدار تعميم تدعو فيه أعضائها إلى ترشيح خبرائها المتخصصين من المجالات المحددة في موجز المشروع (انظر المرفق الثاني من هذه الوثيقة).</w:t>
      </w:r>
    </w:p>
    <w:p w14:paraId="416E5F23" w14:textId="42448BF8" w:rsidR="000728C9" w:rsidRDefault="000728C9">
      <w:pPr>
        <w:bidi w:val="0"/>
        <w:rPr>
          <w:rFonts w:eastAsia="Times New Roman"/>
          <w:rtl/>
          <w:lang w:eastAsia="en-US"/>
        </w:rPr>
      </w:pPr>
      <w:r>
        <w:rPr>
          <w:rtl/>
        </w:rPr>
        <w:br w:type="page"/>
      </w:r>
    </w:p>
    <w:p w14:paraId="498C611B" w14:textId="4A54D71C" w:rsidR="002C5AE1" w:rsidRPr="008A56CE" w:rsidRDefault="002C5AE1" w:rsidP="008A56CE">
      <w:pPr>
        <w:pStyle w:val="ONUMA"/>
        <w:ind w:left="5534"/>
        <w:rPr>
          <w:i/>
          <w:iCs/>
          <w:rtl/>
        </w:rPr>
      </w:pPr>
      <w:r w:rsidRPr="008A56CE">
        <w:rPr>
          <w:rFonts w:hint="cs"/>
          <w:i/>
          <w:iCs/>
          <w:rtl/>
        </w:rPr>
        <w:lastRenderedPageBreak/>
        <w:t>إن لجنة المعايير مدعوة إلى:</w:t>
      </w:r>
    </w:p>
    <w:p w14:paraId="29763143" w14:textId="77777777" w:rsidR="002C5AE1" w:rsidRPr="00DF38A0" w:rsidRDefault="002C5AE1" w:rsidP="000728C9">
      <w:pPr>
        <w:pStyle w:val="ONUME"/>
        <w:numPr>
          <w:ilvl w:val="0"/>
          <w:numId w:val="6"/>
        </w:numPr>
        <w:ind w:left="5530" w:firstLine="562"/>
        <w:rPr>
          <w:i/>
          <w:rtl/>
        </w:rPr>
      </w:pPr>
      <w:r>
        <w:rPr>
          <w:rFonts w:hint="cs"/>
          <w:i/>
          <w:iCs/>
          <w:rtl/>
        </w:rPr>
        <w:t>الإحاطة علماً بمضمون هذه الوثيقة ومرفقيها؛</w:t>
      </w:r>
    </w:p>
    <w:p w14:paraId="364C92C2" w14:textId="77777777" w:rsidR="002C5AE1" w:rsidRPr="00DF38A0" w:rsidRDefault="002C5AE1" w:rsidP="000728C9">
      <w:pPr>
        <w:pStyle w:val="ONUME"/>
        <w:numPr>
          <w:ilvl w:val="0"/>
          <w:numId w:val="6"/>
        </w:numPr>
        <w:ind w:left="5530" w:firstLine="562"/>
        <w:rPr>
          <w:i/>
          <w:rtl/>
        </w:rPr>
      </w:pPr>
      <w:r>
        <w:rPr>
          <w:rFonts w:hint="cs"/>
          <w:i/>
          <w:iCs/>
          <w:rtl/>
        </w:rPr>
        <w:t xml:space="preserve">النظر في الاقتراح المتعلق بإنشاء المهمة </w:t>
      </w:r>
      <w:r w:rsidRPr="005A55C8">
        <w:rPr>
          <w:rFonts w:hint="cs"/>
          <w:i/>
          <w:iCs/>
          <w:rtl/>
        </w:rPr>
        <w:t xml:space="preserve">رقم 67 </w:t>
      </w:r>
      <w:r w:rsidRPr="005A55C8">
        <w:rPr>
          <w:rFonts w:hint="cs"/>
          <w:i/>
          <w:iCs/>
          <w:rtl/>
          <w:lang w:bidi="ar-MA"/>
        </w:rPr>
        <w:t xml:space="preserve">من </w:t>
      </w:r>
      <w:r w:rsidRPr="005A55C8">
        <w:rPr>
          <w:rFonts w:hint="cs"/>
          <w:i/>
          <w:iCs/>
          <w:rtl/>
        </w:rPr>
        <w:t>برنامج</w:t>
      </w:r>
      <w:r>
        <w:rPr>
          <w:rFonts w:hint="cs"/>
          <w:i/>
          <w:iCs/>
          <w:rtl/>
        </w:rPr>
        <w:t xml:space="preserve"> عمل لجنة المعايير والموافقة عليه</w:t>
      </w:r>
      <w:r w:rsidRPr="005A55C8">
        <w:rPr>
          <w:rFonts w:hint="cs"/>
          <w:i/>
          <w:iCs/>
          <w:rtl/>
        </w:rPr>
        <w:t>، على النحو المشار إليه</w:t>
      </w:r>
      <w:r w:rsidR="00B33C4D">
        <w:rPr>
          <w:rFonts w:hint="cs"/>
          <w:i/>
          <w:iCs/>
          <w:rtl/>
        </w:rPr>
        <w:t xml:space="preserve"> في الفقرة 15 أعلاه</w:t>
      </w:r>
      <w:r>
        <w:rPr>
          <w:rFonts w:hint="cs"/>
          <w:i/>
          <w:iCs/>
          <w:rtl/>
        </w:rPr>
        <w:t xml:space="preserve"> وفي المرفق الثاني؛</w:t>
      </w:r>
    </w:p>
    <w:p w14:paraId="32A6F7E4" w14:textId="77777777" w:rsidR="002C5AE1" w:rsidRPr="005A55C8" w:rsidRDefault="002C5AE1" w:rsidP="000728C9">
      <w:pPr>
        <w:pStyle w:val="ONUME"/>
        <w:numPr>
          <w:ilvl w:val="0"/>
          <w:numId w:val="6"/>
        </w:numPr>
        <w:ind w:left="5530" w:firstLine="562"/>
        <w:rPr>
          <w:i/>
          <w:rtl/>
        </w:rPr>
      </w:pPr>
      <w:r w:rsidRPr="005A55C8">
        <w:rPr>
          <w:rFonts w:hint="cs"/>
          <w:i/>
          <w:iCs/>
          <w:rtl/>
        </w:rPr>
        <w:t xml:space="preserve">النظر في الوصف المقترح للمهمة رقم 67 والموافقة عليه، على النحو المشار إليه في الفقرة 16 أعلاه؛ </w:t>
      </w:r>
    </w:p>
    <w:p w14:paraId="4A80B062" w14:textId="77777777" w:rsidR="002C5AE1" w:rsidRPr="00DF38A0" w:rsidRDefault="00B33C4D" w:rsidP="000728C9">
      <w:pPr>
        <w:pStyle w:val="ONUME"/>
        <w:numPr>
          <w:ilvl w:val="0"/>
          <w:numId w:val="6"/>
        </w:numPr>
        <w:ind w:left="5530" w:firstLine="562"/>
        <w:rPr>
          <w:i/>
          <w:rtl/>
        </w:rPr>
      </w:pPr>
      <w:r>
        <w:rPr>
          <w:rFonts w:hint="cs"/>
          <w:i/>
          <w:iCs/>
          <w:rtl/>
        </w:rPr>
        <w:t xml:space="preserve">النظر </w:t>
      </w:r>
      <w:r w:rsidR="002C5AE1">
        <w:rPr>
          <w:rFonts w:hint="cs"/>
          <w:i/>
          <w:iCs/>
          <w:rtl/>
        </w:rPr>
        <w:t xml:space="preserve">في إنشاء فرقة </w:t>
      </w:r>
      <w:r w:rsidR="002C5AE1" w:rsidRPr="00F32F1C">
        <w:rPr>
          <w:rFonts w:hint="cs"/>
          <w:i/>
          <w:iCs/>
          <w:rtl/>
        </w:rPr>
        <w:t xml:space="preserve">العمل الجديدة مع </w:t>
      </w:r>
      <w:r w:rsidR="002C5AE1">
        <w:rPr>
          <w:rFonts w:hint="cs"/>
          <w:i/>
          <w:iCs/>
          <w:rtl/>
        </w:rPr>
        <w:t>المشاركين المعيّنين في الإشراف على فرقة العمل</w:t>
      </w:r>
      <w:r w:rsidR="002C5AE1" w:rsidRPr="00D83A3B">
        <w:rPr>
          <w:rFonts w:hint="cs"/>
          <w:i/>
          <w:iCs/>
          <w:rtl/>
        </w:rPr>
        <w:t xml:space="preserve"> </w:t>
      </w:r>
      <w:r w:rsidR="002C5AE1">
        <w:rPr>
          <w:rFonts w:hint="cs"/>
          <w:i/>
          <w:iCs/>
          <w:rtl/>
        </w:rPr>
        <w:t>والموافقة عليه، على النحو المشار إليه في الفقرة 17 أعلاه وفي المرفق الثاني من هذه الوثيقة؛</w:t>
      </w:r>
    </w:p>
    <w:p w14:paraId="45FB6F2D" w14:textId="77777777" w:rsidR="002C5AE1" w:rsidRPr="00DF38A0" w:rsidRDefault="002C5AE1" w:rsidP="000728C9">
      <w:pPr>
        <w:pStyle w:val="ONUME"/>
        <w:numPr>
          <w:ilvl w:val="0"/>
          <w:numId w:val="6"/>
        </w:numPr>
        <w:ind w:left="5530" w:firstLine="562"/>
        <w:rPr>
          <w:i/>
          <w:rtl/>
        </w:rPr>
      </w:pPr>
      <w:r>
        <w:rPr>
          <w:rFonts w:hint="cs"/>
          <w:i/>
          <w:iCs/>
          <w:rtl/>
        </w:rPr>
        <w:t xml:space="preserve">الطلب من </w:t>
      </w:r>
      <w:r w:rsidRPr="00F32F1C">
        <w:rPr>
          <w:rFonts w:hint="cs"/>
          <w:i/>
          <w:iCs/>
          <w:rtl/>
        </w:rPr>
        <w:t>الأمانة أن تصدر تعميما</w:t>
      </w:r>
      <w:r>
        <w:rPr>
          <w:rFonts w:hint="cs"/>
          <w:i/>
          <w:iCs/>
          <w:rtl/>
        </w:rPr>
        <w:t xml:space="preserve"> تدعو فيه أعضائها إلى ترشيح خبرائهم المتخصصين لعضوية فرقة العمل الجديدة، على النحو المشار إليه في الفقرة 18 أعلاه وفي المرفق الثاني من هذه الوثيقة.</w:t>
      </w:r>
    </w:p>
    <w:p w14:paraId="4B42F707" w14:textId="7FC5C340" w:rsidR="002C5AE1" w:rsidRPr="00885C56" w:rsidRDefault="002C5AE1" w:rsidP="006251D0">
      <w:pPr>
        <w:pStyle w:val="Endofdocument"/>
        <w:bidi/>
        <w:ind w:left="5530"/>
        <w:rPr>
          <w:b/>
          <w:bCs/>
          <w:rtl/>
        </w:rPr>
      </w:pPr>
      <w:r w:rsidRPr="00F22C5C">
        <w:rPr>
          <w:rFonts w:asciiTheme="minorHAnsi" w:hAnsiTheme="minorHAnsi" w:cstheme="minorHAnsi"/>
          <w:sz w:val="22"/>
          <w:szCs w:val="22"/>
          <w:rtl/>
        </w:rPr>
        <w:t>[يلي ذلك المرفق الأول]</w:t>
      </w:r>
    </w:p>
    <w:sectPr w:rsidR="002C5AE1" w:rsidRPr="00885C56" w:rsidSect="00885C56">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813F" w14:textId="77777777" w:rsidR="00501A68" w:rsidRDefault="00501A68">
      <w:r>
        <w:separator/>
      </w:r>
    </w:p>
  </w:endnote>
  <w:endnote w:type="continuationSeparator" w:id="0">
    <w:p w14:paraId="16A26F63" w14:textId="77777777" w:rsidR="00501A68" w:rsidRDefault="00501A68" w:rsidP="003B38C1">
      <w:r>
        <w:separator/>
      </w:r>
    </w:p>
    <w:p w14:paraId="7097D818" w14:textId="77777777" w:rsidR="00501A68" w:rsidRPr="003B38C1" w:rsidRDefault="00501A68" w:rsidP="003B38C1">
      <w:pPr>
        <w:spacing w:after="60"/>
        <w:rPr>
          <w:sz w:val="17"/>
        </w:rPr>
      </w:pPr>
      <w:r>
        <w:rPr>
          <w:sz w:val="17"/>
        </w:rPr>
        <w:t>[Endnote continued from previous page]</w:t>
      </w:r>
    </w:p>
  </w:endnote>
  <w:endnote w:type="continuationNotice" w:id="1">
    <w:p w14:paraId="0C2B10F1" w14:textId="77777777" w:rsidR="00501A68" w:rsidRPr="003B38C1" w:rsidRDefault="00501A6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23DC0" w14:textId="77777777" w:rsidR="00501A68" w:rsidRDefault="00501A68">
      <w:r>
        <w:separator/>
      </w:r>
    </w:p>
  </w:footnote>
  <w:footnote w:type="continuationSeparator" w:id="0">
    <w:p w14:paraId="04E7460B" w14:textId="77777777" w:rsidR="00501A68" w:rsidRDefault="00501A68" w:rsidP="008B60B2">
      <w:r>
        <w:separator/>
      </w:r>
    </w:p>
    <w:p w14:paraId="3776B62A" w14:textId="77777777" w:rsidR="00501A68" w:rsidRPr="00ED77FB" w:rsidRDefault="00501A68" w:rsidP="008B60B2">
      <w:pPr>
        <w:spacing w:after="60"/>
        <w:rPr>
          <w:sz w:val="17"/>
          <w:szCs w:val="17"/>
        </w:rPr>
      </w:pPr>
      <w:r w:rsidRPr="00ED77FB">
        <w:rPr>
          <w:sz w:val="17"/>
          <w:szCs w:val="17"/>
        </w:rPr>
        <w:t>[Footnote continued from previous page]</w:t>
      </w:r>
    </w:p>
  </w:footnote>
  <w:footnote w:type="continuationNotice" w:id="1">
    <w:p w14:paraId="4218F322" w14:textId="77777777" w:rsidR="00501A68" w:rsidRPr="00ED77FB" w:rsidRDefault="00501A6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D0580" w14:textId="71BA5512" w:rsidR="006251D0" w:rsidRDefault="006251D0" w:rsidP="006251D0">
    <w:pPr>
      <w:jc w:val="right"/>
    </w:pPr>
    <w:bookmarkStart w:id="6" w:name="Code2"/>
    <w:bookmarkEnd w:id="6"/>
    <w:r>
      <w:t>CWS/12/23 Rev.</w:t>
    </w:r>
  </w:p>
  <w:p w14:paraId="14057B2B" w14:textId="77777777" w:rsidR="00D07C78" w:rsidRDefault="00D07C78" w:rsidP="00210D5F">
    <w:pPr>
      <w:bidi w:val="0"/>
    </w:pPr>
    <w:r>
      <w:fldChar w:fldCharType="begin"/>
    </w:r>
    <w:r>
      <w:instrText xml:space="preserve"> PAGE  \* MERGEFORMAT </w:instrText>
    </w:r>
    <w:r>
      <w:fldChar w:fldCharType="separate"/>
    </w:r>
    <w:r w:rsidR="00836656">
      <w:rPr>
        <w:noProof/>
      </w:rPr>
      <w:t>2</w:t>
    </w:r>
    <w:r>
      <w:fldChar w:fldCharType="end"/>
    </w:r>
  </w:p>
  <w:p w14:paraId="3152D227" w14:textId="77777777" w:rsidR="00D07C78" w:rsidRDefault="00D07C78" w:rsidP="00210D5F">
    <w:pPr>
      <w:bidi w:val="0"/>
    </w:pPr>
  </w:p>
  <w:p w14:paraId="5154EF1E"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2A05" w14:textId="77777777" w:rsidR="00836656" w:rsidRDefault="00836656" w:rsidP="0066728A">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4838"/>
    <w:multiLevelType w:val="hybridMultilevel"/>
    <w:tmpl w:val="2E106740"/>
    <w:lvl w:ilvl="0" w:tplc="DDA6CF12">
      <w:start w:val="1"/>
      <w:numFmt w:val="bullet"/>
      <w:lvlText w:val=""/>
      <w:lvlJc w:val="left"/>
      <w:pPr>
        <w:ind w:left="1280" w:hanging="440"/>
      </w:pPr>
      <w:rPr>
        <w:rFonts w:ascii="Symbol" w:hAnsi="Symbol"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16137F"/>
    <w:multiLevelType w:val="hybridMultilevel"/>
    <w:tmpl w:val="E73CB058"/>
    <w:lvl w:ilvl="0" w:tplc="AA42265C">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BD6A43"/>
    <w:multiLevelType w:val="hybridMultilevel"/>
    <w:tmpl w:val="D060B2C2"/>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3323FA2"/>
    <w:multiLevelType w:val="hybridMultilevel"/>
    <w:tmpl w:val="25CA1354"/>
    <w:lvl w:ilvl="0" w:tplc="526C877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73A500E"/>
    <w:multiLevelType w:val="hybridMultilevel"/>
    <w:tmpl w:val="F60CDB38"/>
    <w:lvl w:ilvl="0" w:tplc="7FDA2AD4">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1871C6"/>
    <w:multiLevelType w:val="hybridMultilevel"/>
    <w:tmpl w:val="BCDCD3FC"/>
    <w:lvl w:ilvl="0" w:tplc="7FDA2AD4">
      <w:start w:val="1"/>
      <w:numFmt w:val="arabicAbjad"/>
      <w:lvlText w:val="(%1)"/>
      <w:lvlJc w:val="left"/>
      <w:pPr>
        <w:ind w:left="6812" w:hanging="360"/>
      </w:pPr>
      <w:rPr>
        <w:rFonts w:hint="default"/>
      </w:rPr>
    </w:lvl>
    <w:lvl w:ilvl="1" w:tplc="10090019" w:tentative="1">
      <w:start w:val="1"/>
      <w:numFmt w:val="lowerLetter"/>
      <w:lvlText w:val="%2."/>
      <w:lvlJc w:val="left"/>
      <w:pPr>
        <w:ind w:left="7532" w:hanging="360"/>
      </w:pPr>
    </w:lvl>
    <w:lvl w:ilvl="2" w:tplc="1009001B" w:tentative="1">
      <w:start w:val="1"/>
      <w:numFmt w:val="lowerRoman"/>
      <w:lvlText w:val="%3."/>
      <w:lvlJc w:val="right"/>
      <w:pPr>
        <w:ind w:left="8252" w:hanging="180"/>
      </w:pPr>
    </w:lvl>
    <w:lvl w:ilvl="3" w:tplc="1009000F" w:tentative="1">
      <w:start w:val="1"/>
      <w:numFmt w:val="decimal"/>
      <w:lvlText w:val="%4."/>
      <w:lvlJc w:val="left"/>
      <w:pPr>
        <w:ind w:left="8972" w:hanging="360"/>
      </w:pPr>
    </w:lvl>
    <w:lvl w:ilvl="4" w:tplc="10090019" w:tentative="1">
      <w:start w:val="1"/>
      <w:numFmt w:val="lowerLetter"/>
      <w:lvlText w:val="%5."/>
      <w:lvlJc w:val="left"/>
      <w:pPr>
        <w:ind w:left="9692" w:hanging="360"/>
      </w:pPr>
    </w:lvl>
    <w:lvl w:ilvl="5" w:tplc="1009001B" w:tentative="1">
      <w:start w:val="1"/>
      <w:numFmt w:val="lowerRoman"/>
      <w:lvlText w:val="%6."/>
      <w:lvlJc w:val="right"/>
      <w:pPr>
        <w:ind w:left="10412" w:hanging="180"/>
      </w:pPr>
    </w:lvl>
    <w:lvl w:ilvl="6" w:tplc="1009000F" w:tentative="1">
      <w:start w:val="1"/>
      <w:numFmt w:val="decimal"/>
      <w:lvlText w:val="%7."/>
      <w:lvlJc w:val="left"/>
      <w:pPr>
        <w:ind w:left="11132" w:hanging="360"/>
      </w:pPr>
    </w:lvl>
    <w:lvl w:ilvl="7" w:tplc="10090019" w:tentative="1">
      <w:start w:val="1"/>
      <w:numFmt w:val="lowerLetter"/>
      <w:lvlText w:val="%8."/>
      <w:lvlJc w:val="left"/>
      <w:pPr>
        <w:ind w:left="11852" w:hanging="360"/>
      </w:pPr>
    </w:lvl>
    <w:lvl w:ilvl="8" w:tplc="1009001B" w:tentative="1">
      <w:start w:val="1"/>
      <w:numFmt w:val="lowerRoman"/>
      <w:lvlText w:val="%9."/>
      <w:lvlJc w:val="right"/>
      <w:pPr>
        <w:ind w:left="12572"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D1A5B0F"/>
    <w:multiLevelType w:val="hybridMultilevel"/>
    <w:tmpl w:val="471C6A2E"/>
    <w:lvl w:ilvl="0" w:tplc="C0E22200">
      <w:start w:val="1"/>
      <w:numFmt w:val="bullet"/>
      <w:lvlText w:val=""/>
      <w:lvlJc w:val="left"/>
      <w:pPr>
        <w:ind w:left="1290" w:hanging="440"/>
      </w:pPr>
      <w:rPr>
        <w:rFonts w:ascii="Symbol" w:hAnsi="Symbol" w:hint="default"/>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num w:numId="1" w16cid:durableId="329649543">
    <w:abstractNumId w:val="8"/>
  </w:num>
  <w:num w:numId="2" w16cid:durableId="1036154163">
    <w:abstractNumId w:val="1"/>
  </w:num>
  <w:num w:numId="3" w16cid:durableId="1688016230">
    <w:abstractNumId w:val="3"/>
  </w:num>
  <w:num w:numId="4" w16cid:durableId="1100563696">
    <w:abstractNumId w:val="9"/>
  </w:num>
  <w:num w:numId="5" w16cid:durableId="1546521051">
    <w:abstractNumId w:val="4"/>
  </w:num>
  <w:num w:numId="6" w16cid:durableId="2043896054">
    <w:abstractNumId w:val="7"/>
  </w:num>
  <w:num w:numId="7" w16cid:durableId="1924223405">
    <w:abstractNumId w:val="0"/>
  </w:num>
  <w:num w:numId="8" w16cid:durableId="1388188328">
    <w:abstractNumId w:val="10"/>
  </w:num>
  <w:num w:numId="9" w16cid:durableId="1156992106">
    <w:abstractNumId w:val="6"/>
  </w:num>
  <w:num w:numId="10" w16cid:durableId="810515069">
    <w:abstractNumId w:val="5"/>
  </w:num>
  <w:num w:numId="11" w16cid:durableId="1958026313">
    <w:abstractNumId w:val="2"/>
  </w:num>
  <w:num w:numId="12" w16cid:durableId="1981032668">
    <w:abstractNumId w:val="1"/>
  </w:num>
  <w:num w:numId="13" w16cid:durableId="1700011567">
    <w:abstractNumId w:val="1"/>
  </w:num>
  <w:num w:numId="14" w16cid:durableId="732697500">
    <w:abstractNumId w:val="1"/>
  </w:num>
  <w:num w:numId="15" w16cid:durableId="78611849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E1"/>
    <w:rsid w:val="00024E19"/>
    <w:rsid w:val="00041A0A"/>
    <w:rsid w:val="00043887"/>
    <w:rsid w:val="00043CAA"/>
    <w:rsid w:val="00056816"/>
    <w:rsid w:val="000632C7"/>
    <w:rsid w:val="000728C9"/>
    <w:rsid w:val="00075432"/>
    <w:rsid w:val="000910E5"/>
    <w:rsid w:val="000968ED"/>
    <w:rsid w:val="000A3D97"/>
    <w:rsid w:val="000B5B36"/>
    <w:rsid w:val="000D3DAB"/>
    <w:rsid w:val="000D42A9"/>
    <w:rsid w:val="000F4790"/>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15169"/>
    <w:rsid w:val="002326AB"/>
    <w:rsid w:val="00243430"/>
    <w:rsid w:val="00250149"/>
    <w:rsid w:val="00262607"/>
    <w:rsid w:val="002634C4"/>
    <w:rsid w:val="00265354"/>
    <w:rsid w:val="00273181"/>
    <w:rsid w:val="002928D3"/>
    <w:rsid w:val="002A7B3A"/>
    <w:rsid w:val="002C5AE1"/>
    <w:rsid w:val="002F1FE6"/>
    <w:rsid w:val="002F4E68"/>
    <w:rsid w:val="00303282"/>
    <w:rsid w:val="003119BF"/>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E293D"/>
    <w:rsid w:val="003F20F4"/>
    <w:rsid w:val="004057D4"/>
    <w:rsid w:val="004117C3"/>
    <w:rsid w:val="00423E3E"/>
    <w:rsid w:val="00424643"/>
    <w:rsid w:val="00427AF4"/>
    <w:rsid w:val="004434C3"/>
    <w:rsid w:val="0045246E"/>
    <w:rsid w:val="00452F85"/>
    <w:rsid w:val="00461B51"/>
    <w:rsid w:val="004647DA"/>
    <w:rsid w:val="00474062"/>
    <w:rsid w:val="00477D6B"/>
    <w:rsid w:val="0048522D"/>
    <w:rsid w:val="004D29A8"/>
    <w:rsid w:val="004F2DEB"/>
    <w:rsid w:val="005019FF"/>
    <w:rsid w:val="00501A68"/>
    <w:rsid w:val="005031A7"/>
    <w:rsid w:val="0050470A"/>
    <w:rsid w:val="0053057A"/>
    <w:rsid w:val="00556076"/>
    <w:rsid w:val="00560A29"/>
    <w:rsid w:val="00566457"/>
    <w:rsid w:val="00570B19"/>
    <w:rsid w:val="005740C5"/>
    <w:rsid w:val="0059409E"/>
    <w:rsid w:val="005B2C79"/>
    <w:rsid w:val="005B453D"/>
    <w:rsid w:val="005B468F"/>
    <w:rsid w:val="005C5B64"/>
    <w:rsid w:val="005C6649"/>
    <w:rsid w:val="005E0A3B"/>
    <w:rsid w:val="005E7B89"/>
    <w:rsid w:val="005F0828"/>
    <w:rsid w:val="00600D30"/>
    <w:rsid w:val="00605827"/>
    <w:rsid w:val="006251D0"/>
    <w:rsid w:val="00646050"/>
    <w:rsid w:val="006713CA"/>
    <w:rsid w:val="00676C5C"/>
    <w:rsid w:val="006A516B"/>
    <w:rsid w:val="006B5C12"/>
    <w:rsid w:val="006D27D2"/>
    <w:rsid w:val="006D7AAB"/>
    <w:rsid w:val="006D7C7A"/>
    <w:rsid w:val="006F641A"/>
    <w:rsid w:val="0070778E"/>
    <w:rsid w:val="00720EFD"/>
    <w:rsid w:val="00725950"/>
    <w:rsid w:val="00750C1A"/>
    <w:rsid w:val="007854AF"/>
    <w:rsid w:val="0079149A"/>
    <w:rsid w:val="00793A7C"/>
    <w:rsid w:val="007969D1"/>
    <w:rsid w:val="007A0E2A"/>
    <w:rsid w:val="007A398A"/>
    <w:rsid w:val="007C4902"/>
    <w:rsid w:val="007D1613"/>
    <w:rsid w:val="007E4889"/>
    <w:rsid w:val="007E4C0E"/>
    <w:rsid w:val="00820911"/>
    <w:rsid w:val="008243C0"/>
    <w:rsid w:val="00836656"/>
    <w:rsid w:val="00882F5E"/>
    <w:rsid w:val="00885C56"/>
    <w:rsid w:val="008A134B"/>
    <w:rsid w:val="008A56CE"/>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9799C"/>
    <w:rsid w:val="009B0855"/>
    <w:rsid w:val="009B48A1"/>
    <w:rsid w:val="009B51CF"/>
    <w:rsid w:val="009E1721"/>
    <w:rsid w:val="009E2791"/>
    <w:rsid w:val="009E3F6F"/>
    <w:rsid w:val="009F499F"/>
    <w:rsid w:val="00A33241"/>
    <w:rsid w:val="00A35F37"/>
    <w:rsid w:val="00A37342"/>
    <w:rsid w:val="00A410A9"/>
    <w:rsid w:val="00A42DAF"/>
    <w:rsid w:val="00A448AB"/>
    <w:rsid w:val="00A45BD8"/>
    <w:rsid w:val="00A869B7"/>
    <w:rsid w:val="00A86E6F"/>
    <w:rsid w:val="00A90F0A"/>
    <w:rsid w:val="00AA589B"/>
    <w:rsid w:val="00AC205C"/>
    <w:rsid w:val="00AC20E9"/>
    <w:rsid w:val="00AD30FC"/>
    <w:rsid w:val="00AD5F3C"/>
    <w:rsid w:val="00AF0A6B"/>
    <w:rsid w:val="00B05A69"/>
    <w:rsid w:val="00B26A4F"/>
    <w:rsid w:val="00B33C4D"/>
    <w:rsid w:val="00B42CA9"/>
    <w:rsid w:val="00B51FF7"/>
    <w:rsid w:val="00B75281"/>
    <w:rsid w:val="00B86A18"/>
    <w:rsid w:val="00B92F1F"/>
    <w:rsid w:val="00B953D5"/>
    <w:rsid w:val="00B9734B"/>
    <w:rsid w:val="00BA30E2"/>
    <w:rsid w:val="00BB781F"/>
    <w:rsid w:val="00BC6536"/>
    <w:rsid w:val="00BC7ACB"/>
    <w:rsid w:val="00C11BFE"/>
    <w:rsid w:val="00C3436A"/>
    <w:rsid w:val="00C5068F"/>
    <w:rsid w:val="00C60E4B"/>
    <w:rsid w:val="00C73194"/>
    <w:rsid w:val="00C86D74"/>
    <w:rsid w:val="00C91553"/>
    <w:rsid w:val="00C925E7"/>
    <w:rsid w:val="00CA321B"/>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E15015"/>
    <w:rsid w:val="00E1577F"/>
    <w:rsid w:val="00E15F75"/>
    <w:rsid w:val="00E17738"/>
    <w:rsid w:val="00E23ECB"/>
    <w:rsid w:val="00E24A15"/>
    <w:rsid w:val="00E319DF"/>
    <w:rsid w:val="00E335FE"/>
    <w:rsid w:val="00E63D4F"/>
    <w:rsid w:val="00E66CC5"/>
    <w:rsid w:val="00E70C7E"/>
    <w:rsid w:val="00E91C3A"/>
    <w:rsid w:val="00EA2B00"/>
    <w:rsid w:val="00EA7D6E"/>
    <w:rsid w:val="00EB2F76"/>
    <w:rsid w:val="00EC4E49"/>
    <w:rsid w:val="00ED6EB7"/>
    <w:rsid w:val="00ED77FB"/>
    <w:rsid w:val="00EE307E"/>
    <w:rsid w:val="00EE45FA"/>
    <w:rsid w:val="00F043DE"/>
    <w:rsid w:val="00F10E7C"/>
    <w:rsid w:val="00F1217E"/>
    <w:rsid w:val="00F22C5C"/>
    <w:rsid w:val="00F248CE"/>
    <w:rsid w:val="00F42F9F"/>
    <w:rsid w:val="00F560E0"/>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FB7F"/>
  <w15:docId w15:val="{AAE8C050-AA8F-4EC0-A678-E7D91620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uiPriority w:val="9"/>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customStyle="1" w:styleId="ONUMEChar">
    <w:name w:val="ONUM E Char"/>
    <w:basedOn w:val="DefaultParagraphFont"/>
    <w:link w:val="ONUME"/>
    <w:rsid w:val="002C5AE1"/>
    <w:rPr>
      <w:rFonts w:ascii="Arial" w:eastAsia="SimSun" w:hAnsi="Arial" w:cs="Calibri"/>
      <w:sz w:val="22"/>
      <w:szCs w:val="22"/>
      <w:lang w:val="en-US" w:eastAsia="zh-CN"/>
    </w:rPr>
  </w:style>
  <w:style w:type="paragraph" w:customStyle="1" w:styleId="Endofdocument">
    <w:name w:val="End of document"/>
    <w:basedOn w:val="Normal"/>
    <w:rsid w:val="002C5AE1"/>
    <w:pPr>
      <w:bidi w:val="0"/>
      <w:spacing w:line="260" w:lineRule="atLeast"/>
      <w:ind w:left="5534"/>
    </w:pPr>
    <w:rPr>
      <w:rFonts w:eastAsia="Times New Roman" w:cs="Times New Roman"/>
      <w:sz w:val="20"/>
      <w:szCs w:val="20"/>
      <w:lang w:eastAsia="en-US" w:bidi="ar-EG"/>
    </w:rPr>
  </w:style>
  <w:style w:type="character" w:styleId="Hyperlink">
    <w:name w:val="Hyperlink"/>
    <w:basedOn w:val="DefaultParagraphFont"/>
    <w:unhideWhenUsed/>
    <w:rsid w:val="002C5AE1"/>
    <w:rPr>
      <w:color w:val="0000FF" w:themeColor="hyperlink"/>
      <w:u w:val="single"/>
    </w:rPr>
  </w:style>
  <w:style w:type="character" w:customStyle="1" w:styleId="HeaderChar">
    <w:name w:val="Header Char"/>
    <w:basedOn w:val="DefaultParagraphFont"/>
    <w:link w:val="Header"/>
    <w:uiPriority w:val="99"/>
    <w:rsid w:val="00885C56"/>
    <w:rPr>
      <w:rFonts w:ascii="Arial" w:eastAsia="SimSun" w:hAnsi="Arial" w:cs="Calibri"/>
      <w:sz w:val="22"/>
      <w:szCs w:val="22"/>
      <w:lang w:val="en-US" w:eastAsia="zh-CN"/>
    </w:rPr>
  </w:style>
  <w:style w:type="character" w:customStyle="1" w:styleId="Heading2Char">
    <w:name w:val="Heading 2 Char"/>
    <w:basedOn w:val="DefaultParagraphFont"/>
    <w:link w:val="Heading2"/>
    <w:uiPriority w:val="9"/>
    <w:rsid w:val="00885C56"/>
    <w:rPr>
      <w:rFonts w:ascii="Arial" w:eastAsia="SimSun" w:hAnsi="Arial" w:cs="Calibri"/>
      <w:bCs/>
      <w:iCs/>
      <w:caps/>
      <w:sz w:val="28"/>
      <w:szCs w:val="28"/>
      <w:lang w:val="en-US" w:eastAsia="zh-CN"/>
    </w:rPr>
  </w:style>
  <w:style w:type="character" w:styleId="UnresolvedMention">
    <w:name w:val="Unresolved Mention"/>
    <w:basedOn w:val="DefaultParagraphFont"/>
    <w:uiPriority w:val="99"/>
    <w:semiHidden/>
    <w:unhideWhenUsed/>
    <w:rsid w:val="00311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4595">
      <w:bodyDiv w:val="1"/>
      <w:marLeft w:val="0"/>
      <w:marRight w:val="0"/>
      <w:marTop w:val="0"/>
      <w:marBottom w:val="0"/>
      <w:divBdr>
        <w:top w:val="none" w:sz="0" w:space="0" w:color="auto"/>
        <w:left w:val="none" w:sz="0" w:space="0" w:color="auto"/>
        <w:bottom w:val="none" w:sz="0" w:space="0" w:color="auto"/>
        <w:right w:val="none" w:sz="0" w:space="0" w:color="auto"/>
      </w:divBdr>
    </w:div>
    <w:div w:id="2098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ws/en/cws_11/cws_11_2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cws/en/cws_11/cws_11_16.pdf" TargetMode="External"/><Relationship Id="rId17" Type="http://schemas.openxmlformats.org/officeDocument/2006/relationships/hyperlink" Target="https://www.wipo.int/cws/en/cws-rules-procedure.html" TargetMode="External"/><Relationship Id="rId2" Type="http://schemas.openxmlformats.org/officeDocument/2006/relationships/numbering" Target="numbering.xml"/><Relationship Id="rId16" Type="http://schemas.openxmlformats.org/officeDocument/2006/relationships/hyperlink" Target="https://www.wipo.int/reference/en/designd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randdb.wipo.int/en/similarname?sort=score%20desc&amp;start=0&amp;rows=30&amp;asStructure=%7B%22boolean%22:%22AND%22,%22bricks%22:%5B%5D%7D&amp;_=1721202727811%20https://www.wipo.int/reference/en/designdb/"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atentscope.wipo.int/search/en/search.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ki\OneDrive\Desktop\REVISION\cws_12_23_2454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70591-A6D7-49CC-ACEF-73BD95B2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cws_12_23_245424_AR.dotx</Template>
  <TotalTime>2</TotalTime>
  <Pages>4</Pages>
  <Words>1459</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CWS/12/23 (Arabic)</vt:lpstr>
      <vt:lpstr>CWS/12/ (Arabic)</vt:lpstr>
    </vt:vector>
  </TitlesOfParts>
  <Company>WIPO</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(Arabic)</dc:title>
  <dc:creator>noureddine malki</dc:creator>
  <cp:keywords>FOR OFFICIAL USE ONLY</cp:keywords>
  <cp:lastModifiedBy>ALAKHRAS Basel</cp:lastModifiedBy>
  <cp:revision>7</cp:revision>
  <cp:lastPrinted>2024-09-11T11:13:00Z</cp:lastPrinted>
  <dcterms:created xsi:type="dcterms:W3CDTF">2024-09-11T11:02:00Z</dcterms:created>
  <dcterms:modified xsi:type="dcterms:W3CDTF">2024-09-11T11:13:00Z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2024-08-23T09:13:07Z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332dfb80-82a1-4ea8-b9d8-cc0d23f4b4c9</vt:lpwstr>
  </property>
  <property fmtid="{D5CDD505-2E9C-101B-9397-08002B2CF9AE}" pid="14" name="MSIP_Label_20773ee6-353b-4fb9-a59d-0b94c8c67bea_ContentBits">
    <vt:lpwstr>0</vt:lpwstr>
  </property>
</Properties>
</file>