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08D8" w14:textId="77777777" w:rsidR="008B2CC1" w:rsidRPr="00D93E99" w:rsidRDefault="00CC3E2D" w:rsidP="004E6D5F">
      <w:pPr>
        <w:pBdr>
          <w:bottom w:val="single" w:sz="4" w:space="10" w:color="auto"/>
        </w:pBdr>
        <w:bidi w:val="0"/>
        <w:spacing w:after="120"/>
        <w:rPr>
          <w:b/>
        </w:rPr>
      </w:pPr>
      <w:r w:rsidRPr="00D93E99">
        <w:rPr>
          <w:b/>
          <w:noProof/>
          <w:lang w:eastAsia="en-US"/>
        </w:rPr>
        <mc:AlternateContent>
          <mc:Choice Requires="wpg">
            <w:drawing>
              <wp:inline distT="0" distB="0" distL="0" distR="0" wp14:anchorId="4F4143A5" wp14:editId="15CCE83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3EC85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BB727F3" w14:textId="68326BCE" w:rsidR="0092178B" w:rsidRPr="00B82F4A" w:rsidRDefault="0092178B" w:rsidP="0092178B">
      <w:pPr>
        <w:bidi w:val="0"/>
        <w:rPr>
          <w:b/>
          <w:bCs/>
          <w:caps/>
          <w:sz w:val="15"/>
          <w:szCs w:val="15"/>
          <w:lang w:val="fr-FR" w:bidi="ar-SY"/>
        </w:rPr>
      </w:pPr>
      <w:bookmarkStart w:id="0" w:name="TitleOfDoc"/>
      <w:r w:rsidRPr="00B82F4A">
        <w:rPr>
          <w:b/>
          <w:bCs/>
          <w:caps/>
          <w:sz w:val="15"/>
          <w:szCs w:val="15"/>
        </w:rPr>
        <w:t>CWS/1</w:t>
      </w:r>
      <w:r w:rsidR="00AD0FB5" w:rsidRPr="00B82F4A">
        <w:rPr>
          <w:b/>
          <w:bCs/>
          <w:caps/>
          <w:sz w:val="15"/>
          <w:szCs w:val="15"/>
        </w:rPr>
        <w:t>2</w:t>
      </w:r>
      <w:r w:rsidR="00B82F4A">
        <w:rPr>
          <w:b/>
          <w:bCs/>
          <w:caps/>
          <w:sz w:val="15"/>
          <w:szCs w:val="15"/>
          <w:lang w:val="fr-FR" w:bidi="ar-SY"/>
        </w:rPr>
        <w:t>/27</w:t>
      </w:r>
    </w:p>
    <w:p w14:paraId="1C847B2F" w14:textId="77777777" w:rsidR="0092178B" w:rsidRPr="00B82F4A" w:rsidRDefault="0092178B" w:rsidP="0092178B">
      <w:pPr>
        <w:jc w:val="right"/>
        <w:rPr>
          <w:b/>
          <w:bCs/>
          <w:caps/>
          <w:sz w:val="15"/>
          <w:szCs w:val="15"/>
        </w:rPr>
      </w:pPr>
      <w:bookmarkStart w:id="1" w:name="Original"/>
      <w:r w:rsidRPr="00B82F4A">
        <w:rPr>
          <w:rFonts w:hint="cs"/>
          <w:b/>
          <w:bCs/>
          <w:caps/>
          <w:sz w:val="15"/>
          <w:szCs w:val="15"/>
          <w:rtl/>
        </w:rPr>
        <w:t>الأصل: بالإنكليزية</w:t>
      </w:r>
    </w:p>
    <w:p w14:paraId="21766EC0" w14:textId="78B32228" w:rsidR="0092178B" w:rsidRPr="00D93E99" w:rsidRDefault="0092178B" w:rsidP="0092178B">
      <w:pPr>
        <w:spacing w:after="1200"/>
        <w:jc w:val="right"/>
        <w:rPr>
          <w:b/>
          <w:bCs/>
          <w:caps/>
          <w:sz w:val="15"/>
          <w:szCs w:val="15"/>
          <w:rtl/>
          <w:lang w:bidi="ar-SY"/>
        </w:rPr>
      </w:pPr>
      <w:bookmarkStart w:id="2" w:name="Date"/>
      <w:bookmarkEnd w:id="1"/>
      <w:r w:rsidRPr="00B82F4A">
        <w:rPr>
          <w:rFonts w:hint="cs"/>
          <w:b/>
          <w:bCs/>
          <w:caps/>
          <w:sz w:val="15"/>
          <w:szCs w:val="15"/>
          <w:rtl/>
        </w:rPr>
        <w:t>التاريخ:</w:t>
      </w:r>
      <w:r w:rsidRPr="00D93E99">
        <w:rPr>
          <w:rFonts w:hint="cs"/>
          <w:b/>
          <w:bCs/>
          <w:caps/>
          <w:sz w:val="15"/>
          <w:szCs w:val="15"/>
          <w:rtl/>
        </w:rPr>
        <w:t xml:space="preserve"> </w:t>
      </w:r>
      <w:r w:rsidR="00B82F4A">
        <w:rPr>
          <w:rFonts w:hint="cs"/>
          <w:b/>
          <w:bCs/>
          <w:caps/>
          <w:sz w:val="15"/>
          <w:szCs w:val="15"/>
          <w:rtl/>
          <w:lang w:bidi="ar-SY"/>
        </w:rPr>
        <w:t>13 أغسطس</w:t>
      </w:r>
      <w:r w:rsidR="00B82F4A">
        <w:rPr>
          <w:rFonts w:hint="cs"/>
          <w:b/>
          <w:bCs/>
          <w:caps/>
          <w:vanish/>
          <w:sz w:val="15"/>
          <w:szCs w:val="15"/>
          <w:rtl/>
          <w:lang w:bidi="ar-SY"/>
        </w:rPr>
        <w:t>غأغي</w:t>
      </w:r>
      <w:r w:rsidR="00AD0FB5" w:rsidRPr="00D93E99">
        <w:rPr>
          <w:rFonts w:hint="cs"/>
          <w:b/>
          <w:bCs/>
          <w:caps/>
          <w:sz w:val="15"/>
          <w:szCs w:val="15"/>
          <w:rtl/>
          <w:lang w:bidi="ar-SY"/>
        </w:rPr>
        <w:t xml:space="preserve"> 2024</w:t>
      </w:r>
    </w:p>
    <w:bookmarkEnd w:id="2"/>
    <w:p w14:paraId="578389D3" w14:textId="77777777" w:rsidR="0092178B" w:rsidRPr="00D93E99" w:rsidRDefault="0092178B" w:rsidP="0092178B">
      <w:pPr>
        <w:pStyle w:val="Titre1"/>
      </w:pPr>
      <w:r w:rsidRPr="00D93E99">
        <w:rPr>
          <w:rFonts w:hint="cs"/>
          <w:rtl/>
        </w:rPr>
        <w:t>اللجنة المعنية بمعايير الويبو</w:t>
      </w:r>
    </w:p>
    <w:p w14:paraId="6C4B47D4" w14:textId="7B44179A" w:rsidR="0092178B" w:rsidRPr="00D93E99" w:rsidRDefault="0092178B" w:rsidP="0092178B">
      <w:pPr>
        <w:outlineLvl w:val="1"/>
        <w:rPr>
          <w:bCs/>
          <w:sz w:val="24"/>
          <w:szCs w:val="24"/>
        </w:rPr>
      </w:pPr>
      <w:r w:rsidRPr="00D93E99">
        <w:rPr>
          <w:rFonts w:hint="cs"/>
          <w:bCs/>
          <w:sz w:val="24"/>
          <w:szCs w:val="24"/>
          <w:rtl/>
        </w:rPr>
        <w:t xml:space="preserve">الدورة </w:t>
      </w:r>
      <w:r w:rsidR="00AD0FB5" w:rsidRPr="00D93E99">
        <w:rPr>
          <w:rFonts w:hint="cs"/>
          <w:bCs/>
          <w:sz w:val="24"/>
          <w:szCs w:val="24"/>
          <w:rtl/>
        </w:rPr>
        <w:t>الثانية</w:t>
      </w:r>
      <w:r w:rsidRPr="00D93E99">
        <w:rPr>
          <w:rFonts w:hint="cs"/>
          <w:bCs/>
          <w:sz w:val="24"/>
          <w:szCs w:val="24"/>
          <w:rtl/>
        </w:rPr>
        <w:t xml:space="preserve"> عشرة</w:t>
      </w:r>
    </w:p>
    <w:p w14:paraId="1F0F8A9A" w14:textId="261AD233" w:rsidR="0092178B" w:rsidRPr="00D93E99" w:rsidRDefault="0092178B" w:rsidP="0092178B">
      <w:pPr>
        <w:spacing w:after="720"/>
        <w:outlineLvl w:val="1"/>
        <w:rPr>
          <w:bCs/>
          <w:sz w:val="24"/>
          <w:szCs w:val="24"/>
        </w:rPr>
      </w:pPr>
      <w:r w:rsidRPr="00D93E99">
        <w:rPr>
          <w:rFonts w:hint="cs"/>
          <w:bCs/>
          <w:sz w:val="24"/>
          <w:szCs w:val="24"/>
          <w:rtl/>
        </w:rPr>
        <w:t xml:space="preserve">جنيف، من </w:t>
      </w:r>
      <w:r w:rsidR="00AD0FB5" w:rsidRPr="00D93E99">
        <w:rPr>
          <w:rFonts w:hint="cs"/>
          <w:bCs/>
          <w:sz w:val="24"/>
          <w:szCs w:val="24"/>
          <w:rtl/>
        </w:rPr>
        <w:t>16 إلى 19 سبتمبر 2024</w:t>
      </w:r>
    </w:p>
    <w:p w14:paraId="3244EFB7" w14:textId="2F6673A4" w:rsidR="00486B87" w:rsidRPr="00B61F9C" w:rsidRDefault="00B82F4A" w:rsidP="00AE5CC2">
      <w:pPr>
        <w:spacing w:after="360"/>
        <w:outlineLvl w:val="1"/>
        <w:rPr>
          <w:b/>
          <w:sz w:val="24"/>
          <w:szCs w:val="24"/>
          <w:lang w:bidi="ar-MA"/>
        </w:rPr>
      </w:pPr>
      <w:r w:rsidRPr="00B82F4A">
        <w:rPr>
          <w:b/>
          <w:sz w:val="24"/>
          <w:szCs w:val="24"/>
          <w:rtl/>
          <w:lang w:bidi="ar-MA"/>
        </w:rPr>
        <w:t>توصيات</w:t>
      </w:r>
      <w:r>
        <w:rPr>
          <w:rFonts w:hint="cs"/>
          <w:b/>
          <w:sz w:val="24"/>
          <w:szCs w:val="24"/>
          <w:rtl/>
          <w:lang w:bidi="ar-MA"/>
        </w:rPr>
        <w:t xml:space="preserve"> وحدة التفتيش المشتركة</w:t>
      </w:r>
      <w:r w:rsidRPr="00B82F4A">
        <w:rPr>
          <w:b/>
          <w:sz w:val="24"/>
          <w:szCs w:val="24"/>
          <w:rtl/>
          <w:lang w:bidi="ar-MA"/>
        </w:rPr>
        <w:t xml:space="preserve"> بشأن </w:t>
      </w:r>
      <w:r w:rsidR="005218D3">
        <w:rPr>
          <w:rFonts w:hint="cs"/>
          <w:b/>
          <w:sz w:val="24"/>
          <w:szCs w:val="24"/>
          <w:rtl/>
          <w:lang w:bidi="ar-MA"/>
        </w:rPr>
        <w:t>تطبيق</w:t>
      </w:r>
      <w:r w:rsidR="005218D3">
        <w:rPr>
          <w:rFonts w:hint="cs"/>
          <w:b/>
          <w:sz w:val="24"/>
          <w:szCs w:val="24"/>
          <w:rtl/>
          <w:lang w:val="fr-CH" w:bidi="ar-SY"/>
        </w:rPr>
        <w:t xml:space="preserve"> تكنولوجيا</w:t>
      </w:r>
      <w:r w:rsidRPr="00B82F4A">
        <w:rPr>
          <w:b/>
          <w:sz w:val="24"/>
          <w:szCs w:val="24"/>
          <w:rtl/>
          <w:lang w:bidi="ar-MA"/>
        </w:rPr>
        <w:t xml:space="preserve"> </w:t>
      </w:r>
      <w:r>
        <w:rPr>
          <w:rFonts w:hint="cs"/>
          <w:b/>
          <w:sz w:val="24"/>
          <w:szCs w:val="24"/>
          <w:rtl/>
          <w:lang w:val="fr-CH" w:bidi="ar-SY"/>
        </w:rPr>
        <w:t>سلاسل الكتل</w:t>
      </w:r>
      <w:r w:rsidRPr="00B82F4A">
        <w:rPr>
          <w:b/>
          <w:sz w:val="24"/>
          <w:szCs w:val="24"/>
          <w:rtl/>
          <w:lang w:bidi="ar-MA"/>
        </w:rPr>
        <w:t xml:space="preserve"> في منظومة الأمم المتحدة </w:t>
      </w:r>
    </w:p>
    <w:p w14:paraId="19AD1B0C" w14:textId="0C44CEDC" w:rsidR="00B5495A" w:rsidRPr="00D93E99" w:rsidRDefault="00486B87" w:rsidP="004E6D5F">
      <w:pPr>
        <w:spacing w:after="720"/>
        <w:outlineLvl w:val="1"/>
        <w:rPr>
          <w:b/>
          <w:i/>
          <w:iCs/>
          <w:lang w:val="fr-CA" w:bidi="ar-MA"/>
        </w:rPr>
      </w:pPr>
      <w:r w:rsidRPr="00D93E99">
        <w:rPr>
          <w:b/>
          <w:i/>
          <w:iCs/>
          <w:rtl/>
          <w:lang w:bidi="ar-MA"/>
        </w:rPr>
        <w:t xml:space="preserve">وثيقة من إعداد </w:t>
      </w:r>
      <w:r w:rsidR="00B82F4A">
        <w:rPr>
          <w:rFonts w:hint="cs"/>
          <w:b/>
          <w:i/>
          <w:iCs/>
          <w:rtl/>
          <w:lang w:bidi="ar-MA"/>
        </w:rPr>
        <w:t>المكتب الدولي</w:t>
      </w:r>
    </w:p>
    <w:p w14:paraId="20F34D7D" w14:textId="77777777" w:rsidR="00B5495A" w:rsidRPr="00D93E99" w:rsidRDefault="005A5FF8" w:rsidP="004D414A">
      <w:pPr>
        <w:pStyle w:val="Titre2"/>
        <w:spacing w:after="120"/>
        <w:rPr>
          <w:b/>
          <w:bCs/>
          <w:sz w:val="26"/>
          <w:szCs w:val="26"/>
          <w:rtl/>
        </w:rPr>
      </w:pPr>
      <w:r w:rsidRPr="00D93E99">
        <w:rPr>
          <w:b/>
          <w:bCs/>
          <w:sz w:val="26"/>
          <w:szCs w:val="26"/>
          <w:rtl/>
        </w:rPr>
        <w:t>م</w:t>
      </w:r>
      <w:r w:rsidRPr="00D93E99">
        <w:rPr>
          <w:rFonts w:hint="cs"/>
          <w:b/>
          <w:bCs/>
          <w:sz w:val="26"/>
          <w:szCs w:val="26"/>
          <w:rtl/>
        </w:rPr>
        <w:t>لخص</w:t>
      </w:r>
    </w:p>
    <w:p w14:paraId="30F07BBE" w14:textId="20E0B9D8" w:rsidR="0066518D" w:rsidRPr="00D93E99" w:rsidRDefault="00052489" w:rsidP="0092178B">
      <w:pPr>
        <w:pStyle w:val="ONUMA"/>
        <w:rPr>
          <w:lang w:bidi="ar-MA"/>
        </w:rPr>
      </w:pPr>
      <w:r>
        <w:rPr>
          <w:rFonts w:hint="cs"/>
          <w:rtl/>
          <w:lang w:bidi="ar-MA"/>
        </w:rPr>
        <w:t xml:space="preserve">تصف </w:t>
      </w:r>
      <w:r w:rsidR="00B82F4A" w:rsidRPr="00B82F4A">
        <w:rPr>
          <w:rtl/>
          <w:lang w:bidi="ar-MA"/>
        </w:rPr>
        <w:t xml:space="preserve">هذه الوثيقة </w:t>
      </w:r>
      <w:r>
        <w:rPr>
          <w:rFonts w:hint="cs"/>
          <w:rtl/>
          <w:lang w:bidi="ar-MA"/>
        </w:rPr>
        <w:t>ال</w:t>
      </w:r>
      <w:r w:rsidR="00B82F4A" w:rsidRPr="00B82F4A">
        <w:rPr>
          <w:rtl/>
          <w:lang w:bidi="ar-MA"/>
        </w:rPr>
        <w:t xml:space="preserve">توصيات </w:t>
      </w:r>
      <w:r>
        <w:rPr>
          <w:rFonts w:hint="cs"/>
          <w:rtl/>
          <w:lang w:bidi="ar-MA"/>
        </w:rPr>
        <w:t xml:space="preserve">الصادرة عن </w:t>
      </w:r>
      <w:r w:rsidRPr="00B82F4A">
        <w:rPr>
          <w:rtl/>
          <w:lang w:bidi="ar-MA"/>
        </w:rPr>
        <w:t>وحدة التفتيش المشتركة التابعة لمنظومة الأمم المتحدة</w:t>
      </w:r>
      <w:r w:rsidRPr="00B82F4A">
        <w:rPr>
          <w:rtl/>
          <w:lang w:bidi="ar-MA"/>
        </w:rPr>
        <w:t xml:space="preserve"> </w:t>
      </w:r>
      <w:r>
        <w:rPr>
          <w:rFonts w:hint="cs"/>
          <w:rtl/>
          <w:lang w:bidi="ar-MA"/>
        </w:rPr>
        <w:t>بشأن</w:t>
      </w:r>
      <w:r w:rsidR="00B82F4A" w:rsidRPr="00B82F4A">
        <w:rPr>
          <w:rtl/>
          <w:lang w:bidi="ar-MA"/>
        </w:rPr>
        <w:t xml:space="preserve"> </w:t>
      </w:r>
      <w:r w:rsidR="005218D3">
        <w:rPr>
          <w:rFonts w:hint="cs"/>
          <w:rtl/>
          <w:lang w:bidi="ar-MA"/>
        </w:rPr>
        <w:t>تطبيق</w:t>
      </w:r>
      <w:r w:rsidR="00B82F4A" w:rsidRPr="00B82F4A">
        <w:rPr>
          <w:rtl/>
          <w:lang w:bidi="ar-MA"/>
        </w:rPr>
        <w:t xml:space="preserve"> </w:t>
      </w:r>
      <w:r w:rsidR="005218D3">
        <w:rPr>
          <w:rFonts w:hint="cs"/>
          <w:rtl/>
          <w:lang w:bidi="ar-MA"/>
        </w:rPr>
        <w:t xml:space="preserve">تكنولوجيا </w:t>
      </w:r>
      <w:r w:rsidR="00423F57">
        <w:rPr>
          <w:rtl/>
          <w:lang w:bidi="ar-MA"/>
        </w:rPr>
        <w:t>سلاسل الكتل</w:t>
      </w:r>
      <w:r w:rsidR="00B82F4A" w:rsidRPr="00B82F4A">
        <w:rPr>
          <w:rtl/>
          <w:lang w:bidi="ar-MA"/>
        </w:rPr>
        <w:t xml:space="preserve"> في منظومة الأمم المتحدة</w:t>
      </w:r>
      <w:r>
        <w:rPr>
          <w:rFonts w:hint="cs"/>
          <w:rtl/>
          <w:lang w:bidi="ar-MA"/>
        </w:rPr>
        <w:t xml:space="preserve">. </w:t>
      </w:r>
      <w:r w:rsidR="005218D3">
        <w:rPr>
          <w:rFonts w:hint="cs"/>
          <w:rtl/>
          <w:lang w:bidi="ar-MA"/>
        </w:rPr>
        <w:t>ويعرض</w:t>
      </w:r>
      <w:r w:rsidR="00B82F4A" w:rsidRPr="00B82F4A">
        <w:rPr>
          <w:rtl/>
          <w:lang w:bidi="ar-MA"/>
        </w:rPr>
        <w:t xml:space="preserve"> المكتب الدولي حالة تنفيذ تلك التوصيات ويدعو اللجنة المعنية بمعايير الويبو </w:t>
      </w:r>
      <w:r>
        <w:rPr>
          <w:rFonts w:hint="cs"/>
          <w:rtl/>
          <w:lang w:bidi="ar-MA"/>
        </w:rPr>
        <w:t xml:space="preserve">(لجنة المعايير) </w:t>
      </w:r>
      <w:r w:rsidR="00B82F4A" w:rsidRPr="00B82F4A">
        <w:rPr>
          <w:rtl/>
          <w:lang w:bidi="ar-MA"/>
        </w:rPr>
        <w:t>إلى تشجيع مكاتب الملكية الفكرية على النظر في "التوصية 6" وتنفيذها</w:t>
      </w:r>
      <w:r>
        <w:rPr>
          <w:rFonts w:hint="cs"/>
          <w:rtl/>
          <w:lang w:bidi="ar-MA"/>
        </w:rPr>
        <w:t xml:space="preserve">، </w:t>
      </w:r>
      <w:r w:rsidR="00B82F4A" w:rsidRPr="00B82F4A">
        <w:rPr>
          <w:rtl/>
          <w:lang w:bidi="ar-MA"/>
        </w:rPr>
        <w:t>حيثما ينطبق ذلك</w:t>
      </w:r>
      <w:r w:rsidR="004C5AD5" w:rsidRPr="00D93E99">
        <w:rPr>
          <w:rtl/>
          <w:lang w:bidi="ar-MA"/>
        </w:rPr>
        <w:t>.</w:t>
      </w:r>
    </w:p>
    <w:p w14:paraId="14C7FEDE" w14:textId="77777777" w:rsidR="0066518D" w:rsidRPr="00D93E99" w:rsidRDefault="0066518D" w:rsidP="004D414A">
      <w:pPr>
        <w:pStyle w:val="Titre2"/>
        <w:spacing w:after="120"/>
        <w:rPr>
          <w:b/>
          <w:bCs/>
          <w:sz w:val="26"/>
          <w:szCs w:val="26"/>
          <w:rtl/>
        </w:rPr>
      </w:pPr>
      <w:r w:rsidRPr="00D93E99">
        <w:rPr>
          <w:rFonts w:hint="cs"/>
          <w:b/>
          <w:bCs/>
          <w:sz w:val="26"/>
          <w:szCs w:val="26"/>
          <w:rtl/>
        </w:rPr>
        <w:t>معلومات أساسية</w:t>
      </w:r>
    </w:p>
    <w:p w14:paraId="57895221" w14:textId="0FCE5FA1" w:rsidR="005A5FF8" w:rsidRDefault="00B82F4A" w:rsidP="0092178B">
      <w:pPr>
        <w:pStyle w:val="ONUMA"/>
        <w:rPr>
          <w:lang w:bidi="ar-MA"/>
        </w:rPr>
      </w:pPr>
      <w:r w:rsidRPr="00B82F4A">
        <w:rPr>
          <w:rtl/>
          <w:lang w:bidi="ar-MA"/>
        </w:rPr>
        <w:t>نشرت وحدة التفتيش المشتركة في عام 2020 تقريرها بعنوان "</w:t>
      </w:r>
      <w:hyperlink r:id="rId12" w:history="1">
        <w:r w:rsidRPr="005218D3">
          <w:rPr>
            <w:rStyle w:val="Lienhypertexte"/>
            <w:rtl/>
            <w:lang w:bidi="ar-MA"/>
          </w:rPr>
          <w:t>تطبيق</w:t>
        </w:r>
        <w:r w:rsidR="005218D3" w:rsidRPr="005218D3">
          <w:rPr>
            <w:rStyle w:val="Lienhypertexte"/>
            <w:rFonts w:hint="cs"/>
            <w:rtl/>
            <w:lang w:bidi="ar-MA"/>
          </w:rPr>
          <w:t xml:space="preserve"> تكنولوجيا</w:t>
        </w:r>
        <w:r w:rsidRPr="005218D3">
          <w:rPr>
            <w:rStyle w:val="Lienhypertexte"/>
            <w:rtl/>
            <w:lang w:bidi="ar-MA"/>
          </w:rPr>
          <w:t xml:space="preserve"> </w:t>
        </w:r>
        <w:r w:rsidR="00423F57" w:rsidRPr="005218D3">
          <w:rPr>
            <w:rStyle w:val="Lienhypertexte"/>
            <w:rtl/>
            <w:lang w:bidi="ar-MA"/>
          </w:rPr>
          <w:t>سلاسل الكتل</w:t>
        </w:r>
        <w:r w:rsidRPr="005218D3">
          <w:rPr>
            <w:rStyle w:val="Lienhypertexte"/>
            <w:rtl/>
            <w:lang w:bidi="ar-MA"/>
          </w:rPr>
          <w:t xml:space="preserve"> في منظومة الأمم المتحدة: </w:t>
        </w:r>
        <w:r w:rsidR="005218D3" w:rsidRPr="005218D3">
          <w:rPr>
            <w:rStyle w:val="Lienhypertexte"/>
            <w:rFonts w:hint="cs"/>
            <w:rtl/>
            <w:lang w:bidi="ar-MA"/>
          </w:rPr>
          <w:t xml:space="preserve">نحو </w:t>
        </w:r>
        <w:r w:rsidRPr="005218D3">
          <w:rPr>
            <w:rStyle w:val="Lienhypertexte"/>
            <w:rtl/>
            <w:lang w:bidi="ar-MA"/>
          </w:rPr>
          <w:t xml:space="preserve">حالة </w:t>
        </w:r>
        <w:r w:rsidR="005218D3" w:rsidRPr="005218D3">
          <w:rPr>
            <w:rStyle w:val="Lienhypertexte"/>
            <w:rFonts w:hint="cs"/>
            <w:rtl/>
            <w:lang w:bidi="ar-MA"/>
          </w:rPr>
          <w:t>من التأهب</w:t>
        </w:r>
      </w:hyperlink>
      <w:r w:rsidRPr="00B82F4A">
        <w:rPr>
          <w:rtl/>
          <w:lang w:bidi="ar-MA"/>
        </w:rPr>
        <w:t xml:space="preserve">". </w:t>
      </w:r>
      <w:r w:rsidR="00052489">
        <w:rPr>
          <w:rFonts w:hint="cs"/>
          <w:rtl/>
          <w:lang w:bidi="ar-MA"/>
        </w:rPr>
        <w:t>وتشير</w:t>
      </w:r>
      <w:r w:rsidRPr="00B82F4A">
        <w:rPr>
          <w:rtl/>
          <w:lang w:bidi="ar-MA"/>
        </w:rPr>
        <w:t xml:space="preserve"> وحدة التفتيش المشتركة</w:t>
      </w:r>
      <w:r w:rsidR="00052489">
        <w:rPr>
          <w:rFonts w:hint="cs"/>
          <w:rtl/>
          <w:lang w:bidi="ar-MA"/>
        </w:rPr>
        <w:t xml:space="preserve"> إلى</w:t>
      </w:r>
      <w:r w:rsidRPr="00B82F4A">
        <w:rPr>
          <w:rtl/>
          <w:lang w:bidi="ar-MA"/>
        </w:rPr>
        <w:t xml:space="preserve"> إن "</w:t>
      </w:r>
      <w:r w:rsidRPr="00423F57">
        <w:rPr>
          <w:i/>
          <w:iCs/>
          <w:rtl/>
          <w:lang w:bidi="ar-MA"/>
        </w:rPr>
        <w:t xml:space="preserve">التقرير يهدف إلى </w:t>
      </w:r>
      <w:r w:rsidR="00052489">
        <w:rPr>
          <w:rFonts w:hint="cs"/>
          <w:i/>
          <w:iCs/>
          <w:rtl/>
          <w:lang w:bidi="ar-MA"/>
        </w:rPr>
        <w:t>ال</w:t>
      </w:r>
      <w:r w:rsidRPr="00423F57">
        <w:rPr>
          <w:i/>
          <w:iCs/>
          <w:rtl/>
          <w:lang w:bidi="ar-MA"/>
        </w:rPr>
        <w:t xml:space="preserve">مساهمة في الجهود الجماعية التي أطلقتها الاستراتيجيات </w:t>
      </w:r>
      <w:r w:rsidR="005218D3">
        <w:rPr>
          <w:rFonts w:hint="cs"/>
          <w:i/>
          <w:iCs/>
          <w:rtl/>
          <w:lang w:val="fr-FR" w:bidi="ar-SY"/>
        </w:rPr>
        <w:t>الشاملة</w:t>
      </w:r>
      <w:r w:rsidRPr="00423F57">
        <w:rPr>
          <w:i/>
          <w:iCs/>
          <w:rtl/>
          <w:lang w:bidi="ar-MA"/>
        </w:rPr>
        <w:t xml:space="preserve"> الأخيرة بشأن التكنولوجيات الجديدة ومستقبل العمل، والتي تعالج مسألة الابتكار واستخدام التكنولوجيات الرقمية من </w:t>
      </w:r>
      <w:r w:rsidR="005218D3">
        <w:rPr>
          <w:rFonts w:hint="cs"/>
          <w:i/>
          <w:iCs/>
          <w:rtl/>
          <w:lang w:bidi="ar-MA"/>
        </w:rPr>
        <w:t>طرف</w:t>
      </w:r>
      <w:r w:rsidRPr="00423F57">
        <w:rPr>
          <w:i/>
          <w:iCs/>
          <w:rtl/>
          <w:lang w:bidi="ar-MA"/>
        </w:rPr>
        <w:t xml:space="preserve"> منظومة الأمم المتحدة في نهج عملي المنحى</w:t>
      </w:r>
      <w:r w:rsidRPr="00B82F4A">
        <w:rPr>
          <w:rtl/>
          <w:lang w:bidi="ar-MA"/>
        </w:rPr>
        <w:t>"</w:t>
      </w:r>
      <w:r w:rsidR="00052489">
        <w:rPr>
          <w:rFonts w:hint="cs"/>
          <w:rtl/>
          <w:lang w:bidi="ar-MA"/>
        </w:rPr>
        <w:t>.</w:t>
      </w:r>
      <w:r w:rsidRPr="00B82F4A">
        <w:rPr>
          <w:rtl/>
          <w:lang w:bidi="ar-MA"/>
        </w:rPr>
        <w:t xml:space="preserve"> </w:t>
      </w:r>
      <w:r w:rsidR="00052489">
        <w:rPr>
          <w:rFonts w:hint="cs"/>
          <w:rtl/>
          <w:lang w:bidi="ar-MA"/>
        </w:rPr>
        <w:t>و</w:t>
      </w:r>
      <w:r w:rsidRPr="00B82F4A">
        <w:rPr>
          <w:rtl/>
          <w:lang w:bidi="ar-MA"/>
        </w:rPr>
        <w:t xml:space="preserve">يتضمن التقرير ثماني توصيات رسمية موجهة إلى مؤسسات منظومة الأمم المتحدة المشاركة، حيث تقترح وحدة التفتيش المشتركة إرشادات حول كيفية دمج استخدام </w:t>
      </w:r>
      <w:r w:rsidR="005218D3">
        <w:rPr>
          <w:rFonts w:hint="cs"/>
          <w:rtl/>
          <w:lang w:bidi="ar-MA"/>
        </w:rPr>
        <w:t xml:space="preserve">تكنولوجيا </w:t>
      </w:r>
      <w:r w:rsidR="00423F57">
        <w:rPr>
          <w:rtl/>
          <w:lang w:bidi="ar-MA"/>
        </w:rPr>
        <w:t>سلاسل الكتل</w:t>
      </w:r>
      <w:r w:rsidRPr="00B82F4A">
        <w:rPr>
          <w:rtl/>
          <w:lang w:bidi="ar-MA"/>
        </w:rPr>
        <w:t xml:space="preserve"> في استراتيجيات </w:t>
      </w:r>
      <w:r w:rsidR="005218D3" w:rsidRPr="00B82F4A">
        <w:rPr>
          <w:rtl/>
          <w:lang w:bidi="ar-MA"/>
        </w:rPr>
        <w:t xml:space="preserve">وسياسات </w:t>
      </w:r>
      <w:r w:rsidRPr="00B82F4A">
        <w:rPr>
          <w:rtl/>
          <w:lang w:bidi="ar-MA"/>
        </w:rPr>
        <w:t xml:space="preserve">الابتكار الشاملة؛ وكيفية دعم تبادل المعرفة </w:t>
      </w:r>
      <w:r w:rsidR="005218D3">
        <w:rPr>
          <w:rFonts w:hint="cs"/>
          <w:rtl/>
          <w:lang w:bidi="ar-MA"/>
        </w:rPr>
        <w:t>وتكوين</w:t>
      </w:r>
      <w:r w:rsidRPr="00B82F4A">
        <w:rPr>
          <w:rtl/>
          <w:lang w:bidi="ar-MA"/>
        </w:rPr>
        <w:t xml:space="preserve"> </w:t>
      </w:r>
      <w:r w:rsidR="005218D3">
        <w:rPr>
          <w:rFonts w:hint="cs"/>
          <w:rtl/>
          <w:lang w:bidi="ar-MA"/>
        </w:rPr>
        <w:t>الكفاءات</w:t>
      </w:r>
      <w:r w:rsidRPr="00B82F4A">
        <w:rPr>
          <w:rtl/>
          <w:lang w:bidi="ar-MA"/>
        </w:rPr>
        <w:t>؛ وإدارة المخاطر</w:t>
      </w:r>
      <w:r w:rsidR="001B44C6" w:rsidRPr="00D93E99">
        <w:rPr>
          <w:rFonts w:hint="cs"/>
          <w:rtl/>
          <w:lang w:bidi="ar-MA"/>
        </w:rPr>
        <w:t>.</w:t>
      </w:r>
    </w:p>
    <w:p w14:paraId="2A13C9BF" w14:textId="40C989DF" w:rsidR="00B82F4A" w:rsidRPr="00B82F4A" w:rsidRDefault="00B82F4A" w:rsidP="00B82F4A">
      <w:pPr>
        <w:pStyle w:val="Titre2"/>
        <w:spacing w:after="120"/>
        <w:rPr>
          <w:b/>
          <w:bCs/>
          <w:sz w:val="26"/>
          <w:szCs w:val="26"/>
        </w:rPr>
      </w:pPr>
      <w:r>
        <w:rPr>
          <w:rFonts w:hint="cs"/>
          <w:b/>
          <w:bCs/>
          <w:sz w:val="26"/>
          <w:szCs w:val="26"/>
          <w:rtl/>
        </w:rPr>
        <w:t>أهمية التوصيات بالنسبة لأنشطة الويبو</w:t>
      </w:r>
    </w:p>
    <w:p w14:paraId="2D32AD5D" w14:textId="0E86A071" w:rsidR="00211ECF" w:rsidRDefault="00B82F4A" w:rsidP="00B82F4A">
      <w:pPr>
        <w:pStyle w:val="ONUMA"/>
        <w:rPr>
          <w:lang w:bidi="ar-MA"/>
        </w:rPr>
      </w:pPr>
      <w:r w:rsidRPr="00B82F4A">
        <w:rPr>
          <w:rtl/>
          <w:lang w:bidi="ar-MA"/>
        </w:rPr>
        <w:t xml:space="preserve">رأى المكتب الدولي أن التوصيات الخمس التالية 1 و2 و3 و4 و6 ذات صلة بعمله؛ واتخذ بعض الإجراءات لتنفيذها. وأطلع المكتب الدولي وحدة التفتيش المشتركة </w:t>
      </w:r>
      <w:r w:rsidR="00EB73D3">
        <w:rPr>
          <w:rFonts w:hint="cs"/>
          <w:rtl/>
          <w:lang w:bidi="ar-MA"/>
        </w:rPr>
        <w:t xml:space="preserve">على </w:t>
      </w:r>
      <w:r w:rsidRPr="00B82F4A">
        <w:rPr>
          <w:rtl/>
          <w:lang w:bidi="ar-MA"/>
        </w:rPr>
        <w:t>حالة تنفيذ تلك التوصيات المحددة</w:t>
      </w:r>
      <w:r w:rsidR="004C5AD5" w:rsidRPr="00D93E99">
        <w:rPr>
          <w:rtl/>
          <w:lang w:bidi="ar-MA"/>
        </w:rPr>
        <w:t>.</w:t>
      </w:r>
      <w:r>
        <w:rPr>
          <w:rtl/>
          <w:lang w:bidi="ar-MA"/>
        </w:rPr>
        <w:br w:type="page"/>
      </w:r>
    </w:p>
    <w:p w14:paraId="13ED8ED7" w14:textId="17F6EA77" w:rsidR="00B82F4A" w:rsidRDefault="00B82F4A" w:rsidP="0092178B">
      <w:pPr>
        <w:pStyle w:val="ONUMA"/>
        <w:rPr>
          <w:lang w:bidi="ar-MA"/>
        </w:rPr>
      </w:pPr>
      <w:r>
        <w:rPr>
          <w:rFonts w:hint="cs"/>
          <w:rtl/>
          <w:lang w:bidi="ar-MA"/>
        </w:rPr>
        <w:lastRenderedPageBreak/>
        <w:t>و</w:t>
      </w:r>
      <w:r w:rsidRPr="00B82F4A">
        <w:rPr>
          <w:rtl/>
          <w:lang w:bidi="ar-MA"/>
        </w:rPr>
        <w:t>أنشأت لجنة المعايير</w:t>
      </w:r>
      <w:r w:rsidR="00327E43">
        <w:rPr>
          <w:rFonts w:hint="cs"/>
          <w:rtl/>
          <w:lang w:bidi="ar-MA"/>
        </w:rPr>
        <w:t>، في دورتها</w:t>
      </w:r>
      <w:r w:rsidRPr="00B82F4A">
        <w:rPr>
          <w:rtl/>
          <w:lang w:bidi="ar-MA"/>
        </w:rPr>
        <w:t xml:space="preserve"> </w:t>
      </w:r>
      <w:r w:rsidR="00327E43" w:rsidRPr="00B82F4A">
        <w:rPr>
          <w:rtl/>
          <w:lang w:bidi="ar-MA"/>
        </w:rPr>
        <w:t>السادسة في عام 2019</w:t>
      </w:r>
      <w:r w:rsidR="00327E43">
        <w:rPr>
          <w:rFonts w:hint="cs"/>
          <w:rtl/>
          <w:lang w:bidi="ar-MA"/>
        </w:rPr>
        <w:t xml:space="preserve">، </w:t>
      </w:r>
      <w:r w:rsidRPr="00B82F4A">
        <w:rPr>
          <w:rtl/>
          <w:lang w:bidi="ar-MA"/>
        </w:rPr>
        <w:t xml:space="preserve">فرقة </w:t>
      </w:r>
      <w:r w:rsidR="00327E43">
        <w:rPr>
          <w:rFonts w:hint="cs"/>
          <w:rtl/>
          <w:lang w:bidi="ar-MA"/>
        </w:rPr>
        <w:t>ال</w:t>
      </w:r>
      <w:r w:rsidRPr="00B82F4A">
        <w:rPr>
          <w:rtl/>
          <w:lang w:bidi="ar-MA"/>
        </w:rPr>
        <w:t xml:space="preserve">عمل </w:t>
      </w:r>
      <w:r w:rsidR="00327E43">
        <w:rPr>
          <w:rFonts w:hint="cs"/>
          <w:rtl/>
          <w:lang w:bidi="ar-MA"/>
        </w:rPr>
        <w:t>المعنية بسلاسل الكتل</w:t>
      </w:r>
      <w:r w:rsidRPr="00B82F4A">
        <w:rPr>
          <w:rtl/>
          <w:lang w:bidi="ar-MA"/>
        </w:rPr>
        <w:t xml:space="preserve"> بهدف استكشاف إمكانية استخدام </w:t>
      </w:r>
      <w:r w:rsidR="00327E43">
        <w:rPr>
          <w:rFonts w:hint="cs"/>
          <w:rtl/>
          <w:lang w:bidi="ar-MA"/>
        </w:rPr>
        <w:t>تكنولوجيا سلاسل الكتل</w:t>
      </w:r>
      <w:r w:rsidRPr="00B82F4A">
        <w:rPr>
          <w:rtl/>
          <w:lang w:bidi="ar-MA"/>
        </w:rPr>
        <w:t xml:space="preserve"> في </w:t>
      </w:r>
      <w:r w:rsidR="00EB73D3">
        <w:rPr>
          <w:rFonts w:hint="cs"/>
          <w:rtl/>
          <w:lang w:bidi="ar-MA"/>
        </w:rPr>
        <w:t>عمليات توفير</w:t>
      </w:r>
      <w:r w:rsidR="00327E43">
        <w:rPr>
          <w:rFonts w:hint="cs"/>
          <w:rtl/>
          <w:lang w:bidi="ar-MA"/>
        </w:rPr>
        <w:t xml:space="preserve"> </w:t>
      </w:r>
      <w:r w:rsidR="00EB73D3">
        <w:rPr>
          <w:rFonts w:hint="cs"/>
          <w:rtl/>
          <w:lang w:bidi="ar-MA"/>
        </w:rPr>
        <w:t>ال</w:t>
      </w:r>
      <w:r w:rsidRPr="00B82F4A">
        <w:rPr>
          <w:rtl/>
          <w:lang w:bidi="ar-MA"/>
        </w:rPr>
        <w:t>حماية</w:t>
      </w:r>
      <w:r w:rsidR="00EB73D3">
        <w:rPr>
          <w:rFonts w:hint="cs"/>
          <w:rtl/>
          <w:lang w:bidi="ar-MA"/>
        </w:rPr>
        <w:t xml:space="preserve"> بموجب</w:t>
      </w:r>
      <w:r w:rsidRPr="00B82F4A">
        <w:rPr>
          <w:rtl/>
          <w:lang w:bidi="ar-MA"/>
        </w:rPr>
        <w:t xml:space="preserve"> حقوق الملكية الفكرية</w:t>
      </w:r>
      <w:r w:rsidR="00EB73D3">
        <w:rPr>
          <w:rFonts w:hint="cs"/>
          <w:rtl/>
          <w:lang w:bidi="ar-MA"/>
        </w:rPr>
        <w:t xml:space="preserve">، </w:t>
      </w:r>
      <w:r w:rsidRPr="00B82F4A">
        <w:rPr>
          <w:rtl/>
          <w:lang w:bidi="ar-MA"/>
        </w:rPr>
        <w:t xml:space="preserve">ومعالجة المعلومات </w:t>
      </w:r>
      <w:r w:rsidR="00327E43">
        <w:rPr>
          <w:rFonts w:hint="cs"/>
          <w:rtl/>
          <w:lang w:bidi="ar-MA"/>
        </w:rPr>
        <w:t>المتعلقة</w:t>
      </w:r>
      <w:r w:rsidRPr="00B82F4A">
        <w:rPr>
          <w:rtl/>
          <w:lang w:bidi="ar-MA"/>
        </w:rPr>
        <w:t xml:space="preserve"> </w:t>
      </w:r>
      <w:r w:rsidR="00EB73D3">
        <w:rPr>
          <w:rFonts w:hint="cs"/>
          <w:rtl/>
          <w:lang w:bidi="ar-MA"/>
        </w:rPr>
        <w:t>بعناصر</w:t>
      </w:r>
      <w:r w:rsidRPr="00B82F4A">
        <w:rPr>
          <w:rtl/>
          <w:lang w:bidi="ar-MA"/>
        </w:rPr>
        <w:t xml:space="preserve"> الملكية الفكرية واستخدامها. وقد أطلع المكتب الدولي فرقة العمل على </w:t>
      </w:r>
      <w:r w:rsidR="00EB73D3">
        <w:rPr>
          <w:rFonts w:hint="cs"/>
          <w:rtl/>
          <w:lang w:bidi="ar-MA"/>
        </w:rPr>
        <w:t>ال</w:t>
      </w:r>
      <w:r w:rsidRPr="00B82F4A">
        <w:rPr>
          <w:rtl/>
          <w:lang w:bidi="ar-MA"/>
        </w:rPr>
        <w:t>توصيات</w:t>
      </w:r>
      <w:r w:rsidR="00EB73D3">
        <w:rPr>
          <w:rFonts w:hint="cs"/>
          <w:rtl/>
          <w:lang w:bidi="ar-MA"/>
        </w:rPr>
        <w:t xml:space="preserve"> الصادرة عن</w:t>
      </w:r>
      <w:r w:rsidRPr="00B82F4A">
        <w:rPr>
          <w:rtl/>
          <w:lang w:bidi="ar-MA"/>
        </w:rPr>
        <w:t xml:space="preserve"> وحدة التفتيش المشتركة، ولا سيما التوصية 6:</w:t>
      </w:r>
    </w:p>
    <w:p w14:paraId="4982F890" w14:textId="77777777" w:rsidR="00B82F4A" w:rsidRPr="00423F57" w:rsidRDefault="00B82F4A" w:rsidP="00423F57">
      <w:pPr>
        <w:pStyle w:val="ONUMA"/>
        <w:numPr>
          <w:ilvl w:val="0"/>
          <w:numId w:val="0"/>
        </w:numPr>
        <w:spacing w:after="120"/>
        <w:ind w:firstLine="567"/>
        <w:rPr>
          <w:i/>
          <w:iCs/>
          <w:u w:val="single"/>
          <w:rtl/>
          <w:lang w:bidi="ar-MA"/>
        </w:rPr>
      </w:pPr>
      <w:r w:rsidRPr="00423F57">
        <w:rPr>
          <w:i/>
          <w:iCs/>
          <w:u w:val="single"/>
          <w:rtl/>
          <w:lang w:bidi="ar-MA"/>
        </w:rPr>
        <w:t>التوصية 6</w:t>
      </w:r>
    </w:p>
    <w:p w14:paraId="60C464CE" w14:textId="3A3B160E" w:rsidR="0092178B" w:rsidRPr="00B82F4A" w:rsidRDefault="00B82F4A" w:rsidP="00B82F4A">
      <w:pPr>
        <w:pStyle w:val="ONUMA"/>
        <w:numPr>
          <w:ilvl w:val="0"/>
          <w:numId w:val="0"/>
        </w:numPr>
        <w:ind w:left="567"/>
        <w:rPr>
          <w:i/>
          <w:iCs/>
          <w:rtl/>
          <w:lang w:bidi="ar-MA"/>
        </w:rPr>
      </w:pPr>
      <w:r w:rsidRPr="00B82F4A">
        <w:rPr>
          <w:i/>
          <w:iCs/>
          <w:rtl/>
          <w:lang w:bidi="ar-MA"/>
        </w:rPr>
        <w:t xml:space="preserve">ينبغي </w:t>
      </w:r>
      <w:r w:rsidR="00327E43">
        <w:rPr>
          <w:rFonts w:hint="cs"/>
          <w:i/>
          <w:iCs/>
          <w:rtl/>
          <w:lang w:bidi="ar-MA"/>
        </w:rPr>
        <w:t xml:space="preserve">أن تقوم </w:t>
      </w:r>
      <w:r w:rsidR="00205102">
        <w:rPr>
          <w:rFonts w:hint="cs"/>
          <w:i/>
          <w:iCs/>
          <w:rtl/>
          <w:lang w:bidi="ar-MA"/>
        </w:rPr>
        <w:t>الهيئات</w:t>
      </w:r>
      <w:r w:rsidRPr="00B82F4A">
        <w:rPr>
          <w:i/>
          <w:iCs/>
          <w:rtl/>
          <w:lang w:bidi="ar-MA"/>
        </w:rPr>
        <w:t xml:space="preserve"> </w:t>
      </w:r>
      <w:r w:rsidR="00327E43">
        <w:rPr>
          <w:rFonts w:hint="cs"/>
          <w:i/>
          <w:iCs/>
          <w:rtl/>
          <w:lang w:bidi="ar-MA"/>
        </w:rPr>
        <w:t>ال</w:t>
      </w:r>
      <w:r w:rsidRPr="00B82F4A">
        <w:rPr>
          <w:i/>
          <w:iCs/>
          <w:rtl/>
          <w:lang w:bidi="ar-MA"/>
        </w:rPr>
        <w:t>إدا</w:t>
      </w:r>
      <w:r w:rsidR="00205102">
        <w:rPr>
          <w:rFonts w:hint="cs"/>
          <w:i/>
          <w:iCs/>
          <w:rtl/>
          <w:lang w:bidi="ar-MA"/>
        </w:rPr>
        <w:t>رية لدى</w:t>
      </w:r>
      <w:r w:rsidRPr="00B82F4A">
        <w:rPr>
          <w:i/>
          <w:iCs/>
          <w:rtl/>
          <w:lang w:bidi="ar-MA"/>
        </w:rPr>
        <w:t xml:space="preserve"> مؤسسات منظومة الأمم المتحدة</w:t>
      </w:r>
      <w:r w:rsidR="00327E43">
        <w:rPr>
          <w:rFonts w:hint="cs"/>
          <w:i/>
          <w:iCs/>
          <w:rtl/>
          <w:lang w:bidi="ar-MA"/>
        </w:rPr>
        <w:t xml:space="preserve"> بتشجيع</w:t>
      </w:r>
      <w:r w:rsidRPr="00B82F4A">
        <w:rPr>
          <w:i/>
          <w:iCs/>
          <w:rtl/>
          <w:lang w:bidi="ar-MA"/>
        </w:rPr>
        <w:t xml:space="preserve"> الدول الأعضاء على </w:t>
      </w:r>
      <w:r w:rsidR="00EB73D3">
        <w:rPr>
          <w:rFonts w:hint="cs"/>
          <w:i/>
          <w:iCs/>
          <w:rtl/>
          <w:lang w:bidi="ar-MA"/>
        </w:rPr>
        <w:t>الاشتراك</w:t>
      </w:r>
      <w:r w:rsidRPr="00B82F4A">
        <w:rPr>
          <w:i/>
          <w:iCs/>
          <w:rtl/>
          <w:lang w:bidi="ar-MA"/>
        </w:rPr>
        <w:t xml:space="preserve"> </w:t>
      </w:r>
      <w:r w:rsidR="00EB73D3" w:rsidRPr="00B82F4A">
        <w:rPr>
          <w:i/>
          <w:iCs/>
          <w:rtl/>
          <w:lang w:bidi="ar-MA"/>
        </w:rPr>
        <w:t xml:space="preserve">في </w:t>
      </w:r>
      <w:r w:rsidR="00EB73D3">
        <w:rPr>
          <w:rFonts w:hint="cs"/>
          <w:i/>
          <w:iCs/>
          <w:rtl/>
          <w:lang w:bidi="ar-MA"/>
        </w:rPr>
        <w:t>الأعمال</w:t>
      </w:r>
      <w:r w:rsidR="00EB73D3">
        <w:rPr>
          <w:rFonts w:hint="cs"/>
          <w:i/>
          <w:iCs/>
          <w:rtl/>
          <w:lang w:bidi="ar-MA"/>
        </w:rPr>
        <w:t xml:space="preserve"> </w:t>
      </w:r>
      <w:r w:rsidR="00EB73D3">
        <w:rPr>
          <w:rFonts w:hint="cs"/>
          <w:i/>
          <w:iCs/>
          <w:rtl/>
          <w:lang w:bidi="ar-SY"/>
        </w:rPr>
        <w:t>الاستكشافية</w:t>
      </w:r>
      <w:r w:rsidR="00EB73D3" w:rsidRPr="00B82F4A">
        <w:rPr>
          <w:i/>
          <w:iCs/>
          <w:rtl/>
          <w:lang w:bidi="ar-MA"/>
        </w:rPr>
        <w:t xml:space="preserve"> والتحضيري</w:t>
      </w:r>
      <w:r w:rsidR="00EB73D3">
        <w:rPr>
          <w:rFonts w:hint="cs"/>
          <w:i/>
          <w:iCs/>
          <w:rtl/>
          <w:lang w:bidi="ar-MA"/>
        </w:rPr>
        <w:t>ة</w:t>
      </w:r>
      <w:r w:rsidR="00EB73D3" w:rsidRPr="00B82F4A">
        <w:rPr>
          <w:i/>
          <w:iCs/>
          <w:rtl/>
          <w:lang w:bidi="ar-MA"/>
        </w:rPr>
        <w:t xml:space="preserve"> </w:t>
      </w:r>
      <w:r w:rsidR="00EB73D3">
        <w:rPr>
          <w:rFonts w:hint="cs"/>
          <w:i/>
          <w:iCs/>
          <w:rtl/>
          <w:lang w:bidi="ar-MA"/>
        </w:rPr>
        <w:t>ل</w:t>
      </w:r>
      <w:r w:rsidRPr="00B82F4A">
        <w:rPr>
          <w:i/>
          <w:iCs/>
          <w:rtl/>
          <w:lang w:bidi="ar-MA"/>
        </w:rPr>
        <w:t xml:space="preserve">لجنة الأمم المتحدة للقانون التجاري الدولي بشأن المسائل القانونية المتعلقة بتكنولوجيا </w:t>
      </w:r>
      <w:r w:rsidR="00423F57">
        <w:rPr>
          <w:i/>
          <w:iCs/>
          <w:rtl/>
          <w:lang w:bidi="ar-MA"/>
        </w:rPr>
        <w:t>سلاسل الكتل</w:t>
      </w:r>
      <w:r w:rsidRPr="00B82F4A">
        <w:rPr>
          <w:i/>
          <w:iCs/>
          <w:rtl/>
          <w:lang w:bidi="ar-MA"/>
        </w:rPr>
        <w:t xml:space="preserve"> في السياق الأوسع للاقتصاد الرقمي والتجارة الرقمية، بما في ذلك</w:t>
      </w:r>
      <w:r w:rsidR="00EB73D3">
        <w:rPr>
          <w:rFonts w:hint="cs"/>
          <w:i/>
          <w:iCs/>
          <w:rtl/>
          <w:lang w:bidi="ar-MA"/>
        </w:rPr>
        <w:t xml:space="preserve"> ما يتعلق</w:t>
      </w:r>
      <w:r w:rsidRPr="00B82F4A">
        <w:rPr>
          <w:i/>
          <w:iCs/>
          <w:rtl/>
          <w:lang w:bidi="ar-MA"/>
        </w:rPr>
        <w:t xml:space="preserve"> </w:t>
      </w:r>
      <w:r w:rsidR="00EB73D3">
        <w:rPr>
          <w:rFonts w:hint="cs"/>
          <w:i/>
          <w:iCs/>
          <w:rtl/>
          <w:lang w:bidi="ar-MA"/>
        </w:rPr>
        <w:t>ب</w:t>
      </w:r>
      <w:r w:rsidRPr="00B82F4A">
        <w:rPr>
          <w:i/>
          <w:iCs/>
          <w:rtl/>
          <w:lang w:bidi="ar-MA"/>
        </w:rPr>
        <w:t xml:space="preserve">تسوية المنازعات، والتي تهدف إلى الحد من </w:t>
      </w:r>
      <w:r w:rsidR="00205102">
        <w:rPr>
          <w:rFonts w:hint="cs"/>
          <w:i/>
          <w:iCs/>
          <w:rtl/>
          <w:lang w:bidi="ar-MA"/>
        </w:rPr>
        <w:t>عدم اليقين</w:t>
      </w:r>
      <w:r w:rsidRPr="00B82F4A">
        <w:rPr>
          <w:i/>
          <w:iCs/>
          <w:rtl/>
          <w:lang w:bidi="ar-MA"/>
        </w:rPr>
        <w:t xml:space="preserve"> القانوني في هذا المجال.</w:t>
      </w:r>
    </w:p>
    <w:p w14:paraId="695C185D" w14:textId="257FE166" w:rsidR="00283C7A" w:rsidRDefault="00205102" w:rsidP="0092178B">
      <w:pPr>
        <w:pStyle w:val="ONUMA"/>
        <w:keepNext/>
        <w:rPr>
          <w:lang w:bidi="ar-MA"/>
        </w:rPr>
      </w:pPr>
      <w:r>
        <w:rPr>
          <w:rFonts w:hint="cs"/>
          <w:rtl/>
          <w:lang w:bidi="ar-MA"/>
        </w:rPr>
        <w:t>وف</w:t>
      </w:r>
      <w:r w:rsidR="00B82F4A" w:rsidRPr="00B82F4A">
        <w:rPr>
          <w:rtl/>
          <w:lang w:bidi="ar-MA"/>
        </w:rPr>
        <w:t xml:space="preserve">يما يتعلق بالتوصية 6، قدم المكتب الدولي إلى فرقة العمل بعض </w:t>
      </w:r>
      <w:r>
        <w:rPr>
          <w:rFonts w:hint="cs"/>
          <w:rtl/>
          <w:lang w:bidi="ar-MA"/>
        </w:rPr>
        <w:t>ال</w:t>
      </w:r>
      <w:r w:rsidR="00B82F4A" w:rsidRPr="00B82F4A">
        <w:rPr>
          <w:rtl/>
          <w:lang w:bidi="ar-MA"/>
        </w:rPr>
        <w:t>أنشطة</w:t>
      </w:r>
      <w:r>
        <w:rPr>
          <w:rFonts w:hint="cs"/>
          <w:rtl/>
          <w:lang w:bidi="ar-MA"/>
        </w:rPr>
        <w:t xml:space="preserve"> التي اضطلعت بها</w:t>
      </w:r>
      <w:r w:rsidR="00B82F4A" w:rsidRPr="00B82F4A">
        <w:rPr>
          <w:rtl/>
          <w:lang w:bidi="ar-MA"/>
        </w:rPr>
        <w:t xml:space="preserve"> لجنة الأمم المتحدة للقانون التجاري الدولي (الأونسيترال) وقدم في عام 2022 تحليله </w:t>
      </w:r>
      <w:hyperlink r:id="rId13" w:history="1">
        <w:r w:rsidR="00B82F4A" w:rsidRPr="00BE516E">
          <w:rPr>
            <w:rStyle w:val="Lienhypertexte"/>
            <w:rtl/>
            <w:lang w:bidi="ar-MA"/>
          </w:rPr>
          <w:t>لقانون الأونسيترال النموذجي بشأن السجلات الإلكترونية القابلة للتحويل</w:t>
        </w:r>
      </w:hyperlink>
      <w:r>
        <w:rPr>
          <w:rFonts w:hint="cs"/>
          <w:rtl/>
          <w:lang w:bidi="ar-MA"/>
        </w:rPr>
        <w:t xml:space="preserve"> </w:t>
      </w:r>
      <w:r w:rsidR="00B82F4A" w:rsidRPr="00B82F4A">
        <w:rPr>
          <w:rtl/>
          <w:lang w:bidi="ar-MA"/>
        </w:rPr>
        <w:t xml:space="preserve">الذي نشرته الأونسيترال في عام 2017، والذي </w:t>
      </w:r>
      <w:r>
        <w:rPr>
          <w:rFonts w:hint="cs"/>
          <w:rtl/>
          <w:lang w:bidi="ar-MA"/>
        </w:rPr>
        <w:t>ي</w:t>
      </w:r>
      <w:r w:rsidR="00B82F4A" w:rsidRPr="00B82F4A">
        <w:rPr>
          <w:rtl/>
          <w:lang w:bidi="ar-MA"/>
        </w:rPr>
        <w:t>هدف إلى تمكين الاستخدام القانوني للسجلات الإلكترونية القابلة للتحويل على المستو</w:t>
      </w:r>
      <w:r w:rsidR="00345AE6">
        <w:rPr>
          <w:rFonts w:hint="cs"/>
          <w:rtl/>
          <w:lang w:bidi="ar-MA"/>
        </w:rPr>
        <w:t>يين</w:t>
      </w:r>
      <w:r w:rsidR="00B82F4A" w:rsidRPr="00B82F4A">
        <w:rPr>
          <w:rtl/>
          <w:lang w:bidi="ar-MA"/>
        </w:rPr>
        <w:t xml:space="preserve"> المحلي </w:t>
      </w:r>
      <w:r w:rsidR="00345AE6">
        <w:rPr>
          <w:rFonts w:hint="cs"/>
          <w:rtl/>
          <w:lang w:bidi="ar-MA"/>
        </w:rPr>
        <w:t>والعابر</w:t>
      </w:r>
      <w:r w:rsidR="00B82F4A" w:rsidRPr="00B82F4A">
        <w:rPr>
          <w:rtl/>
          <w:lang w:bidi="ar-MA"/>
        </w:rPr>
        <w:t xml:space="preserve"> </w:t>
      </w:r>
      <w:r w:rsidR="00345AE6">
        <w:rPr>
          <w:rFonts w:hint="cs"/>
          <w:rtl/>
          <w:lang w:bidi="ar-MA"/>
        </w:rPr>
        <w:t>ل</w:t>
      </w:r>
      <w:r w:rsidR="00B82F4A" w:rsidRPr="00B82F4A">
        <w:rPr>
          <w:rtl/>
          <w:lang w:bidi="ar-MA"/>
        </w:rPr>
        <w:t>لحدود.</w:t>
      </w:r>
    </w:p>
    <w:p w14:paraId="14F7BCF2" w14:textId="21E9381C" w:rsidR="00B82F4A" w:rsidRPr="00D93E99" w:rsidRDefault="00205102" w:rsidP="0092178B">
      <w:pPr>
        <w:pStyle w:val="ONUMA"/>
        <w:keepNext/>
        <w:rPr>
          <w:lang w:bidi="ar-MA"/>
        </w:rPr>
      </w:pPr>
      <w:r>
        <w:rPr>
          <w:rFonts w:hint="cs"/>
          <w:rtl/>
          <w:lang w:bidi="ar-MA"/>
        </w:rPr>
        <w:t>ومن بين الأنشطة المفيدة الأخرى</w:t>
      </w:r>
      <w:r w:rsidR="00B82F4A" w:rsidRPr="00B82F4A">
        <w:rPr>
          <w:rtl/>
          <w:lang w:bidi="ar-MA"/>
        </w:rPr>
        <w:t xml:space="preserve">، </w:t>
      </w:r>
      <w:r w:rsidR="00345AE6">
        <w:rPr>
          <w:rFonts w:hint="cs"/>
          <w:rtl/>
          <w:lang w:bidi="ar-MA"/>
        </w:rPr>
        <w:t>ق</w:t>
      </w:r>
      <w:r>
        <w:rPr>
          <w:rFonts w:hint="cs"/>
          <w:rtl/>
          <w:lang w:bidi="ar-MA"/>
        </w:rPr>
        <w:t>ام</w:t>
      </w:r>
      <w:r w:rsidR="00B82F4A" w:rsidRPr="00B82F4A">
        <w:rPr>
          <w:rtl/>
          <w:lang w:bidi="ar-MA"/>
        </w:rPr>
        <w:t xml:space="preserve"> المكتب الدولي </w:t>
      </w:r>
      <w:r w:rsidR="00345AE6">
        <w:rPr>
          <w:rFonts w:hint="cs"/>
          <w:rtl/>
          <w:lang w:bidi="ar-MA"/>
        </w:rPr>
        <w:t>باستكشاف</w:t>
      </w:r>
      <w:r>
        <w:rPr>
          <w:rFonts w:hint="cs"/>
          <w:rtl/>
          <w:lang w:bidi="ar-MA"/>
        </w:rPr>
        <w:t xml:space="preserve"> </w:t>
      </w:r>
      <w:r w:rsidR="00345AE6">
        <w:rPr>
          <w:rFonts w:hint="cs"/>
          <w:rtl/>
          <w:lang w:bidi="ar-MA"/>
        </w:rPr>
        <w:t>حالات التطبيق</w:t>
      </w:r>
      <w:r w:rsidR="00B82F4A" w:rsidRPr="00B82F4A">
        <w:rPr>
          <w:rtl/>
          <w:lang w:bidi="ar-MA"/>
        </w:rPr>
        <w:t xml:space="preserve"> والفرص المحتملة التي توفرها تكنولوجيات </w:t>
      </w:r>
      <w:r w:rsidR="00423F57">
        <w:rPr>
          <w:rtl/>
          <w:lang w:bidi="ar-MA"/>
        </w:rPr>
        <w:t>سلاسل الكتل</w:t>
      </w:r>
      <w:r w:rsidR="00B82F4A" w:rsidRPr="00B82F4A">
        <w:rPr>
          <w:rtl/>
          <w:lang w:bidi="ar-MA"/>
        </w:rPr>
        <w:t xml:space="preserve"> </w:t>
      </w:r>
      <w:r w:rsidR="00345AE6">
        <w:rPr>
          <w:rFonts w:hint="cs"/>
          <w:rtl/>
          <w:lang w:bidi="ar-MA"/>
        </w:rPr>
        <w:t>للنظم</w:t>
      </w:r>
      <w:r w:rsidR="00B82F4A" w:rsidRPr="00B82F4A">
        <w:rPr>
          <w:rtl/>
          <w:lang w:bidi="ar-MA"/>
        </w:rPr>
        <w:t xml:space="preserve"> الإيكولوجية للملكية الفكرية. </w:t>
      </w:r>
      <w:r>
        <w:rPr>
          <w:rFonts w:hint="cs"/>
          <w:rtl/>
          <w:lang w:bidi="ar-MA"/>
        </w:rPr>
        <w:t xml:space="preserve">وفي عام 2022، </w:t>
      </w:r>
      <w:r w:rsidR="00B82F4A" w:rsidRPr="00B82F4A">
        <w:rPr>
          <w:rtl/>
          <w:lang w:bidi="ar-MA"/>
        </w:rPr>
        <w:t>نشر المكتب الدولي</w:t>
      </w:r>
      <w:r>
        <w:rPr>
          <w:rFonts w:hint="cs"/>
          <w:rtl/>
          <w:lang w:bidi="ar-MA"/>
        </w:rPr>
        <w:t xml:space="preserve"> وثيقة بعنوان:</w:t>
      </w:r>
      <w:r w:rsidR="00B82F4A" w:rsidRPr="00B82F4A">
        <w:rPr>
          <w:rtl/>
          <w:lang w:bidi="ar-MA"/>
        </w:rPr>
        <w:t xml:space="preserve"> "</w:t>
      </w:r>
      <w:hyperlink r:id="rId14" w:history="1">
        <w:r w:rsidR="00B82F4A" w:rsidRPr="00BE516E">
          <w:rPr>
            <w:rStyle w:val="Lienhypertexte"/>
            <w:rtl/>
            <w:lang w:bidi="ar-MA"/>
          </w:rPr>
          <w:t xml:space="preserve">تكنولوجيات </w:t>
        </w:r>
        <w:r w:rsidR="00423F57" w:rsidRPr="00BE516E">
          <w:rPr>
            <w:rStyle w:val="Lienhypertexte"/>
            <w:rtl/>
            <w:lang w:bidi="ar-MA"/>
          </w:rPr>
          <w:t>سلاسل الكتل</w:t>
        </w:r>
        <w:r w:rsidR="00B82F4A" w:rsidRPr="00BE516E">
          <w:rPr>
            <w:rStyle w:val="Lienhypertexte"/>
            <w:rtl/>
            <w:lang w:bidi="ar-MA"/>
          </w:rPr>
          <w:t xml:space="preserve"> </w:t>
        </w:r>
        <w:r w:rsidR="00345AE6">
          <w:rPr>
            <w:rStyle w:val="Lienhypertexte"/>
            <w:rFonts w:hint="cs"/>
            <w:rtl/>
            <w:lang w:bidi="ar-MA"/>
          </w:rPr>
          <w:t>والنظم</w:t>
        </w:r>
        <w:r w:rsidR="00B82F4A" w:rsidRPr="00BE516E">
          <w:rPr>
            <w:rStyle w:val="Lienhypertexte"/>
            <w:rtl/>
            <w:lang w:bidi="ar-MA"/>
          </w:rPr>
          <w:t xml:space="preserve"> الإيكولوجية للملكية الفكرية: ورقة </w:t>
        </w:r>
        <w:r w:rsidR="00345AE6">
          <w:rPr>
            <w:rStyle w:val="Lienhypertexte"/>
            <w:rFonts w:hint="cs"/>
            <w:rtl/>
            <w:lang w:bidi="ar-MA"/>
          </w:rPr>
          <w:t>عمل صادرة عن</w:t>
        </w:r>
        <w:r w:rsidR="00B82F4A" w:rsidRPr="00BE516E">
          <w:rPr>
            <w:rStyle w:val="Lienhypertexte"/>
            <w:rtl/>
            <w:lang w:bidi="ar-MA"/>
          </w:rPr>
          <w:t xml:space="preserve"> </w:t>
        </w:r>
        <w:r w:rsidR="00345AE6">
          <w:rPr>
            <w:rStyle w:val="Lienhypertexte"/>
            <w:rFonts w:hint="cs"/>
            <w:rtl/>
            <w:lang w:bidi="ar-MA"/>
          </w:rPr>
          <w:t>ا</w:t>
        </w:r>
        <w:r w:rsidR="00B82F4A" w:rsidRPr="00BE516E">
          <w:rPr>
            <w:rStyle w:val="Lienhypertexte"/>
            <w:rtl/>
            <w:lang w:bidi="ar-MA"/>
          </w:rPr>
          <w:t>لويبو</w:t>
        </w:r>
      </w:hyperlink>
      <w:r>
        <w:rPr>
          <w:rFonts w:hint="cs"/>
          <w:rtl/>
          <w:lang w:bidi="ar-MA"/>
        </w:rPr>
        <w:t xml:space="preserve">" والتي </w:t>
      </w:r>
      <w:r w:rsidR="00B82F4A" w:rsidRPr="00B82F4A">
        <w:rPr>
          <w:rtl/>
          <w:lang w:bidi="ar-MA"/>
        </w:rPr>
        <w:t xml:space="preserve">تحدد 13 حالة </w:t>
      </w:r>
      <w:r>
        <w:rPr>
          <w:rFonts w:hint="cs"/>
          <w:rtl/>
          <w:lang w:bidi="ar-MA"/>
        </w:rPr>
        <w:t>تطبيق</w:t>
      </w:r>
      <w:r w:rsidR="00B82F4A" w:rsidRPr="00B82F4A">
        <w:rPr>
          <w:rtl/>
          <w:lang w:bidi="ar-MA"/>
        </w:rPr>
        <w:t xml:space="preserve"> محتملة للتكنولوجيات في </w:t>
      </w:r>
      <w:r w:rsidR="00345AE6">
        <w:rPr>
          <w:rFonts w:hint="cs"/>
          <w:rtl/>
          <w:lang w:bidi="ar-MA"/>
        </w:rPr>
        <w:t>النظم</w:t>
      </w:r>
      <w:r w:rsidR="00B82F4A" w:rsidRPr="00B82F4A">
        <w:rPr>
          <w:rtl/>
          <w:lang w:bidi="ar-MA"/>
        </w:rPr>
        <w:t xml:space="preserve"> الإيكولوجية للملكية الفكرية بالإضافة إلى التحديات والقضايا التي ينبغي معالجتها لتحديد جدوى</w:t>
      </w:r>
      <w:r w:rsidR="00E8192E">
        <w:rPr>
          <w:rFonts w:hint="cs"/>
          <w:rtl/>
          <w:lang w:bidi="ar-MA"/>
        </w:rPr>
        <w:t xml:space="preserve"> استخدام هذه التكنولوجيات</w:t>
      </w:r>
      <w:r w:rsidR="00B82F4A" w:rsidRPr="00B82F4A">
        <w:rPr>
          <w:rtl/>
          <w:lang w:bidi="ar-MA"/>
        </w:rPr>
        <w:t xml:space="preserve"> وفعالي</w:t>
      </w:r>
      <w:r w:rsidR="00E8192E">
        <w:rPr>
          <w:rFonts w:hint="cs"/>
          <w:rtl/>
          <w:lang w:bidi="ar-MA"/>
        </w:rPr>
        <w:t>تها</w:t>
      </w:r>
      <w:r w:rsidR="00B82F4A" w:rsidRPr="00B82F4A">
        <w:rPr>
          <w:rtl/>
          <w:lang w:bidi="ar-MA"/>
        </w:rPr>
        <w:t xml:space="preserve"> </w:t>
      </w:r>
      <w:r w:rsidR="00E8192E">
        <w:rPr>
          <w:rFonts w:hint="cs"/>
          <w:rtl/>
          <w:lang w:bidi="ar-MA"/>
        </w:rPr>
        <w:t xml:space="preserve">من حيث </w:t>
      </w:r>
      <w:r w:rsidR="00B82F4A" w:rsidRPr="00B82F4A">
        <w:rPr>
          <w:rtl/>
          <w:lang w:bidi="ar-MA"/>
        </w:rPr>
        <w:t>التكلفة</w:t>
      </w:r>
      <w:r>
        <w:rPr>
          <w:rFonts w:hint="cs"/>
          <w:rtl/>
          <w:lang w:bidi="ar-MA"/>
        </w:rPr>
        <w:t xml:space="preserve"> </w:t>
      </w:r>
      <w:r w:rsidR="00B82F4A" w:rsidRPr="00B82F4A">
        <w:rPr>
          <w:rtl/>
          <w:lang w:bidi="ar-MA"/>
        </w:rPr>
        <w:t>والاستفادة من</w:t>
      </w:r>
      <w:r w:rsidR="00E8192E">
        <w:rPr>
          <w:rFonts w:hint="cs"/>
          <w:rtl/>
          <w:lang w:bidi="ar-MA"/>
        </w:rPr>
        <w:t xml:space="preserve">ها </w:t>
      </w:r>
      <w:r w:rsidR="00B82F4A" w:rsidRPr="00B82F4A">
        <w:rPr>
          <w:rtl/>
          <w:lang w:bidi="ar-MA"/>
        </w:rPr>
        <w:t xml:space="preserve">لصالح جميع أصحاب المصلحة في مجال الملكية الفكرية. </w:t>
      </w:r>
      <w:r>
        <w:rPr>
          <w:rFonts w:hint="cs"/>
          <w:rtl/>
          <w:lang w:bidi="ar-MA"/>
        </w:rPr>
        <w:t>و</w:t>
      </w:r>
      <w:r w:rsidR="00B82F4A" w:rsidRPr="00B82F4A">
        <w:rPr>
          <w:rtl/>
          <w:lang w:bidi="ar-MA"/>
        </w:rPr>
        <w:t>تساعد</w:t>
      </w:r>
      <w:r>
        <w:rPr>
          <w:rFonts w:hint="cs"/>
          <w:rtl/>
          <w:lang w:bidi="ar-MA"/>
        </w:rPr>
        <w:t xml:space="preserve"> </w:t>
      </w:r>
      <w:r w:rsidR="00E8192E">
        <w:rPr>
          <w:rFonts w:hint="cs"/>
          <w:rtl/>
          <w:lang w:bidi="ar-MA"/>
        </w:rPr>
        <w:t>ورقة العمل هذه</w:t>
      </w:r>
      <w:r w:rsidR="00B82F4A" w:rsidRPr="00B82F4A">
        <w:rPr>
          <w:rtl/>
          <w:lang w:bidi="ar-MA"/>
        </w:rPr>
        <w:t xml:space="preserve"> مكاتب الملكية الفكرية </w:t>
      </w:r>
      <w:r w:rsidR="00E8192E">
        <w:rPr>
          <w:rFonts w:hint="cs"/>
          <w:rtl/>
          <w:lang w:bidi="ar-MA"/>
        </w:rPr>
        <w:t>والأطراف المهتمة</w:t>
      </w:r>
      <w:r>
        <w:rPr>
          <w:rFonts w:hint="cs"/>
          <w:rtl/>
          <w:lang w:bidi="ar-MA"/>
        </w:rPr>
        <w:t xml:space="preserve"> ال</w:t>
      </w:r>
      <w:r w:rsidR="00E8192E">
        <w:rPr>
          <w:rFonts w:hint="cs"/>
          <w:rtl/>
          <w:lang w:bidi="ar-MA"/>
        </w:rPr>
        <w:t>أ</w:t>
      </w:r>
      <w:r>
        <w:rPr>
          <w:rFonts w:hint="cs"/>
          <w:rtl/>
          <w:lang w:bidi="ar-MA"/>
        </w:rPr>
        <w:t>خر</w:t>
      </w:r>
      <w:r w:rsidR="00E8192E">
        <w:rPr>
          <w:rFonts w:hint="cs"/>
          <w:rtl/>
          <w:lang w:bidi="ar-MA"/>
        </w:rPr>
        <w:t>ى</w:t>
      </w:r>
      <w:r w:rsidR="00B82F4A" w:rsidRPr="00B82F4A">
        <w:rPr>
          <w:rtl/>
          <w:lang w:bidi="ar-MA"/>
        </w:rPr>
        <w:t xml:space="preserve"> </w:t>
      </w:r>
      <w:r>
        <w:rPr>
          <w:rFonts w:hint="cs"/>
          <w:rtl/>
          <w:lang w:bidi="ar-MA"/>
        </w:rPr>
        <w:t>على</w:t>
      </w:r>
      <w:r w:rsidR="00B82F4A" w:rsidRPr="00B82F4A">
        <w:rPr>
          <w:rtl/>
          <w:lang w:bidi="ar-MA"/>
        </w:rPr>
        <w:t xml:space="preserve"> صياغة سياسته</w:t>
      </w:r>
      <w:r w:rsidR="00E8192E">
        <w:rPr>
          <w:rFonts w:hint="cs"/>
          <w:rtl/>
          <w:lang w:bidi="ar-MA"/>
        </w:rPr>
        <w:t>ا</w:t>
      </w:r>
      <w:r>
        <w:rPr>
          <w:rFonts w:hint="cs"/>
          <w:rtl/>
          <w:lang w:bidi="ar-MA"/>
        </w:rPr>
        <w:t xml:space="preserve"> </w:t>
      </w:r>
      <w:r w:rsidR="00B82F4A" w:rsidRPr="00B82F4A">
        <w:rPr>
          <w:rtl/>
          <w:lang w:bidi="ar-MA"/>
        </w:rPr>
        <w:t>الاستراتيجية وتدعم اتخاذ القرار</w:t>
      </w:r>
      <w:r w:rsidR="00E8192E">
        <w:rPr>
          <w:rFonts w:hint="cs"/>
          <w:rtl/>
          <w:lang w:bidi="ar-MA"/>
        </w:rPr>
        <w:t>ات</w:t>
      </w:r>
      <w:r w:rsidR="00B82F4A" w:rsidRPr="00B82F4A">
        <w:rPr>
          <w:rtl/>
          <w:lang w:bidi="ar-MA"/>
        </w:rPr>
        <w:t xml:space="preserve"> </w:t>
      </w:r>
      <w:r w:rsidR="00E8192E">
        <w:rPr>
          <w:rFonts w:hint="cs"/>
          <w:rtl/>
          <w:lang w:bidi="ar-MA"/>
        </w:rPr>
        <w:t>فيما يتعلق</w:t>
      </w:r>
      <w:r w:rsidR="00B82F4A" w:rsidRPr="00B82F4A">
        <w:rPr>
          <w:rtl/>
          <w:lang w:bidi="ar-MA"/>
        </w:rPr>
        <w:t xml:space="preserve"> </w:t>
      </w:r>
      <w:r w:rsidR="00E8192E">
        <w:rPr>
          <w:rFonts w:hint="cs"/>
          <w:rtl/>
          <w:lang w:bidi="ar-MA"/>
        </w:rPr>
        <w:t>ب</w:t>
      </w:r>
      <w:r w:rsidR="00B82F4A" w:rsidRPr="00B82F4A">
        <w:rPr>
          <w:rtl/>
          <w:lang w:bidi="ar-MA"/>
        </w:rPr>
        <w:t xml:space="preserve">اعتماد </w:t>
      </w:r>
      <w:r>
        <w:rPr>
          <w:rFonts w:hint="cs"/>
          <w:rtl/>
          <w:lang w:bidi="ar-MA"/>
        </w:rPr>
        <w:t>تكنولوجيات</w:t>
      </w:r>
      <w:r w:rsidR="00B82F4A" w:rsidRPr="00B82F4A">
        <w:rPr>
          <w:rtl/>
          <w:lang w:bidi="ar-MA"/>
        </w:rPr>
        <w:t xml:space="preserve"> </w:t>
      </w:r>
      <w:r w:rsidR="00423F57">
        <w:rPr>
          <w:rtl/>
          <w:lang w:bidi="ar-MA"/>
        </w:rPr>
        <w:t>سلاسل الكتل</w:t>
      </w:r>
      <w:r w:rsidR="00B82F4A" w:rsidRPr="00B82F4A">
        <w:rPr>
          <w:rtl/>
          <w:lang w:bidi="ar-MA"/>
        </w:rPr>
        <w:t xml:space="preserve"> في </w:t>
      </w:r>
      <w:r w:rsidR="00E8192E">
        <w:rPr>
          <w:rFonts w:hint="cs"/>
          <w:rtl/>
          <w:lang w:bidi="ar-MA"/>
        </w:rPr>
        <w:t>أعمالها</w:t>
      </w:r>
      <w:r w:rsidR="00B82F4A" w:rsidRPr="00B82F4A">
        <w:rPr>
          <w:rtl/>
          <w:lang w:bidi="ar-MA"/>
        </w:rPr>
        <w:t>.</w:t>
      </w:r>
    </w:p>
    <w:p w14:paraId="5FF8829C" w14:textId="663042D0" w:rsidR="00C52D12" w:rsidRPr="00D93E99" w:rsidRDefault="00C52D12" w:rsidP="0092178B">
      <w:pPr>
        <w:pStyle w:val="Titre2"/>
        <w:rPr>
          <w:b/>
          <w:bCs/>
          <w:sz w:val="26"/>
          <w:szCs w:val="26"/>
          <w:rtl/>
        </w:rPr>
      </w:pPr>
      <w:r w:rsidRPr="00D93E99">
        <w:rPr>
          <w:b/>
          <w:bCs/>
          <w:sz w:val="26"/>
          <w:szCs w:val="26"/>
          <w:rtl/>
        </w:rPr>
        <w:t>التقدم المحرز</w:t>
      </w:r>
      <w:r w:rsidR="00D8102A" w:rsidRPr="00D93E99">
        <w:rPr>
          <w:rFonts w:hint="cs"/>
          <w:b/>
          <w:bCs/>
          <w:sz w:val="26"/>
          <w:szCs w:val="26"/>
          <w:rtl/>
        </w:rPr>
        <w:t xml:space="preserve"> </w:t>
      </w:r>
      <w:r w:rsidRPr="00D93E99">
        <w:rPr>
          <w:b/>
          <w:bCs/>
          <w:sz w:val="26"/>
          <w:szCs w:val="26"/>
          <w:rtl/>
        </w:rPr>
        <w:t xml:space="preserve"> في </w:t>
      </w:r>
      <w:r w:rsidR="00B82F4A">
        <w:rPr>
          <w:rFonts w:hint="cs"/>
          <w:b/>
          <w:bCs/>
          <w:sz w:val="26"/>
          <w:szCs w:val="26"/>
          <w:rtl/>
        </w:rPr>
        <w:t>تنفيذ التوصيات والإجراءات المقترحة</w:t>
      </w:r>
    </w:p>
    <w:p w14:paraId="29C98292" w14:textId="4ACBC506" w:rsidR="00283C7A" w:rsidRPr="00D93E99" w:rsidRDefault="00B82F4A" w:rsidP="0092178B">
      <w:pPr>
        <w:pStyle w:val="ONUMA"/>
        <w:rPr>
          <w:lang w:bidi="ar-MA"/>
        </w:rPr>
      </w:pPr>
      <w:r>
        <w:rPr>
          <w:rFonts w:hint="cs"/>
          <w:rtl/>
          <w:lang w:bidi="ar-MA"/>
        </w:rPr>
        <w:t>أ</w:t>
      </w:r>
      <w:r w:rsidRPr="00B82F4A">
        <w:rPr>
          <w:rtl/>
          <w:lang w:bidi="ar-MA"/>
        </w:rPr>
        <w:t xml:space="preserve">بلغ المكتب الدولي لجنة </w:t>
      </w:r>
      <w:r w:rsidR="003324A1">
        <w:rPr>
          <w:rFonts w:hint="cs"/>
          <w:rtl/>
          <w:lang w:bidi="ar-MA"/>
        </w:rPr>
        <w:t>البرنامج والميزانية</w:t>
      </w:r>
      <w:r w:rsidRPr="00B82F4A">
        <w:rPr>
          <w:rtl/>
          <w:lang w:bidi="ar-MA"/>
        </w:rPr>
        <w:t xml:space="preserve"> عن حالة تنفيذ التوصيات منذ سبتمبر 2021. ولاحظت لجنة </w:t>
      </w:r>
      <w:r w:rsidR="003324A1">
        <w:rPr>
          <w:rFonts w:hint="cs"/>
          <w:rtl/>
          <w:lang w:bidi="ar-MA"/>
        </w:rPr>
        <w:t>البرنامج والميزانية</w:t>
      </w:r>
      <w:r w:rsidRPr="00B82F4A">
        <w:rPr>
          <w:rtl/>
          <w:lang w:bidi="ar-MA"/>
        </w:rPr>
        <w:t xml:space="preserve"> أن التوصيات 1 و2 و3 و4 قد </w:t>
      </w:r>
      <w:r w:rsidR="003324A1">
        <w:rPr>
          <w:rFonts w:hint="cs"/>
          <w:rtl/>
          <w:lang w:bidi="ar-MA"/>
        </w:rPr>
        <w:t>نُفّذت</w:t>
      </w:r>
      <w:r w:rsidRPr="00B82F4A">
        <w:rPr>
          <w:rtl/>
          <w:lang w:bidi="ar-MA"/>
        </w:rPr>
        <w:t xml:space="preserve"> وأن التوصية 6 قيد التنفيذ</w:t>
      </w:r>
      <w:r>
        <w:rPr>
          <w:rFonts w:hint="cs"/>
          <w:rtl/>
          <w:lang w:bidi="ar-MA"/>
        </w:rPr>
        <w:t>.</w:t>
      </w:r>
    </w:p>
    <w:p w14:paraId="233D3CDA" w14:textId="6421035D" w:rsidR="00283C7A" w:rsidRPr="00D93E99" w:rsidRDefault="003324A1" w:rsidP="0092178B">
      <w:pPr>
        <w:pStyle w:val="ONUMA"/>
        <w:rPr>
          <w:lang w:bidi="ar-MA"/>
        </w:rPr>
      </w:pPr>
      <w:r>
        <w:rPr>
          <w:rFonts w:hint="cs"/>
          <w:rtl/>
          <w:lang w:bidi="ar-MA"/>
        </w:rPr>
        <w:t>وقدم</w:t>
      </w:r>
      <w:r w:rsidR="00B82F4A" w:rsidRPr="00B82F4A">
        <w:rPr>
          <w:rtl/>
          <w:lang w:bidi="ar-MA"/>
        </w:rPr>
        <w:t xml:space="preserve"> المكتب الدولي آخر </w:t>
      </w:r>
      <w:r>
        <w:rPr>
          <w:rFonts w:hint="cs"/>
          <w:rtl/>
          <w:lang w:bidi="ar-MA"/>
        </w:rPr>
        <w:t xml:space="preserve">تقرير </w:t>
      </w:r>
      <w:r w:rsidR="00E8192E">
        <w:rPr>
          <w:rFonts w:hint="cs"/>
          <w:rtl/>
          <w:lang w:bidi="ar-MA"/>
        </w:rPr>
        <w:t xml:space="preserve">له عن </w:t>
      </w:r>
      <w:r w:rsidR="00B82F4A" w:rsidRPr="00B82F4A">
        <w:rPr>
          <w:rtl/>
          <w:lang w:bidi="ar-MA"/>
        </w:rPr>
        <w:t xml:space="preserve">حالة تنفيذ </w:t>
      </w:r>
      <w:r>
        <w:rPr>
          <w:rFonts w:hint="cs"/>
          <w:rtl/>
          <w:lang w:bidi="ar-MA"/>
        </w:rPr>
        <w:t xml:space="preserve">التوصيات </w:t>
      </w:r>
      <w:r w:rsidR="00B82F4A" w:rsidRPr="00B82F4A">
        <w:rPr>
          <w:rtl/>
          <w:lang w:bidi="ar-MA"/>
        </w:rPr>
        <w:t>إلى الدورة السابعة والثلاثين للجنة البرنامج والميزانية</w:t>
      </w:r>
      <w:r>
        <w:rPr>
          <w:rFonts w:hint="cs"/>
          <w:rtl/>
          <w:lang w:bidi="ar-MA"/>
        </w:rPr>
        <w:t xml:space="preserve">، </w:t>
      </w:r>
      <w:r w:rsidR="00B82F4A" w:rsidRPr="00B82F4A">
        <w:rPr>
          <w:rtl/>
          <w:lang w:bidi="ar-MA"/>
        </w:rPr>
        <w:t>التي ع</w:t>
      </w:r>
      <w:r>
        <w:rPr>
          <w:rFonts w:hint="cs"/>
          <w:rtl/>
          <w:lang w:bidi="ar-MA"/>
        </w:rPr>
        <w:t>ُ</w:t>
      </w:r>
      <w:r w:rsidR="00B82F4A" w:rsidRPr="00B82F4A">
        <w:rPr>
          <w:rtl/>
          <w:lang w:bidi="ar-MA"/>
        </w:rPr>
        <w:t>قدت في يونيو 2024</w:t>
      </w:r>
      <w:r>
        <w:rPr>
          <w:rFonts w:hint="cs"/>
          <w:rtl/>
          <w:lang w:bidi="ar-MA"/>
        </w:rPr>
        <w:t xml:space="preserve">، </w:t>
      </w:r>
      <w:r w:rsidR="00B82F4A" w:rsidRPr="00B82F4A">
        <w:rPr>
          <w:rtl/>
          <w:lang w:bidi="ar-MA"/>
        </w:rPr>
        <w:t xml:space="preserve">وأبلغ لجنة البرنامج والميزانية بخطته </w:t>
      </w:r>
      <w:r>
        <w:rPr>
          <w:rFonts w:hint="cs"/>
          <w:rtl/>
          <w:lang w:bidi="ar-MA"/>
        </w:rPr>
        <w:t>فيما يتعلق</w:t>
      </w:r>
      <w:r w:rsidR="00B82F4A" w:rsidRPr="00B82F4A">
        <w:rPr>
          <w:rtl/>
          <w:lang w:bidi="ar-MA"/>
        </w:rPr>
        <w:t xml:space="preserve"> </w:t>
      </w:r>
      <w:r>
        <w:rPr>
          <w:rFonts w:hint="cs"/>
          <w:rtl/>
          <w:lang w:bidi="ar-MA"/>
        </w:rPr>
        <w:t>ب</w:t>
      </w:r>
      <w:r w:rsidR="00B82F4A" w:rsidRPr="00B82F4A">
        <w:rPr>
          <w:rtl/>
          <w:lang w:bidi="ar-MA"/>
        </w:rPr>
        <w:t xml:space="preserve">التوصية 6 لتشجيع الدول الأعضاء في الويبو على </w:t>
      </w:r>
      <w:r w:rsidR="00E8192E">
        <w:rPr>
          <w:rFonts w:hint="cs"/>
          <w:rtl/>
          <w:lang w:bidi="ar-MA"/>
        </w:rPr>
        <w:t>الاشتراك في</w:t>
      </w:r>
      <w:r w:rsidR="00B82F4A" w:rsidRPr="00B82F4A">
        <w:rPr>
          <w:rtl/>
          <w:lang w:bidi="ar-MA"/>
        </w:rPr>
        <w:t xml:space="preserve"> </w:t>
      </w:r>
      <w:r w:rsidR="00E8192E">
        <w:rPr>
          <w:rFonts w:hint="cs"/>
          <w:rtl/>
          <w:lang w:bidi="ar-MA"/>
        </w:rPr>
        <w:t>الأعمال الاستكشافية</w:t>
      </w:r>
      <w:r w:rsidR="00B82F4A" w:rsidRPr="00B82F4A">
        <w:rPr>
          <w:rtl/>
          <w:lang w:bidi="ar-MA"/>
        </w:rPr>
        <w:t xml:space="preserve"> والتحضيري</w:t>
      </w:r>
      <w:r>
        <w:rPr>
          <w:rFonts w:hint="cs"/>
          <w:rtl/>
          <w:lang w:bidi="ar-MA"/>
        </w:rPr>
        <w:t>ة</w:t>
      </w:r>
      <w:r w:rsidR="00B82F4A" w:rsidRPr="00B82F4A">
        <w:rPr>
          <w:rtl/>
          <w:lang w:bidi="ar-MA"/>
        </w:rPr>
        <w:t xml:space="preserve"> </w:t>
      </w:r>
      <w:r w:rsidR="00E8192E">
        <w:rPr>
          <w:rFonts w:hint="cs"/>
          <w:rtl/>
          <w:lang w:bidi="ar-MA"/>
        </w:rPr>
        <w:t>ل</w:t>
      </w:r>
      <w:r w:rsidR="00E8192E" w:rsidRPr="00B82F4A">
        <w:rPr>
          <w:rtl/>
          <w:lang w:bidi="ar-MA"/>
        </w:rPr>
        <w:t xml:space="preserve">لأونسيترال </w:t>
      </w:r>
      <w:r w:rsidR="00B82F4A" w:rsidRPr="00B82F4A">
        <w:rPr>
          <w:rtl/>
          <w:lang w:bidi="ar-MA"/>
        </w:rPr>
        <w:t xml:space="preserve">بشأن </w:t>
      </w:r>
      <w:r>
        <w:rPr>
          <w:rFonts w:hint="cs"/>
          <w:rtl/>
          <w:lang w:bidi="ar-MA"/>
        </w:rPr>
        <w:t>المسائل</w:t>
      </w:r>
      <w:r w:rsidR="00B82F4A" w:rsidRPr="00B82F4A">
        <w:rPr>
          <w:rtl/>
          <w:lang w:bidi="ar-MA"/>
        </w:rPr>
        <w:t xml:space="preserve"> القانونية</w:t>
      </w:r>
      <w:r>
        <w:rPr>
          <w:rFonts w:hint="cs"/>
          <w:rtl/>
          <w:lang w:bidi="ar-MA"/>
        </w:rPr>
        <w:t xml:space="preserve"> </w:t>
      </w:r>
      <w:r w:rsidR="00B82F4A" w:rsidRPr="00B82F4A">
        <w:rPr>
          <w:rtl/>
          <w:lang w:bidi="ar-MA"/>
        </w:rPr>
        <w:t xml:space="preserve">المتعلقة بتكنولوجيا </w:t>
      </w:r>
      <w:r w:rsidR="00423F57">
        <w:rPr>
          <w:rtl/>
          <w:lang w:bidi="ar-MA"/>
        </w:rPr>
        <w:t>سلاسل الكتل</w:t>
      </w:r>
      <w:r w:rsidR="00B82F4A" w:rsidRPr="00B82F4A">
        <w:rPr>
          <w:rtl/>
          <w:lang w:bidi="ar-MA"/>
        </w:rPr>
        <w:t xml:space="preserve"> في السياق الأوسع للاقتصاد الرقمي والتجارة الرقمية</w:t>
      </w:r>
      <w:r>
        <w:rPr>
          <w:rFonts w:hint="cs"/>
          <w:rtl/>
          <w:lang w:bidi="ar-MA"/>
        </w:rPr>
        <w:t xml:space="preserve">،ـ </w:t>
      </w:r>
      <w:r w:rsidR="00B82F4A" w:rsidRPr="00B82F4A">
        <w:rPr>
          <w:rtl/>
          <w:lang w:bidi="ar-MA"/>
        </w:rPr>
        <w:t xml:space="preserve">على النحو الموصى به في الدورة الثانية عشرة للجنة المعايير (انظر المرفق الأول بالوثيقة </w:t>
      </w:r>
      <w:hyperlink r:id="rId15" w:history="1">
        <w:r w:rsidR="00B82F4A" w:rsidRPr="00BE516E">
          <w:rPr>
            <w:rStyle w:val="Lienhypertexte"/>
            <w:lang w:bidi="ar-MA"/>
          </w:rPr>
          <w:t>WO/PBC/37/6 Rev</w:t>
        </w:r>
        <w:r w:rsidR="00BE516E" w:rsidRPr="00BE516E">
          <w:rPr>
            <w:rStyle w:val="Lienhypertexte"/>
            <w:lang w:val="fr-CH" w:bidi="ar-MA"/>
          </w:rPr>
          <w:t>.</w:t>
        </w:r>
      </w:hyperlink>
      <w:r w:rsidR="00B82F4A" w:rsidRPr="00B82F4A">
        <w:rPr>
          <w:rtl/>
          <w:lang w:bidi="ar-MA"/>
        </w:rPr>
        <w:t>).</w:t>
      </w:r>
    </w:p>
    <w:p w14:paraId="4A9AAB6D" w14:textId="51964A35" w:rsidR="002700B2" w:rsidRPr="00D93E99" w:rsidRDefault="003324A1" w:rsidP="0092178B">
      <w:pPr>
        <w:pStyle w:val="ONUMA"/>
        <w:rPr>
          <w:lang w:bidi="ar-MA"/>
        </w:rPr>
      </w:pPr>
      <w:r>
        <w:rPr>
          <w:rFonts w:hint="cs"/>
          <w:rtl/>
          <w:lang w:bidi="ar-MA"/>
        </w:rPr>
        <w:t>ومن الجدير بالذكر</w:t>
      </w:r>
      <w:r w:rsidR="00B82F4A" w:rsidRPr="00B82F4A">
        <w:rPr>
          <w:rtl/>
          <w:lang w:bidi="ar-MA"/>
        </w:rPr>
        <w:t xml:space="preserve"> أن الأونسيترال </w:t>
      </w:r>
      <w:r>
        <w:rPr>
          <w:rFonts w:hint="cs"/>
          <w:rtl/>
          <w:lang w:bidi="ar-MA"/>
        </w:rPr>
        <w:t xml:space="preserve">قد </w:t>
      </w:r>
      <w:r w:rsidR="00B82F4A" w:rsidRPr="00B82F4A">
        <w:rPr>
          <w:rtl/>
          <w:lang w:bidi="ar-MA"/>
        </w:rPr>
        <w:t>نشر</w:t>
      </w:r>
      <w:r w:rsidR="00E8192E">
        <w:rPr>
          <w:rFonts w:hint="cs"/>
          <w:rtl/>
          <w:lang w:val="fr-CH" w:bidi="ar-SY"/>
        </w:rPr>
        <w:t>ت في عام 2023 وثيقة بعنوان:</w:t>
      </w:r>
      <w:r w:rsidR="00B82F4A" w:rsidRPr="00B82F4A">
        <w:rPr>
          <w:rtl/>
          <w:lang w:bidi="ar-MA"/>
        </w:rPr>
        <w:t xml:space="preserve"> "</w:t>
      </w:r>
      <w:hyperlink r:id="rId16" w:history="1">
        <w:r w:rsidR="00B82F4A" w:rsidRPr="006F50B1">
          <w:rPr>
            <w:rStyle w:val="Lienhypertexte"/>
            <w:rtl/>
            <w:lang w:bidi="ar-MA"/>
          </w:rPr>
          <w:t>تصنيف المسائل القانونية المتعلقة بالاقتصاد الرقمي</w:t>
        </w:r>
      </w:hyperlink>
      <w:r w:rsidR="00B82F4A" w:rsidRPr="00B82F4A">
        <w:rPr>
          <w:rtl/>
          <w:lang w:bidi="ar-MA"/>
        </w:rPr>
        <w:t>"</w:t>
      </w:r>
      <w:r w:rsidR="00E8192E">
        <w:rPr>
          <w:rFonts w:hint="cs"/>
          <w:rtl/>
          <w:lang w:bidi="ar-MA"/>
        </w:rPr>
        <w:t xml:space="preserve">. كما </w:t>
      </w:r>
      <w:r w:rsidR="00B82F4A" w:rsidRPr="00B82F4A">
        <w:rPr>
          <w:rtl/>
          <w:lang w:bidi="ar-MA"/>
        </w:rPr>
        <w:t>قدمت مؤخرا</w:t>
      </w:r>
      <w:r>
        <w:rPr>
          <w:rFonts w:hint="cs"/>
          <w:rtl/>
          <w:lang w:bidi="ar-MA"/>
        </w:rPr>
        <w:t>ً</w:t>
      </w:r>
      <w:r w:rsidR="00B82F4A" w:rsidRPr="00B82F4A">
        <w:rPr>
          <w:rtl/>
          <w:lang w:bidi="ar-MA"/>
        </w:rPr>
        <w:t xml:space="preserve"> وثيقة جديدة </w:t>
      </w:r>
      <w:r w:rsidR="00B82F4A" w:rsidRPr="00B82F4A">
        <w:rPr>
          <w:lang w:bidi="ar-MA"/>
        </w:rPr>
        <w:t>A/CN.9/1175</w:t>
      </w:r>
      <w:r w:rsidR="00B82F4A" w:rsidRPr="00B82F4A">
        <w:rPr>
          <w:rtl/>
          <w:lang w:bidi="ar-MA"/>
        </w:rPr>
        <w:t xml:space="preserve"> (</w:t>
      </w:r>
      <w:hyperlink r:id="rId17" w:history="1">
        <w:r w:rsidR="00B82F4A" w:rsidRPr="00E8192E">
          <w:rPr>
            <w:rStyle w:val="Lienhypertexte"/>
            <w:rtl/>
            <w:lang w:bidi="ar-MA"/>
          </w:rPr>
          <w:t xml:space="preserve">المسائل القانونية المتعلقة باستخدام تكنولوجيا </w:t>
        </w:r>
        <w:r w:rsidRPr="00E8192E">
          <w:rPr>
            <w:rStyle w:val="Lienhypertexte"/>
            <w:rFonts w:hint="cs"/>
            <w:rtl/>
            <w:lang w:bidi="ar-MA"/>
          </w:rPr>
          <w:t xml:space="preserve">السجلات </w:t>
        </w:r>
        <w:r w:rsidR="00B82F4A" w:rsidRPr="00E8192E">
          <w:rPr>
            <w:rStyle w:val="Lienhypertexte"/>
            <w:rtl/>
            <w:lang w:bidi="ar-MA"/>
          </w:rPr>
          <w:t>الموزعة في التجارة</w:t>
        </w:r>
        <w:r w:rsidR="00E8192E" w:rsidRPr="00E8192E">
          <w:rPr>
            <w:rStyle w:val="Lienhypertexte"/>
            <w:rFonts w:hint="cs"/>
            <w:rtl/>
            <w:lang w:bidi="ar-MA"/>
          </w:rPr>
          <w:t xml:space="preserve"> مؤخراً</w:t>
        </w:r>
      </w:hyperlink>
      <w:r w:rsidR="00B82F4A" w:rsidRPr="00B82F4A">
        <w:rPr>
          <w:rtl/>
          <w:lang w:bidi="ar-MA"/>
        </w:rPr>
        <w:t>) إلى دورتها السابعة والخمسين</w:t>
      </w:r>
      <w:r>
        <w:rPr>
          <w:rFonts w:hint="cs"/>
          <w:rtl/>
          <w:lang w:bidi="ar-MA"/>
        </w:rPr>
        <w:t xml:space="preserve"> التي عُقدت </w:t>
      </w:r>
      <w:r w:rsidR="00B82F4A" w:rsidRPr="00B82F4A">
        <w:rPr>
          <w:rtl/>
          <w:lang w:bidi="ar-MA"/>
        </w:rPr>
        <w:t>في الفترة من 24 يونيو إلى 12 يوليو 2024</w:t>
      </w:r>
      <w:r w:rsidR="00A36865" w:rsidRPr="00D93E99">
        <w:rPr>
          <w:rtl/>
          <w:lang w:bidi="ar-MA"/>
        </w:rPr>
        <w:t xml:space="preserve">.  </w:t>
      </w:r>
    </w:p>
    <w:p w14:paraId="04CB9E33" w14:textId="291CE304" w:rsidR="004B0DF7" w:rsidRPr="00B82F4A" w:rsidRDefault="003324A1" w:rsidP="00B82F4A">
      <w:pPr>
        <w:pStyle w:val="ONUMA"/>
        <w:rPr>
          <w:lang w:bidi="ar-MA"/>
        </w:rPr>
      </w:pPr>
      <w:r>
        <w:rPr>
          <w:rFonts w:hint="cs"/>
          <w:rtl/>
          <w:lang w:bidi="ar-MA"/>
        </w:rPr>
        <w:t xml:space="preserve">وتُدعى </w:t>
      </w:r>
      <w:r w:rsidR="00B82F4A" w:rsidRPr="00B82F4A">
        <w:rPr>
          <w:rtl/>
          <w:lang w:bidi="ar-MA"/>
        </w:rPr>
        <w:t xml:space="preserve">لجنة المعايير إلى تشجيع مكاتب الملكية الفكرية، حيثما </w:t>
      </w:r>
      <w:r>
        <w:rPr>
          <w:rFonts w:hint="cs"/>
          <w:rtl/>
          <w:lang w:bidi="ar-MA"/>
        </w:rPr>
        <w:t>كان ذلك مناسباً</w:t>
      </w:r>
      <w:r w:rsidR="00B82F4A" w:rsidRPr="00B82F4A">
        <w:rPr>
          <w:rtl/>
          <w:lang w:bidi="ar-MA"/>
        </w:rPr>
        <w:t xml:space="preserve">، على </w:t>
      </w:r>
      <w:r w:rsidR="00E8192E">
        <w:rPr>
          <w:rFonts w:hint="cs"/>
          <w:rtl/>
          <w:lang w:bidi="ar-MA"/>
        </w:rPr>
        <w:t xml:space="preserve">الاشتراك </w:t>
      </w:r>
      <w:r w:rsidR="00E8192E" w:rsidRPr="00E8192E">
        <w:rPr>
          <w:rtl/>
          <w:lang w:bidi="ar-MA"/>
        </w:rPr>
        <w:t xml:space="preserve">في الأعمال الاستكشافية والتحضيرية </w:t>
      </w:r>
      <w:r w:rsidR="00E8192E">
        <w:rPr>
          <w:rFonts w:hint="cs"/>
          <w:rtl/>
          <w:lang w:bidi="ar-MA"/>
        </w:rPr>
        <w:t>ل</w:t>
      </w:r>
      <w:r w:rsidR="00E8192E" w:rsidRPr="00B82F4A">
        <w:rPr>
          <w:rtl/>
          <w:lang w:bidi="ar-MA"/>
        </w:rPr>
        <w:t xml:space="preserve">لأونسيترال </w:t>
      </w:r>
      <w:r w:rsidR="00E8192E" w:rsidRPr="00E8192E">
        <w:rPr>
          <w:rtl/>
          <w:lang w:bidi="ar-MA"/>
        </w:rPr>
        <w:t>بشأن المسائل القانونية المتعلقة بتكنولوجيا سلاسل الكتل في السياق الأوسع للاقتصاد الرقمي والتجارة الرقمية، بما في ذلك ما يتعلق بتسوية المنازعات، والتي تهدف إلى الحد من عدم اليقين القانوني في هذا المجال.</w:t>
      </w:r>
    </w:p>
    <w:p w14:paraId="37460F16" w14:textId="153B52B5" w:rsidR="00097FB7" w:rsidRPr="00001275" w:rsidRDefault="006E6E23" w:rsidP="006E6E23">
      <w:pPr>
        <w:pStyle w:val="Titre2"/>
        <w:spacing w:after="120"/>
        <w:ind w:left="5103" w:firstLine="567"/>
        <w:rPr>
          <w:b/>
          <w:i/>
          <w:iCs/>
          <w:sz w:val="22"/>
          <w:szCs w:val="22"/>
        </w:rPr>
      </w:pPr>
      <w:r>
        <w:rPr>
          <w:i/>
          <w:iCs/>
          <w:sz w:val="22"/>
          <w:szCs w:val="22"/>
        </w:rPr>
        <w:t>11</w:t>
      </w:r>
      <w:r w:rsidR="00001275" w:rsidRPr="00001275">
        <w:rPr>
          <w:rFonts w:hint="cs"/>
          <w:i/>
          <w:iCs/>
          <w:sz w:val="22"/>
          <w:szCs w:val="22"/>
          <w:rtl/>
        </w:rPr>
        <w:t>.</w:t>
      </w:r>
      <w:r>
        <w:rPr>
          <w:b/>
          <w:bCs/>
          <w:sz w:val="22"/>
          <w:szCs w:val="22"/>
        </w:rPr>
        <w:tab/>
      </w:r>
      <w:r w:rsidRPr="006E6E23">
        <w:rPr>
          <w:rFonts w:hint="cs"/>
          <w:b/>
          <w:bCs/>
          <w:i/>
          <w:iCs/>
          <w:sz w:val="22"/>
          <w:szCs w:val="22"/>
          <w:rtl/>
          <w:lang w:val="fr-CH" w:bidi="ar-SY"/>
        </w:rPr>
        <w:t>إ</w:t>
      </w:r>
      <w:r w:rsidR="00097FB7" w:rsidRPr="006E6E23">
        <w:rPr>
          <w:i/>
          <w:iCs/>
          <w:sz w:val="22"/>
          <w:szCs w:val="22"/>
          <w:rtl/>
        </w:rPr>
        <w:t>ن</w:t>
      </w:r>
      <w:r w:rsidR="00097FB7" w:rsidRPr="00001275">
        <w:rPr>
          <w:i/>
          <w:iCs/>
          <w:sz w:val="22"/>
          <w:szCs w:val="22"/>
          <w:rtl/>
        </w:rPr>
        <w:t xml:space="preserve"> ل</w:t>
      </w:r>
      <w:r w:rsidR="00E2768B" w:rsidRPr="00001275">
        <w:rPr>
          <w:i/>
          <w:iCs/>
          <w:sz w:val="22"/>
          <w:szCs w:val="22"/>
          <w:rtl/>
          <w:lang w:bidi="ar-EG"/>
        </w:rPr>
        <w:t>جنة ال</w:t>
      </w:r>
      <w:r w:rsidR="00E2768B" w:rsidRPr="00001275">
        <w:rPr>
          <w:rFonts w:hint="cs"/>
          <w:i/>
          <w:iCs/>
          <w:sz w:val="22"/>
          <w:szCs w:val="22"/>
          <w:rtl/>
          <w:lang w:bidi="ar-EG"/>
        </w:rPr>
        <w:t>معايير</w:t>
      </w:r>
      <w:r w:rsidR="00097FB7" w:rsidRPr="00001275">
        <w:rPr>
          <w:i/>
          <w:iCs/>
          <w:sz w:val="22"/>
          <w:szCs w:val="22"/>
          <w:rtl/>
          <w:lang w:bidi="ar-EG"/>
        </w:rPr>
        <w:t xml:space="preserve"> مدعوة إلى:</w:t>
      </w:r>
    </w:p>
    <w:p w14:paraId="15BDA25A" w14:textId="77777777" w:rsidR="00097FB7" w:rsidRPr="00D93E99" w:rsidRDefault="00AE5CC2" w:rsidP="006E6E23">
      <w:pPr>
        <w:pStyle w:val="Corpsdetexte"/>
        <w:spacing w:after="120"/>
        <w:ind w:left="5103" w:firstLine="567"/>
        <w:rPr>
          <w:b/>
          <w:i/>
          <w:iCs/>
          <w:lang w:bidi="ar-MA"/>
        </w:rPr>
      </w:pPr>
      <w:r w:rsidRPr="00D93E99">
        <w:rPr>
          <w:rFonts w:hint="cs"/>
          <w:i/>
          <w:iCs/>
          <w:rtl/>
          <w:lang w:bidi="ar-EG"/>
        </w:rPr>
        <w:t>(أ)</w:t>
      </w:r>
      <w:r w:rsidRPr="00D93E99">
        <w:rPr>
          <w:rFonts w:hint="cs"/>
          <w:i/>
          <w:iCs/>
          <w:rtl/>
          <w:lang w:bidi="ar-EG"/>
        </w:rPr>
        <w:tab/>
      </w:r>
      <w:r w:rsidR="00783007" w:rsidRPr="00D93E99">
        <w:rPr>
          <w:i/>
          <w:iCs/>
          <w:rtl/>
          <w:lang w:bidi="ar-EG"/>
        </w:rPr>
        <w:t>الإحاطة علماً</w:t>
      </w:r>
      <w:r w:rsidR="00783007" w:rsidRPr="00D93E99">
        <w:rPr>
          <w:rFonts w:hint="cs"/>
          <w:i/>
          <w:iCs/>
          <w:rtl/>
          <w:lang w:bidi="ar-EG"/>
        </w:rPr>
        <w:t xml:space="preserve"> ب</w:t>
      </w:r>
      <w:r w:rsidR="00A31A7F" w:rsidRPr="00D93E99">
        <w:rPr>
          <w:rFonts w:hint="cs"/>
          <w:i/>
          <w:iCs/>
          <w:rtl/>
          <w:lang w:bidi="ar-EG"/>
        </w:rPr>
        <w:t xml:space="preserve">مضمون </w:t>
      </w:r>
      <w:r w:rsidR="0072205B" w:rsidRPr="00D93E99">
        <w:rPr>
          <w:i/>
          <w:iCs/>
          <w:rtl/>
          <w:lang w:bidi="ar-EG"/>
        </w:rPr>
        <w:t>هذه الوثيقة؛</w:t>
      </w:r>
    </w:p>
    <w:p w14:paraId="270A04A1" w14:textId="0F2D778A" w:rsidR="00097FB7" w:rsidRPr="00D93E99" w:rsidRDefault="00AE5CC2" w:rsidP="006E6E23">
      <w:pPr>
        <w:pStyle w:val="Corpsdetexte"/>
        <w:spacing w:after="480"/>
        <w:ind w:left="5670" w:right="57"/>
        <w:rPr>
          <w:b/>
          <w:i/>
          <w:iCs/>
          <w:lang w:bidi="ar-MA"/>
        </w:rPr>
      </w:pPr>
      <w:r w:rsidRPr="00D93E99">
        <w:rPr>
          <w:rFonts w:hint="cs"/>
          <w:b/>
          <w:i/>
          <w:iCs/>
          <w:rtl/>
          <w:lang w:bidi="ar-MA"/>
        </w:rPr>
        <w:t>(ب)</w:t>
      </w:r>
      <w:r w:rsidR="006E6E23">
        <w:rPr>
          <w:b/>
          <w:i/>
          <w:iCs/>
          <w:rtl/>
          <w:lang w:bidi="ar-MA"/>
        </w:rPr>
        <w:tab/>
      </w:r>
      <w:r w:rsidR="0026508A" w:rsidRPr="00D93E99">
        <w:rPr>
          <w:rFonts w:hint="cs"/>
          <w:b/>
          <w:i/>
          <w:iCs/>
          <w:rtl/>
          <w:lang w:val="fr-FR" w:bidi="ar-SY"/>
        </w:rPr>
        <w:t>و</w:t>
      </w:r>
      <w:r w:rsidR="00783007" w:rsidRPr="00D93E99">
        <w:rPr>
          <w:b/>
          <w:i/>
          <w:iCs/>
          <w:rtl/>
          <w:lang w:bidi="ar-MA"/>
        </w:rPr>
        <w:t xml:space="preserve">الإحاطة </w:t>
      </w:r>
      <w:r w:rsidR="00001275">
        <w:rPr>
          <w:rFonts w:hint="cs"/>
          <w:b/>
          <w:i/>
          <w:iCs/>
          <w:rtl/>
          <w:lang w:bidi="ar-MA"/>
        </w:rPr>
        <w:t>علماً</w:t>
      </w:r>
      <w:r w:rsidR="00001275" w:rsidRPr="00001275">
        <w:rPr>
          <w:b/>
          <w:i/>
          <w:iCs/>
          <w:rtl/>
          <w:lang w:bidi="ar-MA"/>
        </w:rPr>
        <w:t xml:space="preserve"> </w:t>
      </w:r>
      <w:r w:rsidR="00001275">
        <w:rPr>
          <w:rFonts w:hint="cs"/>
          <w:b/>
          <w:i/>
          <w:iCs/>
          <w:rtl/>
          <w:lang w:bidi="ar-MA"/>
        </w:rPr>
        <w:t>ب</w:t>
      </w:r>
      <w:r w:rsidR="00001275" w:rsidRPr="00001275">
        <w:rPr>
          <w:b/>
          <w:i/>
          <w:iCs/>
          <w:rtl/>
          <w:lang w:bidi="ar-MA"/>
        </w:rPr>
        <w:t>التوصية 6 وتشجيع مكاتب الملكية الفكرية على تنفيذها</w:t>
      </w:r>
      <w:r w:rsidR="003324A1">
        <w:rPr>
          <w:rFonts w:hint="cs"/>
          <w:b/>
          <w:i/>
          <w:iCs/>
          <w:rtl/>
          <w:lang w:bidi="ar-MA"/>
        </w:rPr>
        <w:t xml:space="preserve">، </w:t>
      </w:r>
      <w:r w:rsidR="00001275" w:rsidRPr="00001275">
        <w:rPr>
          <w:b/>
          <w:i/>
          <w:iCs/>
          <w:rtl/>
          <w:lang w:bidi="ar-MA"/>
        </w:rPr>
        <w:t>على النحو الم</w:t>
      </w:r>
      <w:r w:rsidR="003324A1">
        <w:rPr>
          <w:rFonts w:hint="cs"/>
          <w:b/>
          <w:i/>
          <w:iCs/>
          <w:rtl/>
          <w:lang w:bidi="ar-MA"/>
        </w:rPr>
        <w:t>ُ</w:t>
      </w:r>
      <w:r w:rsidR="00001275" w:rsidRPr="00001275">
        <w:rPr>
          <w:b/>
          <w:i/>
          <w:iCs/>
          <w:rtl/>
          <w:lang w:bidi="ar-MA"/>
        </w:rPr>
        <w:t>شار إليه في الفقرة 10 أعلاه</w:t>
      </w:r>
      <w:r w:rsidR="00001275">
        <w:rPr>
          <w:rFonts w:hint="cs"/>
          <w:b/>
          <w:i/>
          <w:iCs/>
          <w:rtl/>
          <w:lang w:bidi="ar-MA"/>
        </w:rPr>
        <w:t>.</w:t>
      </w:r>
    </w:p>
    <w:p w14:paraId="097E187B" w14:textId="24E2BCA4" w:rsidR="00783007" w:rsidRPr="006E6E23" w:rsidRDefault="00C73196" w:rsidP="006E6E23">
      <w:pPr>
        <w:pStyle w:val="Endofdocument-Annex"/>
        <w:rPr>
          <w:lang w:val="fr-CA" w:bidi="ar-MA"/>
        </w:rPr>
      </w:pPr>
      <w:r w:rsidRPr="00D93E99">
        <w:rPr>
          <w:rtl/>
          <w:lang w:val="fr-CA" w:bidi="ar-MA"/>
        </w:rPr>
        <w:t>[</w:t>
      </w:r>
      <w:r w:rsidR="00CC74D3" w:rsidRPr="00D93E99">
        <w:rPr>
          <w:rFonts w:hint="cs"/>
          <w:rtl/>
          <w:lang w:val="fr-CA" w:bidi="ar-MA"/>
        </w:rPr>
        <w:t>نهاية الوثيقة</w:t>
      </w:r>
      <w:r w:rsidRPr="00D93E99">
        <w:rPr>
          <w:rtl/>
          <w:lang w:val="fr-CA" w:bidi="ar-MA"/>
        </w:rPr>
        <w:t>]</w:t>
      </w:r>
    </w:p>
    <w:p w14:paraId="4AD7AE29" w14:textId="77777777" w:rsidR="00304991" w:rsidRPr="00D93E99" w:rsidRDefault="00304991" w:rsidP="004E6D5F">
      <w:pPr>
        <w:pStyle w:val="Corpsdetexte"/>
      </w:pPr>
      <w:bookmarkStart w:id="3" w:name="Prepared"/>
      <w:bookmarkEnd w:id="0"/>
      <w:bookmarkEnd w:id="3"/>
    </w:p>
    <w:sectPr w:rsidR="00304991" w:rsidRPr="00D93E99" w:rsidSect="00CC3E2D">
      <w:headerReference w:type="defaul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C64BA" w14:textId="77777777" w:rsidR="00A20FF9" w:rsidRDefault="00A20FF9">
      <w:r>
        <w:separator/>
      </w:r>
    </w:p>
  </w:endnote>
  <w:endnote w:type="continuationSeparator" w:id="0">
    <w:p w14:paraId="3568172B" w14:textId="77777777" w:rsidR="00A20FF9" w:rsidRDefault="00A20FF9" w:rsidP="003B38C1">
      <w:r>
        <w:separator/>
      </w:r>
    </w:p>
    <w:p w14:paraId="754DA615" w14:textId="77777777" w:rsidR="00A20FF9" w:rsidRPr="003B38C1" w:rsidRDefault="00A20FF9" w:rsidP="003B38C1">
      <w:pPr>
        <w:spacing w:after="60"/>
        <w:rPr>
          <w:sz w:val="17"/>
        </w:rPr>
      </w:pPr>
      <w:r>
        <w:rPr>
          <w:sz w:val="17"/>
        </w:rPr>
        <w:t>[Endnote continued from previous page]</w:t>
      </w:r>
    </w:p>
  </w:endnote>
  <w:endnote w:type="continuationNotice" w:id="1">
    <w:p w14:paraId="1C5B4C25" w14:textId="77777777" w:rsidR="00A20FF9" w:rsidRPr="003B38C1" w:rsidRDefault="00A20F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99619" w14:textId="77777777" w:rsidR="00A20FF9" w:rsidRDefault="00A20FF9">
      <w:r>
        <w:separator/>
      </w:r>
    </w:p>
  </w:footnote>
  <w:footnote w:type="continuationSeparator" w:id="0">
    <w:p w14:paraId="7CCDE2DB" w14:textId="77777777" w:rsidR="00A20FF9" w:rsidRDefault="00A20FF9" w:rsidP="008B60B2">
      <w:r>
        <w:separator/>
      </w:r>
    </w:p>
    <w:p w14:paraId="0184DE34" w14:textId="77777777" w:rsidR="00A20FF9" w:rsidRPr="00ED77FB" w:rsidRDefault="00A20FF9" w:rsidP="008B60B2">
      <w:pPr>
        <w:spacing w:after="60"/>
        <w:rPr>
          <w:sz w:val="17"/>
          <w:szCs w:val="17"/>
        </w:rPr>
      </w:pPr>
      <w:r w:rsidRPr="00ED77FB">
        <w:rPr>
          <w:sz w:val="17"/>
          <w:szCs w:val="17"/>
        </w:rPr>
        <w:t>[Footnote continued from previous page]</w:t>
      </w:r>
    </w:p>
  </w:footnote>
  <w:footnote w:type="continuationNotice" w:id="1">
    <w:p w14:paraId="66FA8182" w14:textId="77777777" w:rsidR="00A20FF9" w:rsidRPr="00ED77FB" w:rsidRDefault="00A20FF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02BE0" w14:textId="5D6B42B6" w:rsidR="0092178B" w:rsidRPr="002326AB" w:rsidRDefault="0092178B" w:rsidP="0092178B">
    <w:pPr>
      <w:bidi w:val="0"/>
      <w:rPr>
        <w:caps/>
      </w:rPr>
    </w:pPr>
    <w:r>
      <w:rPr>
        <w:caps/>
      </w:rPr>
      <w:t>CWS/</w:t>
    </w:r>
    <w:r w:rsidR="00AD0B1C">
      <w:rPr>
        <w:caps/>
      </w:rPr>
      <w:t>12/</w:t>
    </w:r>
    <w:r w:rsidR="00001275">
      <w:rPr>
        <w:rFonts w:hint="cs"/>
        <w:caps/>
        <w:rtl/>
      </w:rPr>
      <w:t>27</w:t>
    </w:r>
  </w:p>
  <w:p w14:paraId="1C10287D" w14:textId="77777777" w:rsidR="0092178B" w:rsidRDefault="0092178B" w:rsidP="0092178B">
    <w:pPr>
      <w:bidi w:val="0"/>
    </w:pPr>
    <w:r>
      <w:fldChar w:fldCharType="begin"/>
    </w:r>
    <w:r>
      <w:instrText xml:space="preserve"> PAGE  \* MERGEFORMAT </w:instrText>
    </w:r>
    <w:r>
      <w:fldChar w:fldCharType="separate"/>
    </w:r>
    <w:r w:rsidR="00695312">
      <w:rPr>
        <w:noProof/>
      </w:rPr>
      <w:t>5</w:t>
    </w:r>
    <w:r>
      <w:fldChar w:fldCharType="end"/>
    </w:r>
  </w:p>
  <w:p w14:paraId="32EDFD68" w14:textId="77777777" w:rsidR="00AE5CC2" w:rsidRDefault="00AE5CC2" w:rsidP="00AE5CC2">
    <w:pPr>
      <w:bidi w:val="0"/>
    </w:pPr>
  </w:p>
  <w:p w14:paraId="6F1F48E2" w14:textId="77777777" w:rsidR="00AE5CC2" w:rsidRDefault="00AE5CC2" w:rsidP="00AE5CC2">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892C13"/>
    <w:multiLevelType w:val="hybridMultilevel"/>
    <w:tmpl w:val="3EC2FB24"/>
    <w:lvl w:ilvl="0" w:tplc="C26C24B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6953CB"/>
    <w:multiLevelType w:val="hybridMultilevel"/>
    <w:tmpl w:val="AE4AF63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CB5038B"/>
    <w:multiLevelType w:val="hybridMultilevel"/>
    <w:tmpl w:val="49500D5E"/>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251BF6"/>
    <w:multiLevelType w:val="hybridMultilevel"/>
    <w:tmpl w:val="D486D23A"/>
    <w:lvl w:ilvl="0" w:tplc="17AC927C">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26682A"/>
    <w:multiLevelType w:val="hybridMultilevel"/>
    <w:tmpl w:val="B97C3CA6"/>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38E203C6"/>
    <w:multiLevelType w:val="hybridMultilevel"/>
    <w:tmpl w:val="C30A129C"/>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B1B30BB"/>
    <w:multiLevelType w:val="hybridMultilevel"/>
    <w:tmpl w:val="88EC55FA"/>
    <w:lvl w:ilvl="0" w:tplc="100C0001">
      <w:start w:val="1"/>
      <w:numFmt w:val="bullet"/>
      <w:lvlText w:val=""/>
      <w:lvlJc w:val="left"/>
      <w:pPr>
        <w:ind w:left="1800" w:hanging="360"/>
      </w:pPr>
      <w:rPr>
        <w:rFonts w:ascii="Symbol" w:hAnsi="Symbol" w:hint="default"/>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12" w15:restartNumberingAfterBreak="0">
    <w:nsid w:val="42A457C0"/>
    <w:multiLevelType w:val="hybridMultilevel"/>
    <w:tmpl w:val="33046E86"/>
    <w:lvl w:ilvl="0" w:tplc="F8F47300">
      <w:numFmt w:val="bullet"/>
      <w:lvlText w:val=""/>
      <w:lvlJc w:val="left"/>
      <w:pPr>
        <w:ind w:left="720" w:hanging="360"/>
      </w:pPr>
      <w:rPr>
        <w:rFonts w:ascii="Symbol" w:eastAsia="SimSun" w:hAnsi="Symbol" w:cs="Calibri"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7179FA"/>
    <w:multiLevelType w:val="hybridMultilevel"/>
    <w:tmpl w:val="3A543C74"/>
    <w:lvl w:ilvl="0" w:tplc="A6464E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510D4A"/>
    <w:multiLevelType w:val="hybridMultilevel"/>
    <w:tmpl w:val="F4E22592"/>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8787105"/>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7"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6039B8"/>
    <w:multiLevelType w:val="hybridMultilevel"/>
    <w:tmpl w:val="7A64D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20061B"/>
    <w:multiLevelType w:val="multilevel"/>
    <w:tmpl w:val="44FE289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CCE2138"/>
    <w:multiLevelType w:val="hybridMultilevel"/>
    <w:tmpl w:val="D34EFFAC"/>
    <w:lvl w:ilvl="0" w:tplc="56906406">
      <w:numFmt w:val="bullet"/>
      <w:lvlText w:val="-"/>
      <w:lvlJc w:val="left"/>
      <w:pPr>
        <w:ind w:left="1080" w:hanging="360"/>
      </w:pPr>
      <w:rPr>
        <w:rFonts w:ascii="Arial" w:eastAsia="SimSu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59721F5"/>
    <w:multiLevelType w:val="hybridMultilevel"/>
    <w:tmpl w:val="B296D3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8972F7"/>
    <w:multiLevelType w:val="hybridMultilevel"/>
    <w:tmpl w:val="638C60B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60B4996"/>
    <w:multiLevelType w:val="hybridMultilevel"/>
    <w:tmpl w:val="AA7AB426"/>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8702029"/>
    <w:multiLevelType w:val="hybridMultilevel"/>
    <w:tmpl w:val="E94A6EC8"/>
    <w:lvl w:ilvl="0" w:tplc="50F8AC2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8F05D92"/>
    <w:multiLevelType w:val="hybridMultilevel"/>
    <w:tmpl w:val="D0783C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91B5761"/>
    <w:multiLevelType w:val="hybridMultilevel"/>
    <w:tmpl w:val="CBB0C9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E9B5385"/>
    <w:multiLevelType w:val="hybridMultilevel"/>
    <w:tmpl w:val="CFEC11CE"/>
    <w:lvl w:ilvl="0" w:tplc="526C877E">
      <w:start w:val="1"/>
      <w:numFmt w:val="arabicAbjad"/>
      <w:lvlText w:val="%1)"/>
      <w:lvlJc w:val="left"/>
      <w:pPr>
        <w:ind w:left="6795" w:hanging="360"/>
      </w:pPr>
      <w:rPr>
        <w:rFonts w:hint="default"/>
      </w:rPr>
    </w:lvl>
    <w:lvl w:ilvl="1" w:tplc="10090019" w:tentative="1">
      <w:start w:val="1"/>
      <w:numFmt w:val="lowerLetter"/>
      <w:lvlText w:val="%2."/>
      <w:lvlJc w:val="left"/>
      <w:pPr>
        <w:ind w:left="7515" w:hanging="360"/>
      </w:pPr>
    </w:lvl>
    <w:lvl w:ilvl="2" w:tplc="1009001B" w:tentative="1">
      <w:start w:val="1"/>
      <w:numFmt w:val="lowerRoman"/>
      <w:lvlText w:val="%3."/>
      <w:lvlJc w:val="right"/>
      <w:pPr>
        <w:ind w:left="8235" w:hanging="180"/>
      </w:pPr>
    </w:lvl>
    <w:lvl w:ilvl="3" w:tplc="1009000F" w:tentative="1">
      <w:start w:val="1"/>
      <w:numFmt w:val="decimal"/>
      <w:lvlText w:val="%4."/>
      <w:lvlJc w:val="left"/>
      <w:pPr>
        <w:ind w:left="8955" w:hanging="360"/>
      </w:pPr>
    </w:lvl>
    <w:lvl w:ilvl="4" w:tplc="10090019" w:tentative="1">
      <w:start w:val="1"/>
      <w:numFmt w:val="lowerLetter"/>
      <w:lvlText w:val="%5."/>
      <w:lvlJc w:val="left"/>
      <w:pPr>
        <w:ind w:left="9675" w:hanging="360"/>
      </w:pPr>
    </w:lvl>
    <w:lvl w:ilvl="5" w:tplc="1009001B" w:tentative="1">
      <w:start w:val="1"/>
      <w:numFmt w:val="lowerRoman"/>
      <w:lvlText w:val="%6."/>
      <w:lvlJc w:val="right"/>
      <w:pPr>
        <w:ind w:left="10395" w:hanging="180"/>
      </w:pPr>
    </w:lvl>
    <w:lvl w:ilvl="6" w:tplc="1009000F" w:tentative="1">
      <w:start w:val="1"/>
      <w:numFmt w:val="decimal"/>
      <w:lvlText w:val="%7."/>
      <w:lvlJc w:val="left"/>
      <w:pPr>
        <w:ind w:left="11115" w:hanging="360"/>
      </w:pPr>
    </w:lvl>
    <w:lvl w:ilvl="7" w:tplc="10090019" w:tentative="1">
      <w:start w:val="1"/>
      <w:numFmt w:val="lowerLetter"/>
      <w:lvlText w:val="%8."/>
      <w:lvlJc w:val="left"/>
      <w:pPr>
        <w:ind w:left="11835" w:hanging="360"/>
      </w:pPr>
    </w:lvl>
    <w:lvl w:ilvl="8" w:tplc="1009001B" w:tentative="1">
      <w:start w:val="1"/>
      <w:numFmt w:val="lowerRoman"/>
      <w:lvlText w:val="%9."/>
      <w:lvlJc w:val="right"/>
      <w:pPr>
        <w:ind w:left="12555" w:hanging="180"/>
      </w:pPr>
    </w:lvl>
  </w:abstractNum>
  <w:num w:numId="1" w16cid:durableId="223495853">
    <w:abstractNumId w:val="3"/>
  </w:num>
  <w:num w:numId="2" w16cid:durableId="784545170">
    <w:abstractNumId w:val="14"/>
  </w:num>
  <w:num w:numId="3" w16cid:durableId="1638874716">
    <w:abstractNumId w:val="0"/>
  </w:num>
  <w:num w:numId="4" w16cid:durableId="1165247024">
    <w:abstractNumId w:val="17"/>
  </w:num>
  <w:num w:numId="5" w16cid:durableId="1622149672">
    <w:abstractNumId w:val="1"/>
  </w:num>
  <w:num w:numId="6" w16cid:durableId="1646354675">
    <w:abstractNumId w:val="6"/>
  </w:num>
  <w:num w:numId="7" w16cid:durableId="989864427">
    <w:abstractNumId w:val="19"/>
  </w:num>
  <w:num w:numId="8" w16cid:durableId="364526477">
    <w:abstractNumId w:val="9"/>
  </w:num>
  <w:num w:numId="9" w16cid:durableId="1968201669">
    <w:abstractNumId w:val="12"/>
  </w:num>
  <w:num w:numId="10" w16cid:durableId="1903373153">
    <w:abstractNumId w:val="21"/>
  </w:num>
  <w:num w:numId="11" w16cid:durableId="1920822265">
    <w:abstractNumId w:val="20"/>
  </w:num>
  <w:num w:numId="12" w16cid:durableId="948397335">
    <w:abstractNumId w:val="25"/>
  </w:num>
  <w:num w:numId="13" w16cid:durableId="1964726596">
    <w:abstractNumId w:val="18"/>
  </w:num>
  <w:num w:numId="14" w16cid:durableId="1682969375">
    <w:abstractNumId w:val="8"/>
  </w:num>
  <w:num w:numId="15" w16cid:durableId="1226187170">
    <w:abstractNumId w:val="27"/>
  </w:num>
  <w:num w:numId="16" w16cid:durableId="1799059593">
    <w:abstractNumId w:val="16"/>
  </w:num>
  <w:num w:numId="17" w16cid:durableId="1274937989">
    <w:abstractNumId w:val="2"/>
  </w:num>
  <w:num w:numId="18" w16cid:durableId="516385836">
    <w:abstractNumId w:val="7"/>
  </w:num>
  <w:num w:numId="19" w16cid:durableId="861283600">
    <w:abstractNumId w:val="10"/>
  </w:num>
  <w:num w:numId="20" w16cid:durableId="1275164333">
    <w:abstractNumId w:val="4"/>
  </w:num>
  <w:num w:numId="21" w16cid:durableId="257369589">
    <w:abstractNumId w:val="5"/>
  </w:num>
  <w:num w:numId="22" w16cid:durableId="1116604508">
    <w:abstractNumId w:val="23"/>
  </w:num>
  <w:num w:numId="23" w16cid:durableId="507839849">
    <w:abstractNumId w:val="15"/>
  </w:num>
  <w:num w:numId="24" w16cid:durableId="2005014540">
    <w:abstractNumId w:val="22"/>
  </w:num>
  <w:num w:numId="25" w16cid:durableId="700711840">
    <w:abstractNumId w:val="24"/>
  </w:num>
  <w:num w:numId="26" w16cid:durableId="2062515636">
    <w:abstractNumId w:val="11"/>
  </w:num>
  <w:num w:numId="27" w16cid:durableId="1725568584">
    <w:abstractNumId w:val="26"/>
  </w:num>
  <w:num w:numId="28" w16cid:durableId="1239630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0B"/>
    <w:rsid w:val="00000021"/>
    <w:rsid w:val="00001275"/>
    <w:rsid w:val="0000313B"/>
    <w:rsid w:val="00003810"/>
    <w:rsid w:val="00010DEE"/>
    <w:rsid w:val="000117E7"/>
    <w:rsid w:val="000126C1"/>
    <w:rsid w:val="00012C9D"/>
    <w:rsid w:val="0001744B"/>
    <w:rsid w:val="000174E7"/>
    <w:rsid w:val="00030F91"/>
    <w:rsid w:val="0004089F"/>
    <w:rsid w:val="00040B87"/>
    <w:rsid w:val="00043CAA"/>
    <w:rsid w:val="00052489"/>
    <w:rsid w:val="00056816"/>
    <w:rsid w:val="00075432"/>
    <w:rsid w:val="00082541"/>
    <w:rsid w:val="00095F3D"/>
    <w:rsid w:val="000968ED"/>
    <w:rsid w:val="00097FB7"/>
    <w:rsid w:val="000A3B14"/>
    <w:rsid w:val="000A3D97"/>
    <w:rsid w:val="000C4C54"/>
    <w:rsid w:val="000C5B32"/>
    <w:rsid w:val="000D0D75"/>
    <w:rsid w:val="000F50DB"/>
    <w:rsid w:val="000F5E56"/>
    <w:rsid w:val="001000BC"/>
    <w:rsid w:val="00101658"/>
    <w:rsid w:val="001213E2"/>
    <w:rsid w:val="001319E9"/>
    <w:rsid w:val="00135E3E"/>
    <w:rsid w:val="001362EE"/>
    <w:rsid w:val="001406E1"/>
    <w:rsid w:val="00144DC3"/>
    <w:rsid w:val="00151289"/>
    <w:rsid w:val="001553A3"/>
    <w:rsid w:val="00155D8A"/>
    <w:rsid w:val="001647D5"/>
    <w:rsid w:val="001832A6"/>
    <w:rsid w:val="00194A73"/>
    <w:rsid w:val="0019592A"/>
    <w:rsid w:val="001B0BE7"/>
    <w:rsid w:val="001B44C6"/>
    <w:rsid w:val="001B4AA3"/>
    <w:rsid w:val="001B7273"/>
    <w:rsid w:val="001D24E5"/>
    <w:rsid w:val="001D4107"/>
    <w:rsid w:val="001D6DA6"/>
    <w:rsid w:val="001D7ECD"/>
    <w:rsid w:val="001F0AF2"/>
    <w:rsid w:val="00200356"/>
    <w:rsid w:val="00203620"/>
    <w:rsid w:val="00203D24"/>
    <w:rsid w:val="00205102"/>
    <w:rsid w:val="00207E3C"/>
    <w:rsid w:val="00210D5F"/>
    <w:rsid w:val="00211ECF"/>
    <w:rsid w:val="0021217E"/>
    <w:rsid w:val="00227263"/>
    <w:rsid w:val="002326AB"/>
    <w:rsid w:val="00233103"/>
    <w:rsid w:val="00233502"/>
    <w:rsid w:val="00243430"/>
    <w:rsid w:val="002460FF"/>
    <w:rsid w:val="002607A1"/>
    <w:rsid w:val="002634C4"/>
    <w:rsid w:val="002643E2"/>
    <w:rsid w:val="0026508A"/>
    <w:rsid w:val="00267816"/>
    <w:rsid w:val="002700B2"/>
    <w:rsid w:val="00274389"/>
    <w:rsid w:val="00280AD5"/>
    <w:rsid w:val="00283C7A"/>
    <w:rsid w:val="002917FF"/>
    <w:rsid w:val="002928D3"/>
    <w:rsid w:val="002A0627"/>
    <w:rsid w:val="002A421B"/>
    <w:rsid w:val="002A7EE3"/>
    <w:rsid w:val="002B3618"/>
    <w:rsid w:val="002D6BE0"/>
    <w:rsid w:val="002D6CDB"/>
    <w:rsid w:val="002E216A"/>
    <w:rsid w:val="002E2B01"/>
    <w:rsid w:val="002E7521"/>
    <w:rsid w:val="002F1FE6"/>
    <w:rsid w:val="002F2DD7"/>
    <w:rsid w:val="002F4E68"/>
    <w:rsid w:val="002F7AE4"/>
    <w:rsid w:val="00304991"/>
    <w:rsid w:val="00312F7F"/>
    <w:rsid w:val="00317E68"/>
    <w:rsid w:val="003245D1"/>
    <w:rsid w:val="00327E43"/>
    <w:rsid w:val="003324A1"/>
    <w:rsid w:val="00344449"/>
    <w:rsid w:val="00345AE6"/>
    <w:rsid w:val="00347BDF"/>
    <w:rsid w:val="003575A5"/>
    <w:rsid w:val="00357AB4"/>
    <w:rsid w:val="00361450"/>
    <w:rsid w:val="00365147"/>
    <w:rsid w:val="003673CF"/>
    <w:rsid w:val="003704C9"/>
    <w:rsid w:val="00372461"/>
    <w:rsid w:val="003845C1"/>
    <w:rsid w:val="003850AF"/>
    <w:rsid w:val="0038692F"/>
    <w:rsid w:val="0039336E"/>
    <w:rsid w:val="003978C2"/>
    <w:rsid w:val="003A0B13"/>
    <w:rsid w:val="003A2586"/>
    <w:rsid w:val="003A388C"/>
    <w:rsid w:val="003A6F0A"/>
    <w:rsid w:val="003A6F89"/>
    <w:rsid w:val="003B355C"/>
    <w:rsid w:val="003B38C1"/>
    <w:rsid w:val="003B42B2"/>
    <w:rsid w:val="003B69E8"/>
    <w:rsid w:val="003C32A0"/>
    <w:rsid w:val="003C34E9"/>
    <w:rsid w:val="003C4115"/>
    <w:rsid w:val="003C5FA9"/>
    <w:rsid w:val="003E2854"/>
    <w:rsid w:val="003F3AA9"/>
    <w:rsid w:val="003F6FD9"/>
    <w:rsid w:val="00406340"/>
    <w:rsid w:val="00414727"/>
    <w:rsid w:val="00423E3E"/>
    <w:rsid w:val="00423F57"/>
    <w:rsid w:val="004250DD"/>
    <w:rsid w:val="00427AF4"/>
    <w:rsid w:val="00430910"/>
    <w:rsid w:val="0044422A"/>
    <w:rsid w:val="004647DA"/>
    <w:rsid w:val="004652A3"/>
    <w:rsid w:val="00474062"/>
    <w:rsid w:val="004770C4"/>
    <w:rsid w:val="00477D6B"/>
    <w:rsid w:val="004823FA"/>
    <w:rsid w:val="00484648"/>
    <w:rsid w:val="00486B87"/>
    <w:rsid w:val="004926F8"/>
    <w:rsid w:val="004A521F"/>
    <w:rsid w:val="004B0DF7"/>
    <w:rsid w:val="004B1DB8"/>
    <w:rsid w:val="004B25E2"/>
    <w:rsid w:val="004C063F"/>
    <w:rsid w:val="004C1797"/>
    <w:rsid w:val="004C5AD5"/>
    <w:rsid w:val="004D1C19"/>
    <w:rsid w:val="004D3B17"/>
    <w:rsid w:val="004D414A"/>
    <w:rsid w:val="004E1539"/>
    <w:rsid w:val="004E51CE"/>
    <w:rsid w:val="004E6D5F"/>
    <w:rsid w:val="004F1795"/>
    <w:rsid w:val="005019FF"/>
    <w:rsid w:val="00501B64"/>
    <w:rsid w:val="005218D3"/>
    <w:rsid w:val="0053057A"/>
    <w:rsid w:val="00551AB5"/>
    <w:rsid w:val="00556076"/>
    <w:rsid w:val="0056002C"/>
    <w:rsid w:val="00560A29"/>
    <w:rsid w:val="0056700E"/>
    <w:rsid w:val="005708B3"/>
    <w:rsid w:val="00577673"/>
    <w:rsid w:val="005A5FF8"/>
    <w:rsid w:val="005A6124"/>
    <w:rsid w:val="005A7075"/>
    <w:rsid w:val="005A71CE"/>
    <w:rsid w:val="005B0AA9"/>
    <w:rsid w:val="005C2599"/>
    <w:rsid w:val="005C6649"/>
    <w:rsid w:val="005D1C49"/>
    <w:rsid w:val="005D2EFA"/>
    <w:rsid w:val="005E6BC8"/>
    <w:rsid w:val="005E7B89"/>
    <w:rsid w:val="005F3004"/>
    <w:rsid w:val="005F3C9B"/>
    <w:rsid w:val="00605827"/>
    <w:rsid w:val="00617A87"/>
    <w:rsid w:val="00621976"/>
    <w:rsid w:val="006335AA"/>
    <w:rsid w:val="00643902"/>
    <w:rsid w:val="00643CBA"/>
    <w:rsid w:val="0064539B"/>
    <w:rsid w:val="00646050"/>
    <w:rsid w:val="006478CB"/>
    <w:rsid w:val="00656294"/>
    <w:rsid w:val="0065739A"/>
    <w:rsid w:val="0066518D"/>
    <w:rsid w:val="006713CA"/>
    <w:rsid w:val="00675250"/>
    <w:rsid w:val="00676C5C"/>
    <w:rsid w:val="00681E08"/>
    <w:rsid w:val="0069250A"/>
    <w:rsid w:val="00695312"/>
    <w:rsid w:val="006A0A0C"/>
    <w:rsid w:val="006B2440"/>
    <w:rsid w:val="006B2CB4"/>
    <w:rsid w:val="006B3BE4"/>
    <w:rsid w:val="006B5C12"/>
    <w:rsid w:val="006B7A17"/>
    <w:rsid w:val="006C25FE"/>
    <w:rsid w:val="006D0600"/>
    <w:rsid w:val="006D4132"/>
    <w:rsid w:val="006E6E23"/>
    <w:rsid w:val="006F50B1"/>
    <w:rsid w:val="007004EA"/>
    <w:rsid w:val="00711420"/>
    <w:rsid w:val="007126F0"/>
    <w:rsid w:val="00720EFD"/>
    <w:rsid w:val="0072205B"/>
    <w:rsid w:val="00723FFE"/>
    <w:rsid w:val="00730284"/>
    <w:rsid w:val="00737D32"/>
    <w:rsid w:val="007407C0"/>
    <w:rsid w:val="00744875"/>
    <w:rsid w:val="00753A2D"/>
    <w:rsid w:val="00757973"/>
    <w:rsid w:val="00765330"/>
    <w:rsid w:val="00766753"/>
    <w:rsid w:val="00770A05"/>
    <w:rsid w:val="0077784E"/>
    <w:rsid w:val="007804BC"/>
    <w:rsid w:val="00783007"/>
    <w:rsid w:val="007854AF"/>
    <w:rsid w:val="007859A5"/>
    <w:rsid w:val="00787D24"/>
    <w:rsid w:val="00791915"/>
    <w:rsid w:val="00793A7C"/>
    <w:rsid w:val="00797830"/>
    <w:rsid w:val="007A28BD"/>
    <w:rsid w:val="007A398A"/>
    <w:rsid w:val="007A606C"/>
    <w:rsid w:val="007A75DA"/>
    <w:rsid w:val="007A7C84"/>
    <w:rsid w:val="007B4DDC"/>
    <w:rsid w:val="007C4902"/>
    <w:rsid w:val="007D1613"/>
    <w:rsid w:val="007E2E0D"/>
    <w:rsid w:val="007E4C0E"/>
    <w:rsid w:val="007F2029"/>
    <w:rsid w:val="007F5BA7"/>
    <w:rsid w:val="00813BD9"/>
    <w:rsid w:val="00816194"/>
    <w:rsid w:val="00822533"/>
    <w:rsid w:val="00830ABC"/>
    <w:rsid w:val="00836F0A"/>
    <w:rsid w:val="0084164E"/>
    <w:rsid w:val="0087152E"/>
    <w:rsid w:val="00877B8E"/>
    <w:rsid w:val="00891ADF"/>
    <w:rsid w:val="00893D90"/>
    <w:rsid w:val="008A134B"/>
    <w:rsid w:val="008B1E88"/>
    <w:rsid w:val="008B2CC1"/>
    <w:rsid w:val="008B60B2"/>
    <w:rsid w:val="008E67A1"/>
    <w:rsid w:val="008F217F"/>
    <w:rsid w:val="008F24D4"/>
    <w:rsid w:val="009005C6"/>
    <w:rsid w:val="0090627D"/>
    <w:rsid w:val="0090731E"/>
    <w:rsid w:val="0091345B"/>
    <w:rsid w:val="00916A25"/>
    <w:rsid w:val="00916EE2"/>
    <w:rsid w:val="0092178B"/>
    <w:rsid w:val="00936D75"/>
    <w:rsid w:val="00941394"/>
    <w:rsid w:val="00947B19"/>
    <w:rsid w:val="0095271F"/>
    <w:rsid w:val="00966A22"/>
    <w:rsid w:val="0096722F"/>
    <w:rsid w:val="00980843"/>
    <w:rsid w:val="00981A0A"/>
    <w:rsid w:val="00982624"/>
    <w:rsid w:val="009A55E2"/>
    <w:rsid w:val="009B0855"/>
    <w:rsid w:val="009C7B91"/>
    <w:rsid w:val="009D16E9"/>
    <w:rsid w:val="009E2791"/>
    <w:rsid w:val="009E2CF4"/>
    <w:rsid w:val="009E3F6F"/>
    <w:rsid w:val="009E4EBB"/>
    <w:rsid w:val="009F17F7"/>
    <w:rsid w:val="009F499F"/>
    <w:rsid w:val="009F4B7D"/>
    <w:rsid w:val="00A1112D"/>
    <w:rsid w:val="00A20FF9"/>
    <w:rsid w:val="00A217C8"/>
    <w:rsid w:val="00A303E8"/>
    <w:rsid w:val="00A31A7F"/>
    <w:rsid w:val="00A34634"/>
    <w:rsid w:val="00A35449"/>
    <w:rsid w:val="00A36865"/>
    <w:rsid w:val="00A37342"/>
    <w:rsid w:val="00A42DAF"/>
    <w:rsid w:val="00A45BD8"/>
    <w:rsid w:val="00A54254"/>
    <w:rsid w:val="00A548A0"/>
    <w:rsid w:val="00A62E5E"/>
    <w:rsid w:val="00A65D26"/>
    <w:rsid w:val="00A66F16"/>
    <w:rsid w:val="00A70B2B"/>
    <w:rsid w:val="00A74499"/>
    <w:rsid w:val="00A7670B"/>
    <w:rsid w:val="00A81A64"/>
    <w:rsid w:val="00A869B7"/>
    <w:rsid w:val="00A90F0A"/>
    <w:rsid w:val="00A93B72"/>
    <w:rsid w:val="00AA2A27"/>
    <w:rsid w:val="00AC205C"/>
    <w:rsid w:val="00AD0B1C"/>
    <w:rsid w:val="00AD0FB5"/>
    <w:rsid w:val="00AD1E45"/>
    <w:rsid w:val="00AE1616"/>
    <w:rsid w:val="00AE1A04"/>
    <w:rsid w:val="00AE5CC2"/>
    <w:rsid w:val="00AF0A6B"/>
    <w:rsid w:val="00AF23D2"/>
    <w:rsid w:val="00B0379E"/>
    <w:rsid w:val="00B05A69"/>
    <w:rsid w:val="00B104C6"/>
    <w:rsid w:val="00B113CF"/>
    <w:rsid w:val="00B412E4"/>
    <w:rsid w:val="00B42CA9"/>
    <w:rsid w:val="00B43945"/>
    <w:rsid w:val="00B51FF7"/>
    <w:rsid w:val="00B548D2"/>
    <w:rsid w:val="00B5495A"/>
    <w:rsid w:val="00B6053B"/>
    <w:rsid w:val="00B61F9C"/>
    <w:rsid w:val="00B75281"/>
    <w:rsid w:val="00B80967"/>
    <w:rsid w:val="00B82F4A"/>
    <w:rsid w:val="00B91F42"/>
    <w:rsid w:val="00B92F1F"/>
    <w:rsid w:val="00B9734B"/>
    <w:rsid w:val="00BA020B"/>
    <w:rsid w:val="00BA30E2"/>
    <w:rsid w:val="00BB6F17"/>
    <w:rsid w:val="00BC1B9A"/>
    <w:rsid w:val="00BD6F7E"/>
    <w:rsid w:val="00BE414C"/>
    <w:rsid w:val="00BE516E"/>
    <w:rsid w:val="00C01859"/>
    <w:rsid w:val="00C04284"/>
    <w:rsid w:val="00C11BFE"/>
    <w:rsid w:val="00C13BF1"/>
    <w:rsid w:val="00C5068F"/>
    <w:rsid w:val="00C52D12"/>
    <w:rsid w:val="00C6670B"/>
    <w:rsid w:val="00C67FC6"/>
    <w:rsid w:val="00C73196"/>
    <w:rsid w:val="00C73EC7"/>
    <w:rsid w:val="00C8421F"/>
    <w:rsid w:val="00C86D74"/>
    <w:rsid w:val="00C94CE2"/>
    <w:rsid w:val="00C97564"/>
    <w:rsid w:val="00CB3DBA"/>
    <w:rsid w:val="00CC3E2D"/>
    <w:rsid w:val="00CC5BAE"/>
    <w:rsid w:val="00CC7385"/>
    <w:rsid w:val="00CC74D3"/>
    <w:rsid w:val="00CD04F1"/>
    <w:rsid w:val="00CD0EAF"/>
    <w:rsid w:val="00CD1D1B"/>
    <w:rsid w:val="00CE19F8"/>
    <w:rsid w:val="00CE2FCA"/>
    <w:rsid w:val="00CF22FA"/>
    <w:rsid w:val="00CF681A"/>
    <w:rsid w:val="00D07C78"/>
    <w:rsid w:val="00D15EAD"/>
    <w:rsid w:val="00D16522"/>
    <w:rsid w:val="00D22271"/>
    <w:rsid w:val="00D2247A"/>
    <w:rsid w:val="00D22CFE"/>
    <w:rsid w:val="00D25EFA"/>
    <w:rsid w:val="00D36293"/>
    <w:rsid w:val="00D45252"/>
    <w:rsid w:val="00D47C72"/>
    <w:rsid w:val="00D60B2C"/>
    <w:rsid w:val="00D61FF6"/>
    <w:rsid w:val="00D67EAE"/>
    <w:rsid w:val="00D71A05"/>
    <w:rsid w:val="00D71B4D"/>
    <w:rsid w:val="00D8102A"/>
    <w:rsid w:val="00D90B96"/>
    <w:rsid w:val="00D9276B"/>
    <w:rsid w:val="00D93D55"/>
    <w:rsid w:val="00D93E99"/>
    <w:rsid w:val="00D97F1E"/>
    <w:rsid w:val="00DA20D8"/>
    <w:rsid w:val="00DA219A"/>
    <w:rsid w:val="00DA2E5E"/>
    <w:rsid w:val="00DC0AED"/>
    <w:rsid w:val="00DC3105"/>
    <w:rsid w:val="00DD7B7F"/>
    <w:rsid w:val="00DE46EC"/>
    <w:rsid w:val="00DF1391"/>
    <w:rsid w:val="00DF1CF2"/>
    <w:rsid w:val="00DF7188"/>
    <w:rsid w:val="00DF7CE1"/>
    <w:rsid w:val="00E11F29"/>
    <w:rsid w:val="00E137DB"/>
    <w:rsid w:val="00E15015"/>
    <w:rsid w:val="00E2768B"/>
    <w:rsid w:val="00E319DF"/>
    <w:rsid w:val="00E31A50"/>
    <w:rsid w:val="00E335FE"/>
    <w:rsid w:val="00E34B12"/>
    <w:rsid w:val="00E52639"/>
    <w:rsid w:val="00E66CC5"/>
    <w:rsid w:val="00E7374D"/>
    <w:rsid w:val="00E75AD4"/>
    <w:rsid w:val="00E7728B"/>
    <w:rsid w:val="00E8192E"/>
    <w:rsid w:val="00E86041"/>
    <w:rsid w:val="00E96A49"/>
    <w:rsid w:val="00EA7D6E"/>
    <w:rsid w:val="00EB2F76"/>
    <w:rsid w:val="00EB73D3"/>
    <w:rsid w:val="00EC2E91"/>
    <w:rsid w:val="00EC31FD"/>
    <w:rsid w:val="00EC438D"/>
    <w:rsid w:val="00EC4E49"/>
    <w:rsid w:val="00ED77FB"/>
    <w:rsid w:val="00EE066C"/>
    <w:rsid w:val="00EE2A9E"/>
    <w:rsid w:val="00EE45FA"/>
    <w:rsid w:val="00EF1526"/>
    <w:rsid w:val="00F00A33"/>
    <w:rsid w:val="00F043DE"/>
    <w:rsid w:val="00F21CD6"/>
    <w:rsid w:val="00F308E3"/>
    <w:rsid w:val="00F54B6A"/>
    <w:rsid w:val="00F61133"/>
    <w:rsid w:val="00F66152"/>
    <w:rsid w:val="00F80D80"/>
    <w:rsid w:val="00F828CF"/>
    <w:rsid w:val="00F9165B"/>
    <w:rsid w:val="00F97813"/>
    <w:rsid w:val="00FB2094"/>
    <w:rsid w:val="00FB6500"/>
    <w:rsid w:val="00FC444D"/>
    <w:rsid w:val="00FC482F"/>
    <w:rsid w:val="00FD4E84"/>
    <w:rsid w:val="00FD7167"/>
    <w:rsid w:val="00FE0C4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2F62B"/>
  <w15:docId w15:val="{22DD35E5-C3E8-4DF4-8821-A609DA16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Titre1">
    <w:name w:val="heading 1"/>
    <w:basedOn w:val="Normal"/>
    <w:next w:val="Normal"/>
    <w:qFormat/>
    <w:rsid w:val="00155D8A"/>
    <w:pPr>
      <w:keepNext/>
      <w:spacing w:after="480"/>
      <w:outlineLvl w:val="0"/>
    </w:pPr>
    <w:rPr>
      <w:b/>
      <w:bCs/>
      <w:caps/>
      <w:kern w:val="32"/>
      <w:sz w:val="32"/>
      <w:szCs w:val="32"/>
    </w:rPr>
  </w:style>
  <w:style w:type="paragraph" w:styleId="Titre2">
    <w:name w:val="heading 2"/>
    <w:basedOn w:val="Normal"/>
    <w:next w:val="Normal"/>
    <w:qFormat/>
    <w:rsid w:val="0092178B"/>
    <w:pPr>
      <w:keepNext/>
      <w:spacing w:before="240" w:after="60"/>
      <w:outlineLvl w:val="1"/>
    </w:pPr>
    <w:rPr>
      <w:caps/>
      <w:sz w:val="28"/>
      <w:szCs w:val="28"/>
      <w:lang w:bidi="ar-MA"/>
    </w:rPr>
  </w:style>
  <w:style w:type="paragraph" w:styleId="Titre3">
    <w:name w:val="heading 3"/>
    <w:basedOn w:val="Normal"/>
    <w:next w:val="Normal"/>
    <w:qFormat/>
    <w:rsid w:val="00155D8A"/>
    <w:pPr>
      <w:keepNext/>
      <w:spacing w:before="240" w:after="60"/>
      <w:outlineLvl w:val="2"/>
    </w:pPr>
    <w:rPr>
      <w:bCs/>
      <w:sz w:val="26"/>
      <w:szCs w:val="26"/>
      <w:u w:val="single"/>
    </w:rPr>
  </w:style>
  <w:style w:type="paragraph" w:styleId="Titre4">
    <w:name w:val="heading 4"/>
    <w:basedOn w:val="Normal"/>
    <w:next w:val="Normal"/>
    <w:qFormat/>
    <w:rsid w:val="00155D8A"/>
    <w:pPr>
      <w:keepNext/>
      <w:spacing w:before="240" w:after="60"/>
      <w:outlineLvl w:val="3"/>
    </w:pPr>
    <w:rPr>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9B0855"/>
    <w:rPr>
      <w:sz w:val="18"/>
      <w:szCs w:val="18"/>
    </w:rPr>
  </w:style>
  <w:style w:type="paragraph" w:styleId="Pieddepage">
    <w:name w:val="footer"/>
    <w:basedOn w:val="Normal"/>
    <w:link w:val="PieddepageCar"/>
    <w:uiPriority w:val="99"/>
    <w:rsid w:val="00676C5C"/>
    <w:pPr>
      <w:tabs>
        <w:tab w:val="center" w:pos="4320"/>
        <w:tab w:val="right" w:pos="8640"/>
      </w:tabs>
    </w:pPr>
  </w:style>
  <w:style w:type="paragraph" w:styleId="Notedebasdepage">
    <w:name w:val="footnote text"/>
    <w:basedOn w:val="Normal"/>
    <w:semiHidden/>
    <w:rsid w:val="009B0855"/>
    <w:rPr>
      <w:sz w:val="18"/>
      <w:szCs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Corpsdetexte"/>
    <w:rsid w:val="00D60B2C"/>
    <w:pPr>
      <w:numPr>
        <w:numId w:val="7"/>
      </w:numPr>
    </w:pPr>
    <w:rPr>
      <w:rFonts w:eastAsia="Times New Roman"/>
      <w:lang w:eastAsia="en-US"/>
    </w:rPr>
  </w:style>
  <w:style w:type="character" w:customStyle="1" w:styleId="PieddepageCar">
    <w:name w:val="Pied de page Car"/>
    <w:basedOn w:val="Policepardfaut"/>
    <w:link w:val="Pieddepage"/>
    <w:uiPriority w:val="99"/>
    <w:rsid w:val="0056002C"/>
    <w:rPr>
      <w:rFonts w:ascii="Arial" w:eastAsia="SimSun" w:hAnsi="Arial" w:cs="Calibri"/>
      <w:sz w:val="22"/>
      <w:szCs w:val="22"/>
      <w:lang w:val="en-US" w:eastAsia="zh-CN"/>
    </w:rPr>
  </w:style>
  <w:style w:type="paragraph" w:styleId="Paragraphedeliste">
    <w:name w:val="List Paragraph"/>
    <w:basedOn w:val="Normal"/>
    <w:uiPriority w:val="34"/>
    <w:qFormat/>
    <w:rsid w:val="00FD7167"/>
    <w:pPr>
      <w:ind w:left="720"/>
      <w:contextualSpacing/>
    </w:pPr>
  </w:style>
  <w:style w:type="character" w:styleId="Textedelespacerserv">
    <w:name w:val="Placeholder Text"/>
    <w:basedOn w:val="Policepardfaut"/>
    <w:uiPriority w:val="99"/>
    <w:semiHidden/>
    <w:rsid w:val="000C4C54"/>
    <w:rPr>
      <w:color w:val="808080"/>
    </w:rPr>
  </w:style>
  <w:style w:type="character" w:styleId="Lienhypertexte">
    <w:name w:val="Hyperlink"/>
    <w:basedOn w:val="Policepardfaut"/>
    <w:unhideWhenUsed/>
    <w:rsid w:val="00D16522"/>
    <w:rPr>
      <w:color w:val="0000FF" w:themeColor="hyperlink"/>
      <w:u w:val="single"/>
    </w:rPr>
  </w:style>
  <w:style w:type="character" w:styleId="Lienhypertextesuivivisit">
    <w:name w:val="FollowedHyperlink"/>
    <w:basedOn w:val="Policepardfaut"/>
    <w:semiHidden/>
    <w:unhideWhenUsed/>
    <w:rsid w:val="00947B19"/>
    <w:rPr>
      <w:color w:val="800080" w:themeColor="followedHyperlink"/>
      <w:u w:val="single"/>
    </w:rPr>
  </w:style>
  <w:style w:type="character" w:styleId="Mentionnonrsolue">
    <w:name w:val="Unresolved Mention"/>
    <w:basedOn w:val="Policepardfaut"/>
    <w:uiPriority w:val="99"/>
    <w:semiHidden/>
    <w:unhideWhenUsed/>
    <w:rsid w:val="00423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1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citral.un.org/ar/texts/ecommerce/modellaw/electronic_transferable_record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jiu.org/news/blockchain-applications-united-nations-system-towards-state-readiness-jiurep20207" TargetMode="External"/><Relationship Id="rId17" Type="http://schemas.openxmlformats.org/officeDocument/2006/relationships/hyperlink" Target="https://uncitral.un.org/sites/uncitral.un.org/files/1175_for_submission1.pdf" TargetMode="External"/><Relationship Id="rId2" Type="http://schemas.openxmlformats.org/officeDocument/2006/relationships/numbering" Target="numbering.xml"/><Relationship Id="rId16" Type="http://schemas.openxmlformats.org/officeDocument/2006/relationships/hyperlink" Target="https://uncitral.un.org/sites/uncitral.un.org/files/media-documents/uncitral/en/digitaleconomytaxonom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doc_details.jsp?doc_id=631871"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cws/en/pdf/blockchain-for-ip-ecosystem-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1356-6759-41EF-9191-F9C3C432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4692</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Arabic-SI</dc:creator>
  <cp:keywords/>
  <cp:lastModifiedBy>Arabic-SI</cp:lastModifiedBy>
  <cp:revision>9</cp:revision>
  <dcterms:created xsi:type="dcterms:W3CDTF">2024-08-19T09:25:00Z</dcterms:created>
  <dcterms:modified xsi:type="dcterms:W3CDTF">2024-08-19T13:01:00Z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2023-10-25T07:46:12Z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75a57686-b5c9-4d10-9bf7-5313873bb00e</vt:lpwstr>
  </property>
  <property fmtid="{D5CDD505-2E9C-101B-9397-08002B2CF9AE}" pid="8" name="MSIP_Label_20773ee6-353b-4fb9-a59d-0b94c8c67bea_ContentBits">
    <vt:lpwstr>0</vt:lpwstr>
  </property>
</Properties>
</file>