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B1" w:rsidRPr="00251542" w:rsidRDefault="00D63EF0" w:rsidP="00D63EF0">
      <w:pPr>
        <w:pStyle w:val="NumberedParaAR"/>
        <w:keepNext/>
        <w:numPr>
          <w:ilvl w:val="0"/>
          <w:numId w:val="0"/>
        </w:numPr>
        <w:rPr>
          <w:b/>
          <w:bCs/>
          <w:sz w:val="40"/>
          <w:szCs w:val="40"/>
          <w:rtl/>
          <w:lang w:bidi="ar-EG"/>
        </w:rPr>
      </w:pPr>
      <w:bookmarkStart w:id="2" w:name="_GoBack"/>
      <w:bookmarkEnd w:id="2"/>
      <w:r w:rsidRPr="00251542">
        <w:rPr>
          <w:b/>
          <w:bCs/>
          <w:sz w:val="40"/>
          <w:szCs w:val="40"/>
          <w:rtl/>
        </w:rPr>
        <w:t xml:space="preserve">التماس مراجعة معيار الويبو </w:t>
      </w:r>
      <w:r w:rsidRPr="00251542">
        <w:rPr>
          <w:b/>
          <w:bCs/>
          <w:sz w:val="40"/>
          <w:szCs w:val="40"/>
        </w:rPr>
        <w:t>ST.60</w:t>
      </w:r>
    </w:p>
    <w:p w:rsidR="003B269D" w:rsidRPr="003B269D" w:rsidRDefault="00D63EF0" w:rsidP="00D63EF0">
      <w:pPr>
        <w:pStyle w:val="NumberedParaAR"/>
        <w:keepNext/>
        <w:numPr>
          <w:ilvl w:val="0"/>
          <w:numId w:val="0"/>
        </w:numPr>
        <w:rPr>
          <w:sz w:val="40"/>
          <w:szCs w:val="40"/>
          <w:rtl/>
        </w:rPr>
      </w:pPr>
      <w:r w:rsidRPr="00D63EF0">
        <w:rPr>
          <w:sz w:val="40"/>
          <w:szCs w:val="40"/>
          <w:rtl/>
        </w:rPr>
        <w:t>بيان المشكلة أو الاحتياج المُحدَّد</w:t>
      </w:r>
    </w:p>
    <w:p w:rsidR="003B269D" w:rsidRDefault="00D63EF0" w:rsidP="00D63EF0">
      <w:pPr>
        <w:pStyle w:val="NumberedParaAR"/>
      </w:pPr>
      <w:r w:rsidRPr="00D63EF0">
        <w:rPr>
          <w:rtl/>
        </w:rPr>
        <w:t xml:space="preserve">أُضيفت بتاريخ 1 سبتمبر 2009 القاعدتان الجديدتان 18(ثانياً) و18(ثالثاً) إلى اللائحة التنفيذية المشتركة بين اتفاق وبروتوكول مدريد بشأن التسجيل الدولي للعلامات (المُشار إليها فيما يلي باسم "اللائحة التنفيذية المشتركة"). وقد بسَّطت القاعدتان الجديدتان الأحكام التي وردت سابقاً في القاعدة 17، بشأن الأسلوب الذي يجب على المكاتب المُعيَّنة أن تتبعه عند الإبلاغ عن وضع حماية علامة ما في طرف متعاقد مُعيَّن في نظام مدريد للتسجيل الدولي للعلامات. وأُدخِلت أوصافٌ جديدةٌ من أجل زيادة توضيح النطاق الفعلي للحماية الممنوحة. فأوصاف رموز نظام الأرقام المتفق عليها دولياً في تحديد البيانات الببليوغرافية في السلسلة 890، بعنوان </w:t>
      </w:r>
      <w:r w:rsidRPr="00D63EF0">
        <w:rPr>
          <w:i/>
          <w:iCs/>
          <w:rtl/>
        </w:rPr>
        <w:t>بيانات بشأن القرارات النهائية</w:t>
      </w:r>
      <w:r w:rsidRPr="00D63EF0">
        <w:rPr>
          <w:rtl/>
        </w:rPr>
        <w:t>، لم تعد تعكس اللغة المُستخدمة في اللائحة التنفيذية المشتركة.</w:t>
      </w:r>
    </w:p>
    <w:p w:rsidR="00D63EF0" w:rsidRDefault="00D63EF0" w:rsidP="00D63EF0">
      <w:pPr>
        <w:pStyle w:val="NumberedParaAR"/>
      </w:pPr>
      <w:r w:rsidRPr="00D63EF0">
        <w:rPr>
          <w:rtl/>
        </w:rPr>
        <w:t>وعلاوة على ذلك، يحظى تاريخ الإخطار بتسجيل أو نقش ما – الذي يُرسله المكتبُ الدولي إلى مكاتب الأطراف المتعاقدة المُعيَّنة – بأهمية فائقة. وقد يكون ذلك التاريخ هو تاريخ بداية المهلة الزمنية التي يجب على أحد المكاتب المُعيَّنة أن يرسل خلالها إخطاراً أو إعلاناً فيما يتعلق بالتسجيل أو النقش ذي الصلة. فلا بد أن يُشار على نحو فريد إلى تاريخ الإخطار الذي يرسله المكتبُ الدولي إلى المكاتب المُعيَّنة، وذلك توخّياً للإيضاح.</w:t>
      </w:r>
    </w:p>
    <w:p w:rsidR="00D63EF0" w:rsidRDefault="00D63EF0" w:rsidP="00D63EF0">
      <w:pPr>
        <w:pStyle w:val="NumberedParaAR"/>
      </w:pPr>
      <w:r w:rsidRPr="00D63EF0">
        <w:rPr>
          <w:rtl/>
        </w:rPr>
        <w:t>وأخيراً، من شأن أي إلغاء جزئي لقائمة السلع والخدمات أن يؤدي إلى شطب السلع والخدمات المعنية من تس</w:t>
      </w:r>
      <w:r w:rsidR="00130070">
        <w:rPr>
          <w:rtl/>
        </w:rPr>
        <w:t>جيل دولي، ولأي إلغاء جزئي تأثير</w:t>
      </w:r>
      <w:r w:rsidRPr="00D63EF0">
        <w:rPr>
          <w:rtl/>
        </w:rPr>
        <w:t xml:space="preserve"> مباشر على نطاق الحماية في جميع الأطراف المتعاقدة المعيَّنة. ولذلك لا بد أن تُظهَر هذه المعلومات بوضوح عند نشر تعيينات لاحقة للتسجيل الدولي وعند نشر تجديدها وعند الإخطار بهذه التعيينات وبتجديدها. ولا بد أن تُحدَّد الإلغاءات الجزئية تحديداً قاطعاً؛ توخّياً للوضوح.</w:t>
      </w:r>
    </w:p>
    <w:p w:rsidR="00D63EF0" w:rsidRPr="00D63EF0" w:rsidRDefault="00D63EF0" w:rsidP="00D63EF0">
      <w:pPr>
        <w:pStyle w:val="NumberedParaAR"/>
        <w:keepNext/>
        <w:numPr>
          <w:ilvl w:val="0"/>
          <w:numId w:val="0"/>
        </w:numPr>
        <w:rPr>
          <w:sz w:val="40"/>
          <w:szCs w:val="40"/>
          <w:lang w:bidi="ar-EG"/>
        </w:rPr>
      </w:pPr>
      <w:r w:rsidRPr="00D63EF0">
        <w:rPr>
          <w:sz w:val="40"/>
          <w:szCs w:val="40"/>
          <w:rtl/>
          <w:lang w:bidi="ar-EG"/>
        </w:rPr>
        <w:t>كيف حُدِّد الاحتياج</w:t>
      </w:r>
    </w:p>
    <w:p w:rsidR="006C79B1" w:rsidRDefault="00D63EF0" w:rsidP="00D63EF0">
      <w:pPr>
        <w:pStyle w:val="NumberedParaAR"/>
      </w:pPr>
      <w:r w:rsidRPr="00D63EF0">
        <w:rPr>
          <w:rtl/>
        </w:rPr>
        <w:t xml:space="preserve">في سياق جهد متواصل لتحقيق الوضوح عند نشر البيانات في </w:t>
      </w:r>
      <w:r w:rsidRPr="00091F51">
        <w:rPr>
          <w:i/>
          <w:iCs/>
          <w:rtl/>
        </w:rPr>
        <w:t>جريدة الويبو للعلامات الدولية</w:t>
      </w:r>
      <w:r w:rsidRPr="00D63EF0">
        <w:rPr>
          <w:rtl/>
        </w:rPr>
        <w:t xml:space="preserve"> وفي قاعدة بيانات </w:t>
      </w:r>
      <w:r w:rsidRPr="00D63EF0">
        <w:t>ROMARIN</w:t>
      </w:r>
      <w:r w:rsidRPr="00D63EF0">
        <w:rPr>
          <w:rtl/>
        </w:rPr>
        <w:t xml:space="preserve">، وُضعت الاعتبارات المذكورة آنفاً في الحسبان لصياغة هذا الالتماس من أجل مراجعة معيار الويبو </w:t>
      </w:r>
      <w:r w:rsidRPr="00D63EF0">
        <w:t>ST.60</w:t>
      </w:r>
      <w:r w:rsidRPr="00D63EF0">
        <w:rPr>
          <w:rtl/>
        </w:rPr>
        <w:t>.</w:t>
      </w:r>
    </w:p>
    <w:p w:rsidR="00D63EF0" w:rsidRPr="00D63EF0" w:rsidRDefault="00D63EF0" w:rsidP="00D63EF0">
      <w:pPr>
        <w:pStyle w:val="NumberedParaAR"/>
        <w:keepNext/>
        <w:numPr>
          <w:ilvl w:val="0"/>
          <w:numId w:val="0"/>
        </w:numPr>
        <w:rPr>
          <w:sz w:val="40"/>
          <w:szCs w:val="40"/>
          <w:rtl/>
        </w:rPr>
      </w:pPr>
      <w:r w:rsidRPr="00D63EF0">
        <w:rPr>
          <w:sz w:val="40"/>
          <w:szCs w:val="40"/>
          <w:rtl/>
        </w:rPr>
        <w:t>خيارات الحل</w:t>
      </w:r>
    </w:p>
    <w:p w:rsidR="00D63EF0" w:rsidRDefault="00D63EF0" w:rsidP="00D63EF0">
      <w:pPr>
        <w:pStyle w:val="NumberedParaAR"/>
      </w:pPr>
      <w:r>
        <w:rPr>
          <w:rtl/>
        </w:rPr>
        <w:t xml:space="preserve">ينبغي أن يُنظَر في تغيير وصف الرموز (895) و(896) و(897) و(898) الواردة في معيار الويبو </w:t>
      </w:r>
      <w:r>
        <w:t>ST.60</w:t>
      </w:r>
      <w:r>
        <w:rPr>
          <w:rtl/>
        </w:rPr>
        <w:t>؛ من أجل المواءمة بين الأوصاف المستخدمة في الرموز ذات الصلة واللغة المستخدمة في اللائحة التنفيذية المشتركة.</w:t>
      </w:r>
    </w:p>
    <w:p w:rsidR="00D63EF0" w:rsidRDefault="00D63EF0" w:rsidP="00D63EF0">
      <w:pPr>
        <w:pStyle w:val="NumberedParaAR"/>
        <w:numPr>
          <w:ilvl w:val="0"/>
          <w:numId w:val="0"/>
        </w:numPr>
        <w:ind w:left="566"/>
      </w:pPr>
      <w:r w:rsidRPr="00251542">
        <w:rPr>
          <w:sz w:val="40"/>
          <w:szCs w:val="40"/>
          <w:rtl/>
        </w:rPr>
        <w:t>الرمز</w:t>
      </w:r>
      <w:r>
        <w:rPr>
          <w:rtl/>
        </w:rPr>
        <w:t xml:space="preserve"> (895): سيصبح الوصف الجديد للرمز (895) على النحو التالي:</w:t>
      </w:r>
    </w:p>
    <w:p w:rsidR="00D63EF0" w:rsidRDefault="00D63EF0" w:rsidP="00D63EF0">
      <w:pPr>
        <w:pStyle w:val="NumberedParaAR"/>
        <w:numPr>
          <w:ilvl w:val="0"/>
          <w:numId w:val="0"/>
        </w:numPr>
        <w:ind w:left="1133"/>
        <w:rPr>
          <w:rtl/>
          <w:lang w:bidi="ar-EG"/>
        </w:rPr>
      </w:pPr>
      <w:r w:rsidRPr="00D63EF0">
        <w:rPr>
          <w:rtl/>
          <w:lang w:bidi="ar-EG"/>
        </w:rPr>
        <w:t>"بيان يُفيد بسحب الرفض المؤقت ومنح الحماية للعلامة بالنسبة لكل السلع والخدمات."</w:t>
      </w:r>
    </w:p>
    <w:p w:rsidR="00D63EF0" w:rsidRDefault="00D63EF0" w:rsidP="00D63EF0">
      <w:pPr>
        <w:pStyle w:val="NumberedParaAR"/>
        <w:numPr>
          <w:ilvl w:val="0"/>
          <w:numId w:val="0"/>
        </w:numPr>
        <w:ind w:left="566"/>
        <w:rPr>
          <w:rtl/>
          <w:lang w:bidi="ar-EG"/>
        </w:rPr>
      </w:pPr>
      <w:r w:rsidRPr="00251542">
        <w:rPr>
          <w:sz w:val="40"/>
          <w:szCs w:val="40"/>
          <w:rtl/>
        </w:rPr>
        <w:t>الرمز</w:t>
      </w:r>
      <w:r w:rsidRPr="00D63EF0">
        <w:rPr>
          <w:rtl/>
          <w:lang w:bidi="ar-EG"/>
        </w:rPr>
        <w:t xml:space="preserve"> (896): سيصبح الوصف الجديد للرمز (896) على النحو التالي:</w:t>
      </w:r>
    </w:p>
    <w:p w:rsidR="00D63EF0" w:rsidRDefault="00D63EF0" w:rsidP="00D63EF0">
      <w:pPr>
        <w:pStyle w:val="NumberedParaAR"/>
        <w:numPr>
          <w:ilvl w:val="0"/>
          <w:numId w:val="0"/>
        </w:numPr>
        <w:ind w:left="1133"/>
        <w:rPr>
          <w:rtl/>
          <w:lang w:bidi="ar-EG"/>
        </w:rPr>
      </w:pPr>
      <w:r w:rsidRPr="00D63EF0">
        <w:rPr>
          <w:rtl/>
          <w:lang w:bidi="ar-EG"/>
        </w:rPr>
        <w:t>"تأكيد الرفض الكامل المؤقت."</w:t>
      </w:r>
    </w:p>
    <w:p w:rsidR="00D63EF0" w:rsidRDefault="00D63EF0" w:rsidP="00D63EF0">
      <w:pPr>
        <w:pStyle w:val="NumberedParaAR"/>
        <w:numPr>
          <w:ilvl w:val="0"/>
          <w:numId w:val="0"/>
        </w:numPr>
        <w:ind w:left="566"/>
        <w:rPr>
          <w:rtl/>
          <w:lang w:bidi="ar-EG"/>
        </w:rPr>
      </w:pPr>
      <w:r w:rsidRPr="00251542">
        <w:rPr>
          <w:sz w:val="40"/>
          <w:szCs w:val="40"/>
          <w:rtl/>
        </w:rPr>
        <w:t>الرمز</w:t>
      </w:r>
      <w:r w:rsidRPr="00D63EF0">
        <w:rPr>
          <w:rtl/>
          <w:lang w:bidi="ar-EG"/>
        </w:rPr>
        <w:t xml:space="preserve"> (897): سيصبح الوصف الجديد للرمز (897) على النحو التالي:</w:t>
      </w:r>
    </w:p>
    <w:p w:rsidR="00D63EF0" w:rsidRDefault="00D63EF0" w:rsidP="00D63EF0">
      <w:pPr>
        <w:pStyle w:val="NumberedParaAR"/>
        <w:numPr>
          <w:ilvl w:val="0"/>
          <w:numId w:val="0"/>
        </w:numPr>
        <w:ind w:left="1133"/>
        <w:rPr>
          <w:rtl/>
          <w:lang w:bidi="ar-EG"/>
        </w:rPr>
      </w:pPr>
      <w:r w:rsidRPr="00D63EF0">
        <w:rPr>
          <w:rtl/>
          <w:lang w:bidi="ar-EG"/>
        </w:rPr>
        <w:lastRenderedPageBreak/>
        <w:t>"بيان يُوضِّح السلع والخدمات التي تُمنَح الحمايةُ لعلامتها، وذلك بعد رفض مؤقت."</w:t>
      </w:r>
    </w:p>
    <w:p w:rsidR="00D63EF0" w:rsidRDefault="00D63EF0" w:rsidP="00D63EF0">
      <w:pPr>
        <w:pStyle w:val="NumberedParaAR"/>
        <w:numPr>
          <w:ilvl w:val="0"/>
          <w:numId w:val="0"/>
        </w:numPr>
        <w:ind w:left="566"/>
        <w:rPr>
          <w:rtl/>
          <w:lang w:bidi="ar-EG"/>
        </w:rPr>
      </w:pPr>
      <w:r w:rsidRPr="00251542">
        <w:rPr>
          <w:sz w:val="40"/>
          <w:szCs w:val="40"/>
          <w:rtl/>
        </w:rPr>
        <w:t>الرمز</w:t>
      </w:r>
      <w:r w:rsidRPr="00D63EF0">
        <w:rPr>
          <w:rtl/>
          <w:lang w:bidi="ar-EG"/>
        </w:rPr>
        <w:t xml:space="preserve"> (898): سيصبح الوصف الجديد للرمز (898) على النحو التالي:</w:t>
      </w:r>
    </w:p>
    <w:p w:rsidR="00D63EF0" w:rsidRDefault="00D63EF0" w:rsidP="00D63EF0">
      <w:pPr>
        <w:pStyle w:val="NumberedParaAR"/>
        <w:numPr>
          <w:ilvl w:val="0"/>
          <w:numId w:val="0"/>
        </w:numPr>
        <w:ind w:left="1133"/>
        <w:rPr>
          <w:rtl/>
          <w:lang w:bidi="ar-EG"/>
        </w:rPr>
      </w:pPr>
      <w:r w:rsidRPr="00D63EF0">
        <w:rPr>
          <w:rtl/>
          <w:lang w:bidi="ar-EG"/>
        </w:rPr>
        <w:t>"قرار آخر يُؤثر في حماية العلامة."</w:t>
      </w:r>
    </w:p>
    <w:p w:rsidR="00D63EF0" w:rsidRDefault="00130070" w:rsidP="00D63EF0">
      <w:pPr>
        <w:pStyle w:val="NumberedParaAR"/>
        <w:rPr>
          <w:lang w:bidi="ar-EG"/>
        </w:rPr>
      </w:pPr>
      <w:r>
        <w:rPr>
          <w:rFonts w:hint="cs"/>
          <w:rtl/>
          <w:lang w:bidi="ar-EG"/>
        </w:rPr>
        <w:t>و</w:t>
      </w:r>
      <w:r w:rsidR="00D63EF0" w:rsidRPr="00D63EF0">
        <w:rPr>
          <w:rtl/>
          <w:lang w:bidi="ar-EG"/>
        </w:rPr>
        <w:t>ينبغي النظر في إدخال رمز جديد (581)، مع مراعاة ضرورة وجود إشارة فريدة إلى تاريخ الإخطار الذي يرسله المكتبُ الدولي إلى مكاتب الأطراف المتعاقدة المُعيَّنة.</w:t>
      </w:r>
    </w:p>
    <w:p w:rsidR="00D63EF0" w:rsidRDefault="00D63EF0" w:rsidP="00D63EF0">
      <w:pPr>
        <w:pStyle w:val="NumberedParaAR"/>
        <w:numPr>
          <w:ilvl w:val="0"/>
          <w:numId w:val="0"/>
        </w:numPr>
        <w:ind w:left="566"/>
        <w:rPr>
          <w:rtl/>
          <w:lang w:bidi="ar-EG"/>
        </w:rPr>
      </w:pPr>
      <w:r w:rsidRPr="00251542">
        <w:rPr>
          <w:sz w:val="40"/>
          <w:szCs w:val="40"/>
          <w:rtl/>
        </w:rPr>
        <w:t>الرمز</w:t>
      </w:r>
      <w:r w:rsidRPr="00D63EF0">
        <w:rPr>
          <w:rtl/>
          <w:lang w:bidi="ar-EG"/>
        </w:rPr>
        <w:t xml:space="preserve"> (581): سيصبح وصف الرمز (581) المُقترَح على النحو التالي:</w:t>
      </w:r>
    </w:p>
    <w:p w:rsidR="00D63EF0" w:rsidRDefault="00D63EF0" w:rsidP="00D63EF0">
      <w:pPr>
        <w:pStyle w:val="NumberedParaAR"/>
        <w:numPr>
          <w:ilvl w:val="0"/>
          <w:numId w:val="0"/>
        </w:numPr>
        <w:ind w:left="1133"/>
        <w:rPr>
          <w:rtl/>
          <w:lang w:bidi="ar-EG"/>
        </w:rPr>
      </w:pPr>
      <w:r w:rsidRPr="00D63EF0">
        <w:rPr>
          <w:rtl/>
          <w:lang w:bidi="ar-EG"/>
        </w:rPr>
        <w:t>"تاريخ الإخطار الذي يرسله المكتبُ الدولي إلى الأطراف المتعاقدة المُعيَّنة".</w:t>
      </w:r>
    </w:p>
    <w:p w:rsidR="00D63EF0" w:rsidRDefault="00130070" w:rsidP="00D63EF0">
      <w:pPr>
        <w:pStyle w:val="NumberedParaAR"/>
        <w:rPr>
          <w:lang w:bidi="ar-EG"/>
        </w:rPr>
      </w:pPr>
      <w:r>
        <w:rPr>
          <w:rFonts w:hint="cs"/>
          <w:rtl/>
          <w:lang w:bidi="ar-EG"/>
        </w:rPr>
        <w:t>و</w:t>
      </w:r>
      <w:r w:rsidR="00D63EF0" w:rsidRPr="00D63EF0">
        <w:rPr>
          <w:rtl/>
          <w:lang w:bidi="ar-EG"/>
        </w:rPr>
        <w:t>ينبغي النظر في إدخال رمز جديد (852)، نظراً للحاجة إلى تحديد الإلغاء الجزئي لقائمة السلع والخدمات تحديداً واضحاً لا يحتمل اللبس.</w:t>
      </w:r>
    </w:p>
    <w:p w:rsidR="00D63EF0" w:rsidRDefault="00D63EF0" w:rsidP="00D63EF0">
      <w:pPr>
        <w:pStyle w:val="NumberedParaAR"/>
        <w:numPr>
          <w:ilvl w:val="0"/>
          <w:numId w:val="0"/>
        </w:numPr>
        <w:ind w:left="566"/>
        <w:rPr>
          <w:rtl/>
          <w:lang w:bidi="ar-EG"/>
        </w:rPr>
      </w:pPr>
      <w:r w:rsidRPr="00251542">
        <w:rPr>
          <w:sz w:val="40"/>
          <w:szCs w:val="40"/>
          <w:rtl/>
        </w:rPr>
        <w:t>الرمز</w:t>
      </w:r>
      <w:r w:rsidRPr="00D63EF0">
        <w:rPr>
          <w:rtl/>
          <w:lang w:bidi="ar-EG"/>
        </w:rPr>
        <w:t xml:space="preserve"> (852): سيصبح وصف الرمز (852) المُقترَح على النحو التالي:</w:t>
      </w:r>
    </w:p>
    <w:p w:rsidR="00D63EF0" w:rsidRDefault="00D63EF0" w:rsidP="00D63EF0">
      <w:pPr>
        <w:pStyle w:val="NumberedParaAR"/>
        <w:numPr>
          <w:ilvl w:val="0"/>
          <w:numId w:val="0"/>
        </w:numPr>
        <w:ind w:left="1133"/>
        <w:rPr>
          <w:rtl/>
          <w:lang w:bidi="ar-EG"/>
        </w:rPr>
      </w:pPr>
      <w:r w:rsidRPr="00D63EF0">
        <w:rPr>
          <w:rtl/>
          <w:lang w:bidi="ar-EG"/>
        </w:rPr>
        <w:t>"إلغاء جُزئي."</w:t>
      </w:r>
    </w:p>
    <w:p w:rsidR="00D63EF0" w:rsidRDefault="00D63EF0" w:rsidP="00D63EF0">
      <w:pPr>
        <w:pStyle w:val="NumberedParaAR"/>
        <w:rPr>
          <w:lang w:bidi="ar-EG"/>
        </w:rPr>
      </w:pPr>
      <w:r w:rsidRPr="00D63EF0">
        <w:rPr>
          <w:rtl/>
          <w:lang w:bidi="ar-EG"/>
        </w:rPr>
        <w:t xml:space="preserve">وأخيراً، ينبغي، من أجل الاتساق، أن يُنظَر في تغيير وصف العنوان الذي يسبق </w:t>
      </w:r>
      <w:r w:rsidR="00130070">
        <w:rPr>
          <w:rFonts w:hint="cs"/>
          <w:rtl/>
          <w:lang w:bidi="ar-EG"/>
        </w:rPr>
        <w:t>ال</w:t>
      </w:r>
      <w:r w:rsidRPr="00D63EF0">
        <w:rPr>
          <w:rtl/>
          <w:lang w:bidi="ar-EG"/>
        </w:rPr>
        <w:t xml:space="preserve">سلسلة 850 الواردة في معيار الويبو </w:t>
      </w:r>
      <w:r w:rsidRPr="00D63EF0">
        <w:rPr>
          <w:lang w:bidi="ar-EG"/>
        </w:rPr>
        <w:t>ST.60</w:t>
      </w:r>
      <w:r w:rsidRPr="00D63EF0">
        <w:rPr>
          <w:rtl/>
          <w:lang w:bidi="ar-EG"/>
        </w:rPr>
        <w:t>.</w:t>
      </w:r>
    </w:p>
    <w:p w:rsidR="00D63EF0" w:rsidRDefault="00D63EF0" w:rsidP="00D63EF0">
      <w:pPr>
        <w:pStyle w:val="NumberedParaAR"/>
        <w:numPr>
          <w:ilvl w:val="0"/>
          <w:numId w:val="0"/>
        </w:numPr>
        <w:ind w:left="566"/>
        <w:rPr>
          <w:rtl/>
          <w:lang w:bidi="ar-EG"/>
        </w:rPr>
      </w:pPr>
      <w:r w:rsidRPr="00D63EF0">
        <w:rPr>
          <w:rtl/>
          <w:lang w:bidi="ar-EG"/>
        </w:rPr>
        <w:t>سيصبح الوصف على النحو التالي:</w:t>
      </w:r>
    </w:p>
    <w:p w:rsidR="00D63EF0" w:rsidRDefault="00D63EF0" w:rsidP="00D63EF0">
      <w:pPr>
        <w:pStyle w:val="NumberedParaAR"/>
        <w:numPr>
          <w:ilvl w:val="0"/>
          <w:numId w:val="0"/>
        </w:numPr>
        <w:ind w:left="1133"/>
        <w:rPr>
          <w:rtl/>
          <w:lang w:bidi="ar-EG"/>
        </w:rPr>
      </w:pPr>
      <w:r w:rsidRPr="00D63EF0">
        <w:rPr>
          <w:rtl/>
          <w:lang w:bidi="ar-EG"/>
        </w:rPr>
        <w:t>"بيانات بشأن إلغاء قائمة السلع والخدمات أو إنقاصها."</w:t>
      </w:r>
    </w:p>
    <w:p w:rsidR="00D63EF0" w:rsidRPr="00D63EF0" w:rsidRDefault="00D63EF0" w:rsidP="00D63EF0">
      <w:pPr>
        <w:pStyle w:val="NumberedParaAR"/>
        <w:keepNext/>
        <w:numPr>
          <w:ilvl w:val="0"/>
          <w:numId w:val="0"/>
        </w:numPr>
        <w:rPr>
          <w:sz w:val="40"/>
          <w:szCs w:val="40"/>
          <w:rtl/>
          <w:lang w:bidi="ar-EG"/>
        </w:rPr>
      </w:pPr>
      <w:r w:rsidRPr="00D63EF0">
        <w:rPr>
          <w:sz w:val="40"/>
          <w:szCs w:val="40"/>
          <w:rtl/>
          <w:lang w:bidi="ar-EG"/>
        </w:rPr>
        <w:t>الفوائد المتوقعة</w:t>
      </w:r>
    </w:p>
    <w:p w:rsidR="00D63EF0" w:rsidRDefault="00D63EF0" w:rsidP="00D63EF0">
      <w:pPr>
        <w:pStyle w:val="NumberedParaAR"/>
        <w:rPr>
          <w:lang w:bidi="ar-EG"/>
        </w:rPr>
      </w:pPr>
      <w:r w:rsidRPr="00D63EF0">
        <w:rPr>
          <w:rtl/>
          <w:lang w:bidi="ar-EG"/>
        </w:rPr>
        <w:t xml:space="preserve">سوف تُزيد التغييراتُ المُقترَحة من وضوح ودقة نشر البيانات في جريدة الويبو وفي قاعدة بيانات </w:t>
      </w:r>
      <w:r w:rsidRPr="00D63EF0">
        <w:rPr>
          <w:lang w:bidi="ar-EG"/>
        </w:rPr>
        <w:t>ROMARIN</w:t>
      </w:r>
      <w:r w:rsidRPr="00D63EF0">
        <w:rPr>
          <w:rtl/>
          <w:lang w:bidi="ar-EG"/>
        </w:rPr>
        <w:t xml:space="preserve"> والإخطار بهذه البيانات، مما سيعود بالفائدة على جميع المنتفعين بنظام مدريد.</w:t>
      </w:r>
    </w:p>
    <w:p w:rsidR="0030102B" w:rsidRDefault="00D63EF0" w:rsidP="00D63EF0">
      <w:pPr>
        <w:pStyle w:val="NumberedParaAR"/>
        <w:numPr>
          <w:ilvl w:val="0"/>
          <w:numId w:val="0"/>
        </w:numPr>
        <w:ind w:left="5527"/>
        <w:rPr>
          <w:rtl/>
          <w:lang w:bidi="ar-EG"/>
        </w:rPr>
      </w:pPr>
      <w:r w:rsidRPr="00D63EF0">
        <w:rPr>
          <w:rtl/>
          <w:lang w:bidi="ar-EG"/>
        </w:rPr>
        <w:t>[يلي ذلك المرفق الثاني]</w:t>
      </w:r>
    </w:p>
    <w:p w:rsidR="0030102B" w:rsidRPr="007F38D1" w:rsidRDefault="0030102B" w:rsidP="006C79B1">
      <w:pPr>
        <w:pStyle w:val="NumberedParaAR"/>
        <w:numPr>
          <w:ilvl w:val="0"/>
          <w:numId w:val="0"/>
        </w:numPr>
        <w:rPr>
          <w:rtl/>
        </w:rPr>
      </w:pPr>
    </w:p>
    <w:sectPr w:rsidR="0030102B" w:rsidRPr="007F38D1" w:rsidSect="00EB7752">
      <w:headerReference w:type="default" r:id="rId8"/>
      <w:headerReference w:type="firs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F1" w:rsidRDefault="00A449F1">
      <w:r>
        <w:separator/>
      </w:r>
    </w:p>
  </w:endnote>
  <w:endnote w:type="continuationSeparator" w:id="0">
    <w:p w:rsidR="00A449F1" w:rsidRDefault="00A4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F1" w:rsidRDefault="00A449F1" w:rsidP="009622BF">
      <w:pPr>
        <w:bidi/>
      </w:pPr>
      <w:bookmarkStart w:id="0" w:name="OLE_LINK1"/>
      <w:bookmarkStart w:id="1" w:name="OLE_LINK2"/>
      <w:r>
        <w:separator/>
      </w:r>
      <w:bookmarkEnd w:id="0"/>
      <w:bookmarkEnd w:id="1"/>
    </w:p>
  </w:footnote>
  <w:footnote w:type="continuationSeparator" w:id="0">
    <w:p w:rsidR="00A449F1" w:rsidRDefault="00A449F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9A0BEB">
    <w:r>
      <w:t>CWS</w:t>
    </w:r>
    <w:r w:rsidR="002F77FC">
      <w:t>/</w:t>
    </w:r>
    <w:r w:rsidR="008D5779">
      <w:t>4</w:t>
    </w:r>
    <w:r w:rsidR="002F77FC">
      <w:t>/</w:t>
    </w:r>
    <w:r w:rsidR="009A0BEB">
      <w:t>9</w:t>
    </w:r>
  </w:p>
  <w:p w:rsidR="00251542" w:rsidRDefault="00251542" w:rsidP="00251542">
    <w:r>
      <w:t>Annex I</w:t>
    </w:r>
  </w:p>
  <w:p w:rsidR="002F77FC" w:rsidRDefault="002F77FC" w:rsidP="00D61541">
    <w:r>
      <w:fldChar w:fldCharType="begin"/>
    </w:r>
    <w:r>
      <w:instrText xml:space="preserve"> PAGE  \* MERGEFORMAT </w:instrText>
    </w:r>
    <w:r>
      <w:fldChar w:fldCharType="separate"/>
    </w:r>
    <w:r w:rsidR="00EF6A06">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A1" w:rsidRDefault="005569A1" w:rsidP="005569A1">
    <w:pPr>
      <w:pStyle w:val="Header"/>
    </w:pPr>
    <w:r>
      <w:t>CWS/4/9</w:t>
    </w:r>
  </w:p>
  <w:p w:rsidR="005569A1" w:rsidRDefault="005569A1" w:rsidP="005569A1">
    <w:pPr>
      <w:pStyle w:val="Header"/>
    </w:pPr>
    <w:r>
      <w:t>ANNEX I</w:t>
    </w:r>
  </w:p>
  <w:p w:rsidR="005569A1" w:rsidRPr="005569A1" w:rsidRDefault="005569A1" w:rsidP="005569A1">
    <w:pPr>
      <w:pStyle w:val="Header"/>
      <w:bidi/>
      <w:jc w:val="right"/>
      <w:rPr>
        <w:rFonts w:ascii="Arabic Typesetting" w:hAnsi="Arabic Typesetting" w:cs="Arabic Typesetting"/>
        <w:sz w:val="38"/>
        <w:szCs w:val="36"/>
        <w:rtl/>
      </w:rPr>
    </w:pPr>
    <w:r w:rsidRPr="005569A1">
      <w:rPr>
        <w:rFonts w:ascii="Arabic Typesetting" w:hAnsi="Arabic Typesetting" w:cs="Arabic Typesetting"/>
        <w:sz w:val="38"/>
        <w:szCs w:val="36"/>
        <w:rtl/>
      </w:rPr>
      <w:t>المرفق الأول</w:t>
    </w:r>
  </w:p>
  <w:p w:rsidR="005569A1" w:rsidRDefault="005569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A3E7A9D"/>
    <w:multiLevelType w:val="hybridMultilevel"/>
    <w:tmpl w:val="B00C34CA"/>
    <w:lvl w:ilvl="0" w:tplc="60424AD8">
      <w:start w:val="1"/>
      <w:numFmt w:val="arabicAbjad"/>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C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1"/>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070"/>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1CE"/>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542"/>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02B"/>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69D"/>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9A1"/>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9B1"/>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0265"/>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BEB"/>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9F1"/>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3A3"/>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3FD0"/>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3EF0"/>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96E"/>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6A06"/>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2A0"/>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569A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5569A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CWS/4/-- (Arabic)</vt:lpstr>
    </vt:vector>
  </TitlesOfParts>
  <Company>World Intellectual Property Organization</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 (Arabic)</dc:title>
  <dc:creator>YOUSSEF Randa</dc:creator>
  <cp:lastModifiedBy>Geraldine Rodriguez</cp:lastModifiedBy>
  <cp:revision>2</cp:revision>
  <cp:lastPrinted>2014-03-12T13:15:00Z</cp:lastPrinted>
  <dcterms:created xsi:type="dcterms:W3CDTF">2014-03-17T09:58:00Z</dcterms:created>
  <dcterms:modified xsi:type="dcterms:W3CDTF">2014-03-17T09:58:00Z</dcterms:modified>
</cp:coreProperties>
</file>