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828FF" w:rsidP="008D5779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100F97">
              <w:t>/</w:t>
            </w:r>
            <w:r w:rsidR="008D5779">
              <w:t>4</w:t>
            </w:r>
            <w:r w:rsidR="007205B1">
              <w:t>BIS</w:t>
            </w:r>
            <w:r w:rsidR="00063D6A">
              <w:t>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63D6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63D6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63D6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063D6A">
              <w:rPr>
                <w:rFonts w:hint="cs"/>
                <w:rtl/>
              </w:rPr>
              <w:t>22 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1667B6" w:rsidRPr="00783D11" w:rsidRDefault="00F27305" w:rsidP="007915B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D5779">
        <w:rPr>
          <w:rFonts w:ascii="Cambria Math" w:hAnsi="Cambria Math" w:hint="cs"/>
          <w:rtl/>
        </w:rPr>
        <w:t>الرابعة</w:t>
      </w:r>
      <w:r w:rsidR="007205B1">
        <w:rPr>
          <w:rFonts w:ascii="Cambria Math" w:hAnsi="Cambria Math" w:hint="cs"/>
          <w:rtl/>
        </w:rPr>
        <w:t xml:space="preserve"> </w:t>
      </w:r>
      <w:r w:rsidR="007915BE">
        <w:rPr>
          <w:rFonts w:ascii="Cambria Math" w:hAnsi="Cambria Math" w:hint="cs"/>
          <w:rtl/>
        </w:rPr>
        <w:t>المجتمعة</w:t>
      </w:r>
      <w:r w:rsidR="007205B1">
        <w:rPr>
          <w:rFonts w:ascii="Cambria Math" w:hAnsi="Cambria Math" w:hint="cs"/>
          <w:rtl/>
        </w:rPr>
        <w:t xml:space="preserve"> </w:t>
      </w:r>
      <w:r w:rsidR="007915BE">
        <w:rPr>
          <w:rFonts w:ascii="Cambria Math" w:hAnsi="Cambria Math" w:hint="cs"/>
          <w:rtl/>
        </w:rPr>
        <w:t>مجددا</w:t>
      </w:r>
    </w:p>
    <w:p w:rsidR="00D61541" w:rsidRPr="00D61541" w:rsidRDefault="00D61541" w:rsidP="007205B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7205B1">
        <w:rPr>
          <w:rFonts w:hint="cs"/>
          <w:rtl/>
        </w:rPr>
        <w:t>21</w:t>
      </w:r>
      <w:r w:rsidR="00100F97">
        <w:rPr>
          <w:rFonts w:hint="cs"/>
          <w:rtl/>
        </w:rPr>
        <w:t xml:space="preserve"> إلى </w:t>
      </w:r>
      <w:r w:rsidR="007205B1">
        <w:rPr>
          <w:rFonts w:hint="cs"/>
          <w:rtl/>
        </w:rPr>
        <w:t>24</w:t>
      </w:r>
      <w:r w:rsidR="00783D11">
        <w:rPr>
          <w:rFonts w:hint="cs"/>
          <w:rtl/>
        </w:rPr>
        <w:t xml:space="preserve"> </w:t>
      </w:r>
      <w:r w:rsidR="007205B1">
        <w:rPr>
          <w:rFonts w:hint="cs"/>
          <w:rtl/>
        </w:rPr>
        <w:t xml:space="preserve">مارس </w:t>
      </w:r>
      <w:r w:rsidR="008D5779">
        <w:rPr>
          <w:rFonts w:hint="cs"/>
          <w:rtl/>
        </w:rPr>
        <w:t>201</w:t>
      </w:r>
      <w:r w:rsidR="007205B1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E346A7" w:rsidP="00FB7EC9">
      <w:pPr>
        <w:pStyle w:val="DocumentTitleAR"/>
        <w:bidi/>
        <w:rPr>
          <w:rtl/>
        </w:rPr>
      </w:pPr>
      <w:r w:rsidRPr="00E346A7">
        <w:rPr>
          <w:rtl/>
        </w:rPr>
        <w:t xml:space="preserve">مراجعة معيار الويبو </w:t>
      </w:r>
      <w:r w:rsidRPr="00E346A7">
        <w:t>ST.14</w:t>
      </w:r>
    </w:p>
    <w:p w:rsidR="00D61541" w:rsidRPr="00D61541" w:rsidRDefault="00E346A7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  <w:bookmarkStart w:id="2" w:name="_GoBack"/>
      <w:bookmarkEnd w:id="2"/>
    </w:p>
    <w:p w:rsidR="00EB5F78" w:rsidRPr="00B36216" w:rsidRDefault="00EB5F78" w:rsidP="00117884">
      <w:pPr>
        <w:pStyle w:val="Heading2AR"/>
        <w:rPr>
          <w:rtl/>
        </w:rPr>
      </w:pPr>
      <w:r w:rsidRPr="00B36216">
        <w:rPr>
          <w:rFonts w:hint="cs"/>
          <w:rtl/>
        </w:rPr>
        <w:t>مقدمة</w:t>
      </w:r>
    </w:p>
    <w:p w:rsidR="00EB5F78" w:rsidRDefault="00EB5F78" w:rsidP="00D837FD">
      <w:pPr>
        <w:pStyle w:val="NumberedParaAR"/>
      </w:pPr>
      <w:r>
        <w:rPr>
          <w:rFonts w:hint="cs"/>
          <w:rtl/>
        </w:rPr>
        <w:t>اتفقت اللجنة المعنية بمعايير الويبو، في دورتها الثانية التي ع</w:t>
      </w:r>
      <w:r w:rsidR="00EB2208">
        <w:rPr>
          <w:rFonts w:hint="cs"/>
          <w:rtl/>
        </w:rPr>
        <w:t>ُ</w:t>
      </w:r>
      <w:r>
        <w:rPr>
          <w:rFonts w:hint="cs"/>
          <w:rtl/>
        </w:rPr>
        <w:t>قدت في أبريل- مايو 2012، على إنشاء المهمة رقم</w:t>
      </w:r>
      <w:r>
        <w:rPr>
          <w:rFonts w:hint="eastAsia"/>
          <w:rtl/>
        </w:rPr>
        <w:t> </w:t>
      </w:r>
      <w:r>
        <w:rPr>
          <w:rFonts w:hint="cs"/>
          <w:rtl/>
        </w:rPr>
        <w:t>45 لمراجعة معيار الويبو</w:t>
      </w:r>
      <w:r>
        <w:rPr>
          <w:rFonts w:hint="eastAsia"/>
          <w:rtl/>
        </w:rPr>
        <w:t> </w:t>
      </w:r>
      <w:r>
        <w:t>ST.14</w:t>
      </w:r>
      <w:r>
        <w:rPr>
          <w:rFonts w:hint="cs"/>
          <w:rtl/>
          <w:lang w:bidi="ar-EG"/>
        </w:rPr>
        <w:t xml:space="preserve">، </w:t>
      </w:r>
      <w:r w:rsidR="00D837FD" w:rsidRPr="00D837FD">
        <w:rPr>
          <w:rtl/>
          <w:lang w:bidi="ar-EG"/>
        </w:rPr>
        <w:t>"توصية بإدراج المراجع المستشهد بها في وثائق البراءات"</w:t>
      </w:r>
      <w:r>
        <w:rPr>
          <w:rFonts w:hint="cs"/>
          <w:rtl/>
          <w:lang w:bidi="ar-EG"/>
        </w:rPr>
        <w:t>. وقر</w:t>
      </w:r>
      <w:r w:rsidR="00D837FD">
        <w:rPr>
          <w:rFonts w:hint="cs"/>
          <w:rtl/>
          <w:lang w:bidi="ar-EG"/>
        </w:rPr>
        <w:t>ّ</w:t>
      </w:r>
      <w:r>
        <w:rPr>
          <w:rFonts w:hint="cs"/>
          <w:rtl/>
          <w:lang w:bidi="ar-EG"/>
        </w:rPr>
        <w:t>رت اللجنة أيضا إنشاء فرقة العمل المعنية بالمعيار</w:t>
      </w:r>
      <w:r w:rsidR="00D837FD">
        <w:rPr>
          <w:rFonts w:hint="eastAsia"/>
          <w:rtl/>
          <w:lang w:bidi="ar-EG"/>
        </w:rPr>
        <w:t> </w:t>
      </w:r>
      <w:r>
        <w:rPr>
          <w:lang w:bidi="ar-EG"/>
        </w:rPr>
        <w:t>ST.14</w:t>
      </w:r>
      <w:r>
        <w:rPr>
          <w:rFonts w:hint="cs"/>
          <w:rtl/>
          <w:lang w:bidi="ar-EG"/>
        </w:rPr>
        <w:t xml:space="preserve"> لت</w:t>
      </w:r>
      <w:r w:rsidR="00D837FD">
        <w:rPr>
          <w:rFonts w:hint="cs"/>
          <w:rtl/>
          <w:lang w:bidi="ar-EG"/>
        </w:rPr>
        <w:t>ضطلع بتلك</w:t>
      </w:r>
      <w:r>
        <w:rPr>
          <w:rFonts w:hint="cs"/>
          <w:rtl/>
          <w:lang w:bidi="ar-EG"/>
        </w:rPr>
        <w:t xml:space="preserve"> المراجعة. </w:t>
      </w:r>
      <w:r>
        <w:rPr>
          <w:rFonts w:hint="cs"/>
          <w:rtl/>
        </w:rPr>
        <w:t>(انظر الفقرات من 28 إلى 31 من الوثيقة</w:t>
      </w:r>
      <w:r w:rsidR="00D837FD">
        <w:rPr>
          <w:rFonts w:hint="eastAsia"/>
          <w:rtl/>
        </w:rPr>
        <w:t> </w:t>
      </w:r>
      <w:r>
        <w:t>CWS/2/14</w:t>
      </w:r>
      <w:r>
        <w:rPr>
          <w:rFonts w:hint="cs"/>
          <w:rtl/>
          <w:lang w:bidi="ar-EG"/>
        </w:rPr>
        <w:t>).</w:t>
      </w:r>
    </w:p>
    <w:p w:rsidR="00EB5F78" w:rsidRDefault="00EB5F78" w:rsidP="00D837FD">
      <w:pPr>
        <w:pStyle w:val="NumberedParaAR"/>
      </w:pPr>
      <w:r>
        <w:rPr>
          <w:rFonts w:hint="cs"/>
          <w:rtl/>
        </w:rPr>
        <w:t>وتتألف المهمة رقم</w:t>
      </w:r>
      <w:r w:rsidR="00D837FD">
        <w:rPr>
          <w:rFonts w:hint="eastAsia"/>
          <w:rtl/>
        </w:rPr>
        <w:t> </w:t>
      </w:r>
      <w:r>
        <w:rPr>
          <w:rFonts w:hint="cs"/>
          <w:rtl/>
        </w:rPr>
        <w:t>45 المذكورة أعلاه من شقين:</w:t>
      </w:r>
    </w:p>
    <w:p w:rsidR="00EB5F78" w:rsidRDefault="00EB5F78" w:rsidP="00D837FD">
      <w:pPr>
        <w:pStyle w:val="NumberedParaAR"/>
        <w:numPr>
          <w:ilvl w:val="0"/>
          <w:numId w:val="0"/>
        </w:numPr>
        <w:ind w:left="567"/>
        <w:rPr>
          <w:rtl/>
          <w:lang w:bidi="ar-EG"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  <w:t>إعداد اقتراح بشأن مراجعة رموز الفئات المنصوص عليها في الفقرة</w:t>
      </w:r>
      <w:r w:rsidR="00D837FD">
        <w:rPr>
          <w:rFonts w:hint="eastAsia"/>
          <w:rtl/>
        </w:rPr>
        <w:t> </w:t>
      </w:r>
      <w:r>
        <w:rPr>
          <w:rFonts w:hint="cs"/>
          <w:rtl/>
        </w:rPr>
        <w:t>14 من معيار الويبو</w:t>
      </w:r>
      <w:r w:rsidR="00D837FD">
        <w:rPr>
          <w:rFonts w:hint="eastAsia"/>
          <w:rtl/>
        </w:rPr>
        <w:t> </w:t>
      </w:r>
      <w:r>
        <w:t>ST.14</w:t>
      </w:r>
      <w:r>
        <w:rPr>
          <w:rFonts w:hint="cs"/>
          <w:rtl/>
          <w:lang w:bidi="ar-EG"/>
        </w:rPr>
        <w:t xml:space="preserve"> مع مراعاة التعليقات ومشروع الاقتراحات الواردة في الفقرة</w:t>
      </w:r>
      <w:r w:rsidR="00D837FD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7 والفقرات من</w:t>
      </w:r>
      <w:r w:rsidR="00D837FD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10 إلى</w:t>
      </w:r>
      <w:r w:rsidR="00D837FD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14 من الوثيقة</w:t>
      </w:r>
      <w:r w:rsidR="00D837FD">
        <w:rPr>
          <w:rFonts w:hint="eastAsia"/>
          <w:rtl/>
          <w:lang w:bidi="ar-EG"/>
        </w:rPr>
        <w:t> </w:t>
      </w:r>
      <w:r>
        <w:rPr>
          <w:lang w:bidi="ar-EG"/>
        </w:rPr>
        <w:t>CWS/2/6</w:t>
      </w:r>
      <w:r>
        <w:rPr>
          <w:rFonts w:hint="cs"/>
          <w:rtl/>
          <w:lang w:bidi="ar-EG"/>
        </w:rPr>
        <w:t>.</w:t>
      </w:r>
    </w:p>
    <w:p w:rsidR="00EB5F78" w:rsidRDefault="00EB5F78" w:rsidP="00EB2208">
      <w:pPr>
        <w:pStyle w:val="NumberedParaAR"/>
        <w:numPr>
          <w:ilvl w:val="0"/>
          <w:numId w:val="0"/>
        </w:numPr>
        <w:ind w:left="567"/>
        <w:rPr>
          <w:rtl/>
          <w:lang w:bidi="ar-EG"/>
        </w:rPr>
      </w:pPr>
      <w:r>
        <w:rPr>
          <w:rFonts w:hint="cs"/>
          <w:rtl/>
          <w:lang w:bidi="ar-EG"/>
        </w:rPr>
        <w:t>(ب)</w:t>
      </w:r>
      <w:r>
        <w:rPr>
          <w:rFonts w:hint="cs"/>
          <w:rtl/>
          <w:lang w:bidi="ar-EG"/>
        </w:rPr>
        <w:tab/>
        <w:t>ودراسة ما إذا كان من المناسب مراجعة توصيات تحديد سندات غير البراءات المستشهد بها من أجل مواءمة معيار الويبو</w:t>
      </w:r>
      <w:r w:rsidR="00EB2208">
        <w:rPr>
          <w:rFonts w:hint="eastAsia"/>
          <w:rtl/>
          <w:lang w:bidi="ar-EG"/>
        </w:rPr>
        <w:t> </w:t>
      </w:r>
      <w:r>
        <w:rPr>
          <w:lang w:bidi="ar-EG"/>
        </w:rPr>
        <w:t>ST.14</w:t>
      </w:r>
      <w:r>
        <w:rPr>
          <w:rFonts w:hint="cs"/>
          <w:rtl/>
          <w:lang w:bidi="ar-EG"/>
        </w:rPr>
        <w:t xml:space="preserve"> مع المعيار الدولي</w:t>
      </w:r>
      <w:r w:rsidR="00EB2208">
        <w:rPr>
          <w:rFonts w:hint="eastAsia"/>
          <w:rtl/>
          <w:lang w:bidi="ar-EG"/>
        </w:rPr>
        <w:t> </w:t>
      </w:r>
      <w:r>
        <w:rPr>
          <w:lang w:bidi="ar-EG"/>
        </w:rPr>
        <w:t>ISO</w:t>
      </w:r>
      <w:r w:rsidR="00EB2208">
        <w:rPr>
          <w:lang w:bidi="ar-EG"/>
        </w:rPr>
        <w:t> </w:t>
      </w:r>
      <w:r>
        <w:rPr>
          <w:lang w:bidi="ar-EG"/>
        </w:rPr>
        <w:t>690:2010</w:t>
      </w:r>
      <w:r>
        <w:rPr>
          <w:rFonts w:hint="cs"/>
          <w:rtl/>
          <w:lang w:bidi="ar-EG"/>
        </w:rPr>
        <w:t xml:space="preserve"> (المعلومات والوثائق- مبادئ توجيهية بشأن المراجع الببليوغرافية والاستشهادات من مصادر المعلومات) وإعداد اقتراح بذلك الشأن إذا تبيّن أن تلك المراجعة ملائمة.</w:t>
      </w:r>
    </w:p>
    <w:p w:rsidR="00554792" w:rsidRDefault="00CD2895" w:rsidP="00643816">
      <w:pPr>
        <w:pStyle w:val="NumberedParaAR"/>
        <w:rPr>
          <w:lang w:bidi="ar-EG"/>
        </w:rPr>
      </w:pPr>
      <w:r>
        <w:rPr>
          <w:rFonts w:hint="cs"/>
          <w:rtl/>
        </w:rPr>
        <w:t>و</w:t>
      </w:r>
      <w:r w:rsidR="00EB2208">
        <w:rPr>
          <w:rFonts w:hint="cs"/>
          <w:rtl/>
        </w:rPr>
        <w:t xml:space="preserve">في </w:t>
      </w:r>
      <w:r>
        <w:rPr>
          <w:rFonts w:hint="cs"/>
          <w:rtl/>
        </w:rPr>
        <w:t xml:space="preserve">الدورة </w:t>
      </w:r>
      <w:r w:rsidR="00EB2208">
        <w:rPr>
          <w:rFonts w:hint="cs"/>
          <w:rtl/>
        </w:rPr>
        <w:t xml:space="preserve">الرابعة </w:t>
      </w:r>
      <w:r>
        <w:rPr>
          <w:rFonts w:hint="cs"/>
          <w:rtl/>
        </w:rPr>
        <w:t xml:space="preserve">للجنة، </w:t>
      </w:r>
      <w:r w:rsidR="00EB2208">
        <w:rPr>
          <w:rFonts w:hint="cs"/>
          <w:rtl/>
        </w:rPr>
        <w:t>التي عُقدت في مايو</w:t>
      </w:r>
      <w:r>
        <w:rPr>
          <w:rFonts w:hint="eastAsia"/>
          <w:rtl/>
        </w:rPr>
        <w:t> </w:t>
      </w:r>
      <w:r w:rsidR="00EB2208">
        <w:rPr>
          <w:rFonts w:hint="cs"/>
          <w:rtl/>
        </w:rPr>
        <w:t xml:space="preserve">2014، </w:t>
      </w:r>
      <w:r w:rsidR="00554792">
        <w:rPr>
          <w:rFonts w:hint="cs"/>
          <w:rtl/>
        </w:rPr>
        <w:t>قدم المكتب الدول التقرير المرحلي عن مراجعة معيار</w:t>
      </w:r>
      <w:r w:rsidR="00554792">
        <w:rPr>
          <w:rFonts w:hint="eastAsia"/>
          <w:rtl/>
        </w:rPr>
        <w:t> </w:t>
      </w:r>
      <w:r w:rsidR="00554792">
        <w:rPr>
          <w:rFonts w:hint="cs"/>
          <w:rtl/>
        </w:rPr>
        <w:t>الويبو</w:t>
      </w:r>
      <w:r w:rsidR="00554792">
        <w:rPr>
          <w:rFonts w:hint="eastAsia"/>
          <w:rtl/>
        </w:rPr>
        <w:t> </w:t>
      </w:r>
      <w:r w:rsidR="00554792">
        <w:t>ST.14</w:t>
      </w:r>
      <w:r w:rsidR="00554792">
        <w:rPr>
          <w:rFonts w:hint="cs"/>
          <w:rtl/>
        </w:rPr>
        <w:t xml:space="preserve"> (انظر الوثيقة</w:t>
      </w:r>
      <w:r w:rsidR="00554792">
        <w:rPr>
          <w:rFonts w:hint="eastAsia"/>
          <w:rtl/>
        </w:rPr>
        <w:t> </w:t>
      </w:r>
      <w:r w:rsidR="00554792" w:rsidRPr="00554792">
        <w:t>CWS/4/5</w:t>
      </w:r>
      <w:r w:rsidR="00554792">
        <w:rPr>
          <w:rFonts w:hint="cs"/>
          <w:rtl/>
        </w:rPr>
        <w:t>)</w:t>
      </w:r>
      <w:r w:rsidR="00397EA7">
        <w:rPr>
          <w:rFonts w:hint="cs"/>
          <w:rtl/>
        </w:rPr>
        <w:t xml:space="preserve">. وطُلب من اللجنة </w:t>
      </w:r>
      <w:r w:rsidR="00B824A3">
        <w:rPr>
          <w:rFonts w:hint="cs"/>
          <w:rtl/>
        </w:rPr>
        <w:t>البتّ في مدى ملاءمة الاستعاضة عن الفئة</w:t>
      </w:r>
      <w:r w:rsidR="00B824A3">
        <w:rPr>
          <w:rFonts w:hint="eastAsia"/>
          <w:rtl/>
        </w:rPr>
        <w:t> </w:t>
      </w:r>
      <w:r w:rsidR="00B824A3">
        <w:rPr>
          <w:rFonts w:hint="cs"/>
          <w:rtl/>
        </w:rPr>
        <w:t>"</w:t>
      </w:r>
      <w:r w:rsidR="00B824A3" w:rsidRPr="00B824A3">
        <w:t>X</w:t>
      </w:r>
      <w:r w:rsidR="00B824A3">
        <w:rPr>
          <w:rFonts w:hint="cs"/>
          <w:rtl/>
        </w:rPr>
        <w:t>" بالفئتين</w:t>
      </w:r>
      <w:r w:rsidR="00643816">
        <w:rPr>
          <w:rFonts w:hint="eastAsia"/>
          <w:rtl/>
        </w:rPr>
        <w:t> </w:t>
      </w:r>
      <w:r w:rsidR="00B824A3">
        <w:rPr>
          <w:rFonts w:hint="cs"/>
          <w:rtl/>
        </w:rPr>
        <w:t>"</w:t>
      </w:r>
      <w:r w:rsidR="00B824A3" w:rsidRPr="00B824A3">
        <w:t>N</w:t>
      </w:r>
      <w:r w:rsidR="00B824A3">
        <w:rPr>
          <w:rFonts w:hint="cs"/>
          <w:rtl/>
        </w:rPr>
        <w:t>" و"</w:t>
      </w:r>
      <w:r w:rsidR="00B824A3" w:rsidRPr="00B824A3">
        <w:t>I</w:t>
      </w:r>
      <w:r w:rsidR="00B824A3">
        <w:rPr>
          <w:rFonts w:hint="cs"/>
          <w:rtl/>
        </w:rPr>
        <w:t xml:space="preserve">"، مع مراعاة منافع </w:t>
      </w:r>
      <w:r w:rsidR="002E267A">
        <w:rPr>
          <w:rFonts w:hint="cs"/>
          <w:rtl/>
        </w:rPr>
        <w:t xml:space="preserve">تلك الاستعاضة ومساوئها، </w:t>
      </w:r>
      <w:r w:rsidR="00B824A3">
        <w:rPr>
          <w:rFonts w:hint="cs"/>
          <w:rtl/>
        </w:rPr>
        <w:t>كما هو مشار إليه في الفقرة 9 من الوثيقة</w:t>
      </w:r>
      <w:r w:rsidR="00B824A3">
        <w:rPr>
          <w:rFonts w:hint="eastAsia"/>
          <w:rtl/>
        </w:rPr>
        <w:t> </w:t>
      </w:r>
      <w:r w:rsidR="00B824A3" w:rsidRPr="00B824A3">
        <w:t>CWS/4/5</w:t>
      </w:r>
      <w:r w:rsidR="00B824A3">
        <w:rPr>
          <w:rFonts w:hint="cs"/>
          <w:rtl/>
        </w:rPr>
        <w:t>.</w:t>
      </w:r>
    </w:p>
    <w:p w:rsidR="00B824A3" w:rsidRDefault="00B824A3" w:rsidP="00643816">
      <w:pPr>
        <w:pStyle w:val="NumberedParaAR"/>
        <w:rPr>
          <w:lang w:bidi="ar-EG"/>
        </w:rPr>
      </w:pPr>
      <w:r>
        <w:rPr>
          <w:rFonts w:hint="cs"/>
          <w:rtl/>
        </w:rPr>
        <w:lastRenderedPageBreak/>
        <w:t xml:space="preserve">واتفقت اللجنة بشكل غير رسمي على تعليق العنصر الأول من </w:t>
      </w:r>
      <w:r w:rsidR="00643816">
        <w:rPr>
          <w:rFonts w:hint="cs"/>
          <w:rtl/>
        </w:rPr>
        <w:t>المهمة رقم</w:t>
      </w:r>
      <w:r w:rsidR="00643816">
        <w:rPr>
          <w:rFonts w:hint="eastAsia"/>
          <w:rtl/>
        </w:rPr>
        <w:t> </w:t>
      </w:r>
      <w:r w:rsidR="00643816">
        <w:rPr>
          <w:rFonts w:hint="cs"/>
          <w:rtl/>
        </w:rPr>
        <w:t xml:space="preserve">45. وطُلب من فرقة العمل التركيز على العنصر الثاني من المهمة، أي </w:t>
      </w:r>
      <w:r w:rsidR="00643816">
        <w:rPr>
          <w:rFonts w:hint="cs"/>
          <w:rtl/>
          <w:lang w:bidi="ar-EG"/>
        </w:rPr>
        <w:t>دراسة ما إذا كان من المناسب مراجعة توصيات تحديد سندات غير البراءات المستشهد بها من أجل مواءمة معيار الويبو</w:t>
      </w:r>
      <w:r w:rsidR="00643816">
        <w:rPr>
          <w:rFonts w:hint="eastAsia"/>
          <w:rtl/>
          <w:lang w:bidi="ar-EG"/>
        </w:rPr>
        <w:t> </w:t>
      </w:r>
      <w:r w:rsidR="00643816">
        <w:rPr>
          <w:lang w:bidi="ar-EG"/>
        </w:rPr>
        <w:t>ST.14</w:t>
      </w:r>
      <w:r w:rsidR="00643816">
        <w:rPr>
          <w:rFonts w:hint="cs"/>
          <w:rtl/>
          <w:lang w:bidi="ar-EG"/>
        </w:rPr>
        <w:t xml:space="preserve"> مع المعيار الدولي</w:t>
      </w:r>
      <w:r w:rsidR="00643816">
        <w:rPr>
          <w:rFonts w:hint="eastAsia"/>
          <w:rtl/>
          <w:lang w:bidi="ar-EG"/>
        </w:rPr>
        <w:t> </w:t>
      </w:r>
      <w:r w:rsidR="00643816">
        <w:rPr>
          <w:lang w:bidi="ar-EG"/>
        </w:rPr>
        <w:t>ISO 690:2010</w:t>
      </w:r>
      <w:r w:rsidR="00643816">
        <w:rPr>
          <w:rFonts w:hint="cs"/>
          <w:rtl/>
          <w:lang w:bidi="ar-EG"/>
        </w:rPr>
        <w:t xml:space="preserve"> (المعلومات والوثائق- مبادئ توجيهية بشأن المراجع الببليوغرافية والاستشهادات من مصادر المعلومات). واتُفق على الرجوع إلى العنصر الأول من المهمة بعد إنجاز العنصر الثاني منها.</w:t>
      </w:r>
    </w:p>
    <w:p w:rsidR="00643816" w:rsidRPr="00643816" w:rsidRDefault="00643816" w:rsidP="002B658C">
      <w:pPr>
        <w:pStyle w:val="Heading2AR"/>
        <w:rPr>
          <w:rtl/>
        </w:rPr>
      </w:pPr>
      <w:r w:rsidRPr="00643816">
        <w:rPr>
          <w:rFonts w:hint="cs"/>
          <w:rtl/>
        </w:rPr>
        <w:t>مناقشات فرقة العمل</w:t>
      </w:r>
    </w:p>
    <w:p w:rsidR="00643816" w:rsidRDefault="009C2118" w:rsidP="004E51A5">
      <w:pPr>
        <w:pStyle w:val="NumberedParaAR"/>
      </w:pPr>
      <w:r>
        <w:rPr>
          <w:rFonts w:hint="cs"/>
          <w:rtl/>
        </w:rPr>
        <w:t xml:space="preserve">منذ مايو 2014، عقدت فرقة </w:t>
      </w:r>
      <w:r>
        <w:rPr>
          <w:rFonts w:hint="cs"/>
          <w:rtl/>
          <w:lang w:bidi="ar-EG"/>
        </w:rPr>
        <w:t>العمل المعنية بالمعيار</w:t>
      </w:r>
      <w:r>
        <w:rPr>
          <w:rFonts w:hint="eastAsia"/>
          <w:rtl/>
          <w:lang w:bidi="ar-EG"/>
        </w:rPr>
        <w:t> </w:t>
      </w:r>
      <w:r>
        <w:rPr>
          <w:lang w:bidi="ar-EG"/>
        </w:rPr>
        <w:t>ST.14</w:t>
      </w:r>
      <w:r>
        <w:rPr>
          <w:rFonts w:hint="cs"/>
          <w:rtl/>
          <w:lang w:bidi="ar-EG"/>
        </w:rPr>
        <w:t xml:space="preserve"> اجتماعا في جنيف في يونيو 2015، وسبع جولات </w:t>
      </w:r>
      <w:r w:rsidR="001470AB">
        <w:rPr>
          <w:rFonts w:hint="cs"/>
          <w:rtl/>
          <w:lang w:bidi="ar-EG"/>
        </w:rPr>
        <w:t>للمناقشة</w:t>
      </w:r>
      <w:r>
        <w:rPr>
          <w:rFonts w:hint="cs"/>
          <w:rtl/>
          <w:lang w:bidi="ar-EG"/>
        </w:rPr>
        <w:t xml:space="preserve"> حول العنصر الثاني من </w:t>
      </w:r>
      <w:r>
        <w:rPr>
          <w:rFonts w:hint="cs"/>
          <w:rtl/>
        </w:rPr>
        <w:t>المهمة رقم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45، </w:t>
      </w:r>
      <w:r w:rsidR="001470AB">
        <w:rPr>
          <w:rFonts w:hint="cs"/>
          <w:rtl/>
        </w:rPr>
        <w:t>وجولتي مناقشة حول العنصر الأول (رموز الفئات) والمشروع النهائي لمعيار</w:t>
      </w:r>
      <w:r w:rsidR="001470AB">
        <w:rPr>
          <w:rFonts w:hint="eastAsia"/>
          <w:rtl/>
        </w:rPr>
        <w:t> </w:t>
      </w:r>
      <w:r w:rsidR="001470AB">
        <w:rPr>
          <w:rFonts w:hint="cs"/>
          <w:rtl/>
        </w:rPr>
        <w:t>الويبو</w:t>
      </w:r>
      <w:r w:rsidR="004E51A5">
        <w:rPr>
          <w:rFonts w:hint="cs"/>
          <w:rtl/>
        </w:rPr>
        <w:t xml:space="preserve"> المراجع</w:t>
      </w:r>
      <w:r w:rsidR="004E51A5">
        <w:rPr>
          <w:rFonts w:hint="eastAsia"/>
          <w:rtl/>
        </w:rPr>
        <w:t> </w:t>
      </w:r>
      <w:r w:rsidR="001470AB">
        <w:t>ST.14</w:t>
      </w:r>
      <w:r w:rsidR="001470AB">
        <w:rPr>
          <w:rFonts w:hint="cs"/>
          <w:rtl/>
        </w:rPr>
        <w:t>.</w:t>
      </w:r>
    </w:p>
    <w:p w:rsidR="001470AB" w:rsidRPr="001470AB" w:rsidRDefault="001470AB" w:rsidP="002B658C">
      <w:pPr>
        <w:pStyle w:val="Heading3AR"/>
        <w:rPr>
          <w:rtl/>
        </w:rPr>
      </w:pPr>
      <w:r w:rsidRPr="001470AB">
        <w:rPr>
          <w:rFonts w:hint="cs"/>
          <w:rtl/>
        </w:rPr>
        <w:t>رموز الفئات</w:t>
      </w:r>
    </w:p>
    <w:p w:rsidR="001470AB" w:rsidRDefault="00210887" w:rsidP="002D31F6">
      <w:pPr>
        <w:pStyle w:val="NumberedParaAR"/>
      </w:pPr>
      <w:r>
        <w:rPr>
          <w:rFonts w:hint="cs"/>
          <w:rtl/>
        </w:rPr>
        <w:t>ضمن إطار العنصر الأول من المهمة رقم</w:t>
      </w:r>
      <w:r>
        <w:rPr>
          <w:rFonts w:hint="eastAsia"/>
          <w:rtl/>
        </w:rPr>
        <w:t> </w:t>
      </w:r>
      <w:r>
        <w:rPr>
          <w:rFonts w:hint="cs"/>
          <w:rtl/>
        </w:rPr>
        <w:t>45، ناقشت فرقة العمل مراجعة تعاريف الفئات</w:t>
      </w:r>
      <w:r w:rsidR="002D31F6">
        <w:rPr>
          <w:rFonts w:hint="eastAsia"/>
          <w:rtl/>
        </w:rPr>
        <w:t> </w:t>
      </w:r>
      <w:r>
        <w:rPr>
          <w:rFonts w:hint="cs"/>
          <w:rtl/>
        </w:rPr>
        <w:t>"</w:t>
      </w:r>
      <w:r w:rsidRPr="00210887">
        <w:t>E</w:t>
      </w:r>
      <w:r>
        <w:rPr>
          <w:rFonts w:hint="cs"/>
          <w:rtl/>
        </w:rPr>
        <w:t>" و"</w:t>
      </w:r>
      <w:r w:rsidRPr="00210887">
        <w:t>O</w:t>
      </w:r>
      <w:r>
        <w:rPr>
          <w:rFonts w:hint="cs"/>
          <w:rtl/>
        </w:rPr>
        <w:t>" و"</w:t>
      </w:r>
      <w:r w:rsidRPr="00210887">
        <w:t>P</w:t>
      </w:r>
      <w:r>
        <w:rPr>
          <w:rFonts w:hint="cs"/>
          <w:rtl/>
        </w:rPr>
        <w:t>"</w:t>
      </w:r>
      <w:r w:rsidR="002D31F6">
        <w:rPr>
          <w:rFonts w:hint="cs"/>
          <w:rtl/>
        </w:rPr>
        <w:t>، واقتراح الاستعاضة عن الفئة</w:t>
      </w:r>
      <w:r w:rsidR="002D31F6">
        <w:rPr>
          <w:rFonts w:hint="eastAsia"/>
          <w:rtl/>
        </w:rPr>
        <w:t> </w:t>
      </w:r>
      <w:r w:rsidR="002D31F6">
        <w:rPr>
          <w:rFonts w:hint="cs"/>
          <w:rtl/>
        </w:rPr>
        <w:t>"</w:t>
      </w:r>
      <w:r w:rsidR="002D31F6" w:rsidRPr="00B824A3">
        <w:t>X</w:t>
      </w:r>
      <w:r w:rsidR="002D31F6">
        <w:rPr>
          <w:rFonts w:hint="cs"/>
          <w:rtl/>
        </w:rPr>
        <w:t>" بالفئتين الجديدتين</w:t>
      </w:r>
      <w:r w:rsidR="002D31F6">
        <w:rPr>
          <w:rFonts w:hint="eastAsia"/>
          <w:rtl/>
        </w:rPr>
        <w:t> </w:t>
      </w:r>
      <w:r w:rsidR="002D31F6">
        <w:rPr>
          <w:rFonts w:hint="cs"/>
          <w:rtl/>
        </w:rPr>
        <w:t>"</w:t>
      </w:r>
      <w:r w:rsidR="002D31F6" w:rsidRPr="00B824A3">
        <w:t>N</w:t>
      </w:r>
      <w:r w:rsidR="002D31F6">
        <w:rPr>
          <w:rFonts w:hint="cs"/>
          <w:rtl/>
        </w:rPr>
        <w:t>" و"</w:t>
      </w:r>
      <w:r w:rsidR="002D31F6" w:rsidRPr="00B824A3">
        <w:t>I</w:t>
      </w:r>
      <w:r w:rsidR="002D31F6">
        <w:rPr>
          <w:rFonts w:hint="cs"/>
          <w:rtl/>
        </w:rPr>
        <w:t>" (انظر الوثيقة</w:t>
      </w:r>
      <w:r w:rsidR="002D31F6">
        <w:rPr>
          <w:rFonts w:hint="eastAsia"/>
          <w:rtl/>
        </w:rPr>
        <w:t> </w:t>
      </w:r>
      <w:r w:rsidR="002D31F6" w:rsidRPr="002D31F6">
        <w:t>CWS/2/6</w:t>
      </w:r>
      <w:r w:rsidR="002D31F6">
        <w:rPr>
          <w:rFonts w:hint="cs"/>
          <w:rtl/>
        </w:rPr>
        <w:t>، والفقرات من</w:t>
      </w:r>
      <w:r w:rsidR="002D31F6">
        <w:rPr>
          <w:rFonts w:hint="eastAsia"/>
          <w:rtl/>
        </w:rPr>
        <w:t> </w:t>
      </w:r>
      <w:r w:rsidR="002D31F6">
        <w:rPr>
          <w:rFonts w:hint="cs"/>
          <w:rtl/>
        </w:rPr>
        <w:t>5 إلى</w:t>
      </w:r>
      <w:r w:rsidR="002D31F6">
        <w:rPr>
          <w:rFonts w:hint="eastAsia"/>
          <w:rtl/>
        </w:rPr>
        <w:t> </w:t>
      </w:r>
      <w:r w:rsidR="002D31F6">
        <w:rPr>
          <w:rFonts w:hint="cs"/>
          <w:rtl/>
        </w:rPr>
        <w:t>9 من الوثيقة</w:t>
      </w:r>
      <w:r w:rsidR="002D31F6">
        <w:rPr>
          <w:rFonts w:hint="eastAsia"/>
          <w:rtl/>
        </w:rPr>
        <w:t> </w:t>
      </w:r>
      <w:r w:rsidR="002D31F6" w:rsidRPr="002D31F6">
        <w:t>CWS/3/4</w:t>
      </w:r>
      <w:r w:rsidR="002D31F6">
        <w:rPr>
          <w:rFonts w:hint="cs"/>
          <w:rtl/>
        </w:rPr>
        <w:t>، والفقرات من</w:t>
      </w:r>
      <w:r w:rsidR="002D31F6">
        <w:rPr>
          <w:rFonts w:hint="eastAsia"/>
          <w:rtl/>
        </w:rPr>
        <w:t> </w:t>
      </w:r>
      <w:r w:rsidR="002D31F6">
        <w:rPr>
          <w:rFonts w:hint="cs"/>
          <w:rtl/>
        </w:rPr>
        <w:t>7 إلى</w:t>
      </w:r>
      <w:r w:rsidR="002D31F6">
        <w:rPr>
          <w:rFonts w:hint="eastAsia"/>
          <w:rtl/>
        </w:rPr>
        <w:t> </w:t>
      </w:r>
      <w:r w:rsidR="002D31F6">
        <w:rPr>
          <w:rFonts w:hint="cs"/>
          <w:rtl/>
        </w:rPr>
        <w:t>12 من الوثيقة</w:t>
      </w:r>
      <w:r w:rsidR="002D31F6">
        <w:rPr>
          <w:rFonts w:hint="eastAsia"/>
          <w:rtl/>
        </w:rPr>
        <w:t> </w:t>
      </w:r>
      <w:r w:rsidR="002D31F6" w:rsidRPr="002D31F6">
        <w:t>CWS/4/5</w:t>
      </w:r>
      <w:r w:rsidR="002D31F6">
        <w:rPr>
          <w:rFonts w:hint="cs"/>
          <w:rtl/>
        </w:rPr>
        <w:t>).</w:t>
      </w:r>
    </w:p>
    <w:p w:rsidR="009F513E" w:rsidRDefault="0043010A" w:rsidP="003159FD">
      <w:pPr>
        <w:pStyle w:val="NumberedParaAR"/>
      </w:pPr>
      <w:r>
        <w:rPr>
          <w:rFonts w:hint="cs"/>
          <w:rtl/>
        </w:rPr>
        <w:t xml:space="preserve">وفيما يخص </w:t>
      </w:r>
      <w:r w:rsidR="003159FD">
        <w:rPr>
          <w:rFonts w:hint="cs"/>
          <w:rtl/>
        </w:rPr>
        <w:t>الفئة</w:t>
      </w:r>
      <w:r w:rsidR="003159FD">
        <w:rPr>
          <w:rFonts w:hint="eastAsia"/>
          <w:rtl/>
        </w:rPr>
        <w:t> </w:t>
      </w:r>
      <w:r w:rsidR="003159FD">
        <w:rPr>
          <w:rFonts w:hint="cs"/>
          <w:rtl/>
        </w:rPr>
        <w:t>"</w:t>
      </w:r>
      <w:r w:rsidR="003159FD" w:rsidRPr="00B824A3">
        <w:t>X</w:t>
      </w:r>
      <w:r w:rsidR="003159FD">
        <w:rPr>
          <w:rFonts w:hint="cs"/>
          <w:rtl/>
        </w:rPr>
        <w:t>"، وبعد النظر بدقة في منافع ومساوئ الاستعاضة المقترحة، خلص أعضاء فرقة العمل إلى أنه من المستحسن الإبقاء على الفئة</w:t>
      </w:r>
      <w:r w:rsidR="003159FD">
        <w:rPr>
          <w:rFonts w:hint="eastAsia"/>
          <w:rtl/>
        </w:rPr>
        <w:t> </w:t>
      </w:r>
      <w:r w:rsidR="003159FD">
        <w:rPr>
          <w:rFonts w:hint="cs"/>
          <w:rtl/>
        </w:rPr>
        <w:t>"</w:t>
      </w:r>
      <w:r w:rsidR="003159FD" w:rsidRPr="00B824A3">
        <w:t>X</w:t>
      </w:r>
      <w:r w:rsidR="003159FD">
        <w:rPr>
          <w:rFonts w:hint="cs"/>
          <w:rtl/>
        </w:rPr>
        <w:t>" كما هي وعدم إضافة الفئتين الجديدتين</w:t>
      </w:r>
      <w:r w:rsidR="003159FD">
        <w:rPr>
          <w:rFonts w:hint="eastAsia"/>
          <w:rtl/>
        </w:rPr>
        <w:t> </w:t>
      </w:r>
      <w:r w:rsidR="003159FD">
        <w:rPr>
          <w:rFonts w:hint="cs"/>
          <w:rtl/>
        </w:rPr>
        <w:t>"</w:t>
      </w:r>
      <w:r w:rsidR="003159FD" w:rsidRPr="00B824A3">
        <w:t>N</w:t>
      </w:r>
      <w:r w:rsidR="003159FD">
        <w:rPr>
          <w:rFonts w:hint="cs"/>
          <w:rtl/>
        </w:rPr>
        <w:t>" و"</w:t>
      </w:r>
      <w:r w:rsidR="003159FD" w:rsidRPr="00B824A3">
        <w:t>I</w:t>
      </w:r>
      <w:r w:rsidR="003159FD">
        <w:rPr>
          <w:rFonts w:hint="cs"/>
          <w:rtl/>
        </w:rPr>
        <w:t>".</w:t>
      </w:r>
    </w:p>
    <w:p w:rsidR="003159FD" w:rsidRDefault="00396832" w:rsidP="00E429F8">
      <w:pPr>
        <w:pStyle w:val="NumberedParaAR"/>
      </w:pPr>
      <w:r>
        <w:rPr>
          <w:rFonts w:hint="cs"/>
          <w:rtl/>
        </w:rPr>
        <w:t>واتفقت اللجنة، في دورتها الثالثة المعقود</w:t>
      </w:r>
      <w:r w:rsidR="002E267A">
        <w:rPr>
          <w:rFonts w:hint="cs"/>
          <w:rtl/>
        </w:rPr>
        <w:t>ة</w:t>
      </w:r>
      <w:r>
        <w:rPr>
          <w:rFonts w:hint="cs"/>
          <w:rtl/>
        </w:rPr>
        <w:t xml:space="preserve"> في أبريل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2013، </w:t>
      </w:r>
      <w:r w:rsidR="00E428E1" w:rsidRPr="00E428E1">
        <w:rPr>
          <w:rFonts w:hint="cs"/>
          <w:rtl/>
        </w:rPr>
        <w:t>على أن يكون</w:t>
      </w:r>
      <w:r w:rsidR="00E428E1" w:rsidRPr="00E428E1">
        <w:rPr>
          <w:rtl/>
        </w:rPr>
        <w:t xml:space="preserve"> الجمع بين الفئتين</w:t>
      </w:r>
      <w:r w:rsidR="00E428E1">
        <w:rPr>
          <w:rFonts w:hint="eastAsia"/>
          <w:rtl/>
        </w:rPr>
        <w:t> </w:t>
      </w:r>
      <w:r w:rsidR="00E428E1" w:rsidRPr="00E428E1">
        <w:rPr>
          <w:rtl/>
        </w:rPr>
        <w:t>"</w:t>
      </w:r>
      <w:r w:rsidR="00E428E1" w:rsidRPr="00E428E1">
        <w:t>E</w:t>
      </w:r>
      <w:r w:rsidR="00E428E1" w:rsidRPr="00E428E1">
        <w:rPr>
          <w:rtl/>
        </w:rPr>
        <w:t>" و"</w:t>
      </w:r>
      <w:r w:rsidR="00E428E1" w:rsidRPr="00E428E1">
        <w:t>O</w:t>
      </w:r>
      <w:r w:rsidR="00E428E1" w:rsidRPr="00E428E1">
        <w:rPr>
          <w:rtl/>
        </w:rPr>
        <w:t xml:space="preserve">" </w:t>
      </w:r>
      <w:r w:rsidR="00E428E1" w:rsidRPr="00E428E1">
        <w:rPr>
          <w:rFonts w:hint="cs"/>
          <w:rtl/>
        </w:rPr>
        <w:t>وفئات أخرى خياريا</w:t>
      </w:r>
      <w:r w:rsidR="00E428E1">
        <w:rPr>
          <w:rFonts w:hint="cs"/>
          <w:rtl/>
        </w:rPr>
        <w:t xml:space="preserve"> (انظر الفقرة 35 من الوثيقة</w:t>
      </w:r>
      <w:r w:rsidR="00E428E1">
        <w:rPr>
          <w:rFonts w:hint="eastAsia"/>
          <w:rtl/>
        </w:rPr>
        <w:t> </w:t>
      </w:r>
      <w:r w:rsidR="00E428E1" w:rsidRPr="00E428E1">
        <w:t>CWS/3/14</w:t>
      </w:r>
      <w:r w:rsidR="00E428E1">
        <w:rPr>
          <w:rFonts w:hint="cs"/>
          <w:rtl/>
        </w:rPr>
        <w:t>)، ولكن</w:t>
      </w:r>
      <w:r w:rsidR="00D846A6">
        <w:rPr>
          <w:rFonts w:hint="cs"/>
          <w:rtl/>
        </w:rPr>
        <w:t>ّ</w:t>
      </w:r>
      <w:r w:rsidR="00E428E1">
        <w:rPr>
          <w:rFonts w:hint="cs"/>
          <w:rtl/>
        </w:rPr>
        <w:t xml:space="preserve"> فرقة العمل رأت، عند مناقشة هذه المسألة، أنه من الممكن تقديم توصيات أشدّ صرامة فيما يخص الفئة</w:t>
      </w:r>
      <w:r w:rsidR="00E428E1">
        <w:rPr>
          <w:rFonts w:hint="eastAsia"/>
          <w:rtl/>
        </w:rPr>
        <w:t> </w:t>
      </w:r>
      <w:r w:rsidR="00E428E1" w:rsidRPr="00E428E1">
        <w:rPr>
          <w:rtl/>
        </w:rPr>
        <w:t>"</w:t>
      </w:r>
      <w:r w:rsidR="00E428E1" w:rsidRPr="00E428E1">
        <w:t>O</w:t>
      </w:r>
      <w:r w:rsidR="00E428E1" w:rsidRPr="00E428E1">
        <w:rPr>
          <w:rtl/>
        </w:rPr>
        <w:t>"</w:t>
      </w:r>
      <w:r w:rsidR="00E428E1">
        <w:rPr>
          <w:rFonts w:hint="cs"/>
          <w:rtl/>
        </w:rPr>
        <w:t>. فقد اتفق أعضاء فرقة العمل على لزوم أن تكون الفئة</w:t>
      </w:r>
      <w:r w:rsidR="00E428E1">
        <w:rPr>
          <w:rFonts w:hint="eastAsia"/>
          <w:rtl/>
        </w:rPr>
        <w:t> </w:t>
      </w:r>
      <w:r w:rsidR="00E428E1" w:rsidRPr="00E428E1">
        <w:rPr>
          <w:rtl/>
        </w:rPr>
        <w:t>"</w:t>
      </w:r>
      <w:r w:rsidR="00E428E1" w:rsidRPr="00E428E1">
        <w:t>O</w:t>
      </w:r>
      <w:r w:rsidR="00E428E1" w:rsidRPr="00E428E1">
        <w:rPr>
          <w:rtl/>
        </w:rPr>
        <w:t>"</w:t>
      </w:r>
      <w:r w:rsidR="00E428E1">
        <w:rPr>
          <w:rFonts w:hint="cs"/>
          <w:rtl/>
        </w:rPr>
        <w:t xml:space="preserve"> </w:t>
      </w:r>
      <w:r w:rsidR="00E429F8">
        <w:rPr>
          <w:rFonts w:hint="cs"/>
          <w:rtl/>
        </w:rPr>
        <w:t>مصحوبة</w:t>
      </w:r>
      <w:r w:rsidR="00E428E1">
        <w:rPr>
          <w:rFonts w:hint="cs"/>
          <w:rtl/>
        </w:rPr>
        <w:t xml:space="preserve"> </w:t>
      </w:r>
      <w:r w:rsidR="00E429F8">
        <w:rPr>
          <w:rFonts w:hint="cs"/>
          <w:rtl/>
        </w:rPr>
        <w:t xml:space="preserve">دوما </w:t>
      </w:r>
      <w:r w:rsidR="00E428E1">
        <w:rPr>
          <w:rFonts w:hint="cs"/>
          <w:rtl/>
        </w:rPr>
        <w:t>بإحدى الفئات "</w:t>
      </w:r>
      <w:r w:rsidR="00E428E1" w:rsidRPr="00E428E1">
        <w:t>X</w:t>
      </w:r>
      <w:r w:rsidR="00E428E1">
        <w:rPr>
          <w:rFonts w:hint="cs"/>
          <w:rtl/>
        </w:rPr>
        <w:t>" أو "</w:t>
      </w:r>
      <w:r w:rsidR="00E428E1" w:rsidRPr="00E428E1">
        <w:t>Y</w:t>
      </w:r>
      <w:r w:rsidR="00E428E1">
        <w:rPr>
          <w:rFonts w:hint="cs"/>
          <w:rtl/>
        </w:rPr>
        <w:t>" أو "</w:t>
      </w:r>
      <w:r w:rsidR="00E428E1" w:rsidRPr="00E428E1">
        <w:t>A</w:t>
      </w:r>
      <w:r w:rsidR="00E428E1">
        <w:rPr>
          <w:rFonts w:hint="cs"/>
          <w:rtl/>
        </w:rPr>
        <w:t>" من أجل توفير معلومات كافية بشأن وجاهة المراجع المستشهد بها (انظر الفقرة</w:t>
      </w:r>
      <w:r w:rsidR="00E428E1">
        <w:rPr>
          <w:rFonts w:hint="eastAsia"/>
          <w:rtl/>
        </w:rPr>
        <w:t> </w:t>
      </w:r>
      <w:r w:rsidR="00E428E1">
        <w:rPr>
          <w:rFonts w:hint="cs"/>
          <w:rtl/>
        </w:rPr>
        <w:t xml:space="preserve">20 من مشروع </w:t>
      </w:r>
      <w:r w:rsidR="00E428E1">
        <w:rPr>
          <w:rFonts w:hint="cs"/>
          <w:rtl/>
          <w:lang w:bidi="ar-EG"/>
        </w:rPr>
        <w:t>معيار الويبو المراجع</w:t>
      </w:r>
      <w:r w:rsidR="00E428E1">
        <w:rPr>
          <w:rFonts w:hint="eastAsia"/>
          <w:rtl/>
          <w:lang w:bidi="ar-EG"/>
        </w:rPr>
        <w:t> </w:t>
      </w:r>
      <w:r w:rsidR="00E428E1">
        <w:rPr>
          <w:lang w:bidi="ar-EG"/>
        </w:rPr>
        <w:t>ST.14</w:t>
      </w:r>
      <w:r w:rsidR="00E428E1">
        <w:rPr>
          <w:rFonts w:hint="cs"/>
          <w:rtl/>
          <w:lang w:bidi="ar-EG"/>
        </w:rPr>
        <w:t>).</w:t>
      </w:r>
    </w:p>
    <w:p w:rsidR="004E51A5" w:rsidRDefault="004E51A5" w:rsidP="002E267A">
      <w:pPr>
        <w:pStyle w:val="NumberedParaAR"/>
      </w:pPr>
      <w:r>
        <w:rPr>
          <w:rFonts w:hint="cs"/>
          <w:rtl/>
        </w:rPr>
        <w:t xml:space="preserve">وفيما يخص </w:t>
      </w:r>
      <w:r w:rsidR="00DD0471">
        <w:rPr>
          <w:rtl/>
        </w:rPr>
        <w:t>الفئ</w:t>
      </w:r>
      <w:r w:rsidR="00DD0471">
        <w:rPr>
          <w:rFonts w:hint="cs"/>
          <w:rtl/>
        </w:rPr>
        <w:t>ة</w:t>
      </w:r>
      <w:r w:rsidR="00DD0471">
        <w:rPr>
          <w:rFonts w:hint="eastAsia"/>
          <w:rtl/>
        </w:rPr>
        <w:t> </w:t>
      </w:r>
      <w:r w:rsidR="00DD0471" w:rsidRPr="00E428E1">
        <w:rPr>
          <w:rtl/>
        </w:rPr>
        <w:t>"</w:t>
      </w:r>
      <w:r w:rsidR="00DD0471" w:rsidRPr="00E428E1">
        <w:t>E</w:t>
      </w:r>
      <w:r w:rsidR="00DD0471" w:rsidRPr="00E428E1">
        <w:rPr>
          <w:rtl/>
        </w:rPr>
        <w:t>"</w:t>
      </w:r>
      <w:r w:rsidR="00DD0471">
        <w:rPr>
          <w:rFonts w:hint="cs"/>
          <w:rtl/>
        </w:rPr>
        <w:t xml:space="preserve">، لم تتمكّن فرقة العمل من التوصل إلى توافق في الآراء بسبب </w:t>
      </w:r>
      <w:r w:rsidR="00E429F8">
        <w:rPr>
          <w:rFonts w:hint="cs"/>
          <w:rtl/>
        </w:rPr>
        <w:t>الاختلافات الكبيرة في ممارسات مكاتب الملكية الفكرية، والمطلوب من اللجنة هو النظر في الخيارات الثلاث التالية لتعريف هذه الفئة:</w:t>
      </w:r>
    </w:p>
    <w:p w:rsidR="00E429F8" w:rsidRDefault="00E429F8" w:rsidP="00E429F8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 xml:space="preserve">حذف </w:t>
      </w:r>
      <w:r w:rsidR="00A32B90">
        <w:rPr>
          <w:rFonts w:hint="cs"/>
          <w:rtl/>
        </w:rPr>
        <w:t xml:space="preserve">عبارة </w:t>
      </w:r>
      <w:r>
        <w:rPr>
          <w:rFonts w:hint="cs"/>
          <w:rtl/>
        </w:rPr>
        <w:t>"ولكن" وعدم إدراج أية توصيات بخصوص الجمع بين هذه الفئة وفئات أخرى، لتكون الصياغة كالتالي:</w:t>
      </w:r>
    </w:p>
    <w:p w:rsidR="00E429F8" w:rsidRPr="00E429F8" w:rsidRDefault="00E429F8" w:rsidP="00E429F8">
      <w:pPr>
        <w:pStyle w:val="NumberedParaAR"/>
        <w:numPr>
          <w:ilvl w:val="0"/>
          <w:numId w:val="0"/>
        </w:numPr>
        <w:ind w:left="1133"/>
        <w:rPr>
          <w:i/>
          <w:iCs/>
          <w:rtl/>
        </w:rPr>
      </w:pPr>
      <w:r w:rsidRPr="00E429F8">
        <w:rPr>
          <w:i/>
          <w:iCs/>
          <w:rtl/>
        </w:rPr>
        <w:t>الفئة</w:t>
      </w:r>
      <w:r w:rsidRPr="00E429F8">
        <w:rPr>
          <w:rFonts w:hint="cs"/>
          <w:i/>
          <w:iCs/>
          <w:rtl/>
        </w:rPr>
        <w:t> </w:t>
      </w:r>
      <w:r w:rsidRPr="00E429F8">
        <w:rPr>
          <w:i/>
          <w:iCs/>
          <w:rtl/>
        </w:rPr>
        <w:t>"</w:t>
      </w:r>
      <w:r w:rsidRPr="00E429F8">
        <w:rPr>
          <w:i/>
          <w:iCs/>
        </w:rPr>
        <w:t>E</w:t>
      </w:r>
      <w:r w:rsidRPr="00E429F8">
        <w:rPr>
          <w:i/>
          <w:iCs/>
          <w:rtl/>
        </w:rPr>
        <w:t xml:space="preserve">": وثيقة براءة سابقة كما هي محددة في القاعدة 1.33(ج) من اللائحة التنفيذية لمعاهدة التعاون بشأن البراءات، </w:t>
      </w:r>
      <w:r w:rsidRPr="00E429F8">
        <w:rPr>
          <w:i/>
          <w:iCs/>
          <w:strike/>
          <w:color w:val="FFFFFF" w:themeColor="background1"/>
          <w:highlight w:val="red"/>
          <w:rtl/>
        </w:rPr>
        <w:t>ولكن</w:t>
      </w:r>
      <w:r w:rsidRPr="00E429F8">
        <w:rPr>
          <w:i/>
          <w:iCs/>
          <w:color w:val="FFFFFF" w:themeColor="background1"/>
          <w:rtl/>
        </w:rPr>
        <w:t xml:space="preserve"> </w:t>
      </w:r>
      <w:r w:rsidRPr="00E429F8">
        <w:rPr>
          <w:i/>
          <w:iCs/>
          <w:rtl/>
        </w:rPr>
        <w:t>نشرت في تاريخ الإيداع الدولي أو بعده.</w:t>
      </w:r>
    </w:p>
    <w:p w:rsidR="00E429F8" w:rsidRDefault="00E429F8" w:rsidP="00A32B90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>
        <w:rPr>
          <w:rFonts w:hint="cs"/>
          <w:rtl/>
        </w:rPr>
        <w:t xml:space="preserve">حذف </w:t>
      </w:r>
      <w:r w:rsidR="00A32B90">
        <w:rPr>
          <w:rFonts w:hint="cs"/>
          <w:rtl/>
        </w:rPr>
        <w:t xml:space="preserve">عبارة </w:t>
      </w:r>
      <w:r>
        <w:rPr>
          <w:rFonts w:hint="cs"/>
          <w:rtl/>
        </w:rPr>
        <w:t xml:space="preserve">"ولكن" وإدراج </w:t>
      </w:r>
      <w:r w:rsidR="00A32B90">
        <w:rPr>
          <w:rFonts w:hint="cs"/>
          <w:rtl/>
        </w:rPr>
        <w:t>توصية مفادها أن</w:t>
      </w:r>
      <w:r>
        <w:rPr>
          <w:rFonts w:hint="cs"/>
          <w:rtl/>
        </w:rPr>
        <w:t xml:space="preserve"> الجمع بين </w:t>
      </w:r>
      <w:r w:rsidR="00A32B90">
        <w:rPr>
          <w:rtl/>
        </w:rPr>
        <w:t>الفئ</w:t>
      </w:r>
      <w:r w:rsidR="00A32B90">
        <w:rPr>
          <w:rFonts w:hint="cs"/>
          <w:rtl/>
        </w:rPr>
        <w:t>ة</w:t>
      </w:r>
      <w:r w:rsidR="00A32B90">
        <w:rPr>
          <w:rFonts w:hint="eastAsia"/>
          <w:rtl/>
        </w:rPr>
        <w:t> </w:t>
      </w:r>
      <w:r w:rsidR="00A32B90" w:rsidRPr="00E428E1">
        <w:rPr>
          <w:rtl/>
        </w:rPr>
        <w:t>"</w:t>
      </w:r>
      <w:r w:rsidR="00A32B90" w:rsidRPr="00E428E1">
        <w:t>E</w:t>
      </w:r>
      <w:r w:rsidR="00A32B90" w:rsidRPr="00E428E1">
        <w:rPr>
          <w:rtl/>
        </w:rPr>
        <w:t>"</w:t>
      </w:r>
      <w:r>
        <w:rPr>
          <w:rFonts w:hint="cs"/>
          <w:rtl/>
        </w:rPr>
        <w:t xml:space="preserve"> وفئات أخرى</w:t>
      </w:r>
      <w:r w:rsidR="00A32B90">
        <w:rPr>
          <w:rFonts w:hint="cs"/>
          <w:rtl/>
        </w:rPr>
        <w:t xml:space="preserve"> أمر خياري ("يجوز")</w:t>
      </w:r>
      <w:r>
        <w:rPr>
          <w:rFonts w:hint="cs"/>
          <w:rtl/>
        </w:rPr>
        <w:t>، لتكون الصياغة كالتالي:</w:t>
      </w:r>
    </w:p>
    <w:p w:rsidR="00E429F8" w:rsidRDefault="00A32B90" w:rsidP="001539C6">
      <w:pPr>
        <w:pStyle w:val="NumberedParaAR"/>
        <w:numPr>
          <w:ilvl w:val="0"/>
          <w:numId w:val="0"/>
        </w:numPr>
        <w:ind w:left="1133"/>
        <w:rPr>
          <w:i/>
          <w:iCs/>
          <w:rtl/>
        </w:rPr>
      </w:pPr>
      <w:r w:rsidRPr="00E429F8">
        <w:rPr>
          <w:i/>
          <w:iCs/>
          <w:rtl/>
        </w:rPr>
        <w:t>الفئة</w:t>
      </w:r>
      <w:r w:rsidRPr="00E429F8">
        <w:rPr>
          <w:rFonts w:hint="cs"/>
          <w:i/>
          <w:iCs/>
          <w:rtl/>
        </w:rPr>
        <w:t> </w:t>
      </w:r>
      <w:r w:rsidRPr="00E429F8">
        <w:rPr>
          <w:i/>
          <w:iCs/>
          <w:rtl/>
        </w:rPr>
        <w:t>"</w:t>
      </w:r>
      <w:r w:rsidRPr="00E429F8">
        <w:rPr>
          <w:i/>
          <w:iCs/>
        </w:rPr>
        <w:t>E</w:t>
      </w:r>
      <w:r w:rsidRPr="00E429F8">
        <w:rPr>
          <w:i/>
          <w:iCs/>
          <w:rtl/>
        </w:rPr>
        <w:t xml:space="preserve">": وثيقة براءة سابقة كما هي محددة في القاعدة 1.33(ج) من اللائحة التنفيذية لمعاهدة التعاون بشأن البراءات، </w:t>
      </w:r>
      <w:r w:rsidRPr="00E429F8">
        <w:rPr>
          <w:i/>
          <w:iCs/>
          <w:strike/>
          <w:color w:val="FFFFFF" w:themeColor="background1"/>
          <w:highlight w:val="red"/>
          <w:rtl/>
        </w:rPr>
        <w:t>ولكن</w:t>
      </w:r>
      <w:r w:rsidRPr="00E429F8">
        <w:rPr>
          <w:i/>
          <w:iCs/>
          <w:color w:val="FFFFFF" w:themeColor="background1"/>
          <w:rtl/>
        </w:rPr>
        <w:t xml:space="preserve"> </w:t>
      </w:r>
      <w:r w:rsidRPr="00E429F8">
        <w:rPr>
          <w:i/>
          <w:iCs/>
          <w:rtl/>
        </w:rPr>
        <w:t>نشرت في تاريخ الإيداع الدولي أو بعده</w:t>
      </w:r>
      <w:r w:rsidRPr="00C11CE2">
        <w:rPr>
          <w:i/>
          <w:iCs/>
          <w:highlight w:val="yellow"/>
          <w:rtl/>
        </w:rPr>
        <w:t>.</w:t>
      </w:r>
      <w:r w:rsidR="001539C6" w:rsidRPr="00C11CE2">
        <w:rPr>
          <w:rFonts w:hint="cs"/>
          <w:i/>
          <w:iCs/>
          <w:highlight w:val="yellow"/>
          <w:rtl/>
        </w:rPr>
        <w:t xml:space="preserve"> </w:t>
      </w:r>
      <w:r w:rsidR="001539C6" w:rsidRPr="00C11CE2">
        <w:rPr>
          <w:i/>
          <w:iCs/>
          <w:highlight w:val="yellow"/>
          <w:u w:val="single"/>
          <w:rtl/>
        </w:rPr>
        <w:t>ويجوز أن يكون الرمز "</w:t>
      </w:r>
      <w:r w:rsidR="001539C6" w:rsidRPr="00C11CE2">
        <w:rPr>
          <w:i/>
          <w:iCs/>
          <w:highlight w:val="yellow"/>
          <w:u w:val="single"/>
        </w:rPr>
        <w:t>E</w:t>
      </w:r>
      <w:r w:rsidR="001539C6" w:rsidRPr="00C11CE2">
        <w:rPr>
          <w:i/>
          <w:iCs/>
          <w:highlight w:val="yellow"/>
          <w:u w:val="single"/>
          <w:rtl/>
        </w:rPr>
        <w:t>" مصحوبا بواحدة من الفئات "</w:t>
      </w:r>
      <w:r w:rsidR="001539C6" w:rsidRPr="00C11CE2">
        <w:rPr>
          <w:i/>
          <w:iCs/>
          <w:highlight w:val="yellow"/>
          <w:u w:val="single"/>
        </w:rPr>
        <w:t>X</w:t>
      </w:r>
      <w:r w:rsidR="001539C6" w:rsidRPr="00C11CE2">
        <w:rPr>
          <w:i/>
          <w:iCs/>
          <w:highlight w:val="yellow"/>
          <w:u w:val="single"/>
          <w:rtl/>
        </w:rPr>
        <w:t>" أو "</w:t>
      </w:r>
      <w:r w:rsidR="001539C6" w:rsidRPr="00C11CE2">
        <w:rPr>
          <w:i/>
          <w:iCs/>
          <w:highlight w:val="yellow"/>
          <w:u w:val="single"/>
        </w:rPr>
        <w:t>Y</w:t>
      </w:r>
      <w:r w:rsidR="001539C6" w:rsidRPr="00C11CE2">
        <w:rPr>
          <w:i/>
          <w:iCs/>
          <w:highlight w:val="yellow"/>
          <w:u w:val="single"/>
          <w:rtl/>
        </w:rPr>
        <w:t>" أو "</w:t>
      </w:r>
      <w:r w:rsidR="001539C6" w:rsidRPr="00C11CE2">
        <w:rPr>
          <w:i/>
          <w:iCs/>
          <w:highlight w:val="yellow"/>
          <w:u w:val="single"/>
        </w:rPr>
        <w:t>A</w:t>
      </w:r>
      <w:r w:rsidR="001539C6" w:rsidRPr="00C11CE2">
        <w:rPr>
          <w:i/>
          <w:iCs/>
          <w:highlight w:val="yellow"/>
          <w:u w:val="single"/>
          <w:rtl/>
        </w:rPr>
        <w:t>"</w:t>
      </w:r>
    </w:p>
    <w:p w:rsidR="001539C6" w:rsidRDefault="001539C6" w:rsidP="00B849EA">
      <w:pPr>
        <w:pStyle w:val="NumberedParaAR"/>
        <w:keepNext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lastRenderedPageBreak/>
        <w:t>(ج)</w:t>
      </w:r>
      <w:r>
        <w:rPr>
          <w:rtl/>
        </w:rPr>
        <w:tab/>
      </w:r>
      <w:r>
        <w:rPr>
          <w:rFonts w:hint="cs"/>
          <w:rtl/>
        </w:rPr>
        <w:t xml:space="preserve">حذف عبارة "ولكن" وإدراج توصية تتسم بصرامة أكبر، دون فقدان طابعها الخياري، وتدعو إلى الجمع بين </w:t>
      </w:r>
      <w:r>
        <w:rPr>
          <w:rtl/>
        </w:rPr>
        <w:t>الفئ</w:t>
      </w:r>
      <w:r>
        <w:rPr>
          <w:rFonts w:hint="cs"/>
          <w:rtl/>
        </w:rPr>
        <w:t>ة</w:t>
      </w:r>
      <w:r>
        <w:rPr>
          <w:rFonts w:hint="eastAsia"/>
          <w:rtl/>
        </w:rPr>
        <w:t> </w:t>
      </w:r>
      <w:r w:rsidRPr="00E428E1">
        <w:rPr>
          <w:rtl/>
        </w:rPr>
        <w:t>"</w:t>
      </w:r>
      <w:r w:rsidRPr="00E428E1">
        <w:t>E</w:t>
      </w:r>
      <w:r w:rsidRPr="00E428E1">
        <w:rPr>
          <w:rtl/>
        </w:rPr>
        <w:t>"</w:t>
      </w:r>
      <w:r>
        <w:rPr>
          <w:rFonts w:hint="cs"/>
          <w:rtl/>
        </w:rPr>
        <w:t xml:space="preserve"> وفئات أخرى </w:t>
      </w:r>
      <w:r w:rsidR="00B849EA">
        <w:rPr>
          <w:rFonts w:hint="cs"/>
          <w:rtl/>
        </w:rPr>
        <w:t>("ويُفضَّل")</w:t>
      </w:r>
      <w:r>
        <w:rPr>
          <w:rFonts w:hint="cs"/>
          <w:rtl/>
        </w:rPr>
        <w:t>، لتكون الصياغة كالتالي:</w:t>
      </w:r>
    </w:p>
    <w:p w:rsidR="00B849EA" w:rsidRDefault="00B849EA" w:rsidP="001539C6">
      <w:pPr>
        <w:pStyle w:val="NumberedParaAR"/>
        <w:numPr>
          <w:ilvl w:val="0"/>
          <w:numId w:val="0"/>
        </w:numPr>
        <w:ind w:left="566"/>
        <w:rPr>
          <w:i/>
          <w:iCs/>
          <w:u w:val="single"/>
          <w:rtl/>
        </w:rPr>
      </w:pPr>
      <w:r w:rsidRPr="00E429F8">
        <w:rPr>
          <w:i/>
          <w:iCs/>
          <w:rtl/>
        </w:rPr>
        <w:t>الفئة</w:t>
      </w:r>
      <w:r w:rsidRPr="00E429F8">
        <w:rPr>
          <w:rFonts w:hint="cs"/>
          <w:i/>
          <w:iCs/>
          <w:rtl/>
        </w:rPr>
        <w:t> </w:t>
      </w:r>
      <w:r w:rsidRPr="00E429F8">
        <w:rPr>
          <w:i/>
          <w:iCs/>
          <w:rtl/>
        </w:rPr>
        <w:t>"</w:t>
      </w:r>
      <w:r w:rsidRPr="00E429F8">
        <w:rPr>
          <w:i/>
          <w:iCs/>
        </w:rPr>
        <w:t>E</w:t>
      </w:r>
      <w:r w:rsidRPr="00E429F8">
        <w:rPr>
          <w:i/>
          <w:iCs/>
          <w:rtl/>
        </w:rPr>
        <w:t xml:space="preserve">": وثيقة براءة سابقة كما هي محددة في القاعدة 1.33(ج) من اللائحة التنفيذية لمعاهدة التعاون بشأن البراءات، </w:t>
      </w:r>
      <w:r w:rsidRPr="00E429F8">
        <w:rPr>
          <w:i/>
          <w:iCs/>
          <w:strike/>
          <w:color w:val="FFFFFF" w:themeColor="background1"/>
          <w:highlight w:val="red"/>
          <w:rtl/>
        </w:rPr>
        <w:t>ولكن</w:t>
      </w:r>
      <w:r w:rsidRPr="00E429F8">
        <w:rPr>
          <w:i/>
          <w:iCs/>
          <w:color w:val="FFFFFF" w:themeColor="background1"/>
          <w:rtl/>
        </w:rPr>
        <w:t xml:space="preserve"> </w:t>
      </w:r>
      <w:r w:rsidRPr="00E429F8">
        <w:rPr>
          <w:i/>
          <w:iCs/>
          <w:rtl/>
        </w:rPr>
        <w:t>نشرت في تاريخ الإيداع الدولي أو بعده</w:t>
      </w:r>
      <w:r w:rsidRPr="00C11CE2">
        <w:rPr>
          <w:i/>
          <w:iCs/>
          <w:highlight w:val="yellow"/>
          <w:rtl/>
        </w:rPr>
        <w:t>.</w:t>
      </w:r>
      <w:r w:rsidRPr="00C11CE2">
        <w:rPr>
          <w:rFonts w:hint="cs"/>
          <w:i/>
          <w:iCs/>
          <w:highlight w:val="yellow"/>
          <w:rtl/>
        </w:rPr>
        <w:t xml:space="preserve"> </w:t>
      </w:r>
      <w:r w:rsidRPr="00C11CE2">
        <w:rPr>
          <w:i/>
          <w:iCs/>
          <w:highlight w:val="yellow"/>
          <w:u w:val="single"/>
          <w:rtl/>
        </w:rPr>
        <w:t>وي</w:t>
      </w:r>
      <w:r w:rsidRPr="00C11CE2">
        <w:rPr>
          <w:rFonts w:hint="cs"/>
          <w:i/>
          <w:iCs/>
          <w:highlight w:val="yellow"/>
          <w:u w:val="single"/>
          <w:rtl/>
        </w:rPr>
        <w:t>ُفضَّل</w:t>
      </w:r>
      <w:r w:rsidRPr="00C11CE2">
        <w:rPr>
          <w:i/>
          <w:iCs/>
          <w:highlight w:val="yellow"/>
          <w:u w:val="single"/>
          <w:rtl/>
        </w:rPr>
        <w:t xml:space="preserve"> أن يكون الرمز "</w:t>
      </w:r>
      <w:r w:rsidRPr="00C11CE2">
        <w:rPr>
          <w:i/>
          <w:iCs/>
          <w:highlight w:val="yellow"/>
          <w:u w:val="single"/>
        </w:rPr>
        <w:t>E</w:t>
      </w:r>
      <w:r w:rsidRPr="00C11CE2">
        <w:rPr>
          <w:i/>
          <w:iCs/>
          <w:highlight w:val="yellow"/>
          <w:u w:val="single"/>
          <w:rtl/>
        </w:rPr>
        <w:t>" مصحوبا بواحدة من الفئات "</w:t>
      </w:r>
      <w:r w:rsidRPr="00C11CE2">
        <w:rPr>
          <w:i/>
          <w:iCs/>
          <w:highlight w:val="yellow"/>
          <w:u w:val="single"/>
        </w:rPr>
        <w:t>X</w:t>
      </w:r>
      <w:r w:rsidRPr="00C11CE2">
        <w:rPr>
          <w:i/>
          <w:iCs/>
          <w:highlight w:val="yellow"/>
          <w:u w:val="single"/>
          <w:rtl/>
        </w:rPr>
        <w:t>" أو "</w:t>
      </w:r>
      <w:r w:rsidRPr="00C11CE2">
        <w:rPr>
          <w:i/>
          <w:iCs/>
          <w:highlight w:val="yellow"/>
          <w:u w:val="single"/>
        </w:rPr>
        <w:t>Y</w:t>
      </w:r>
      <w:r w:rsidRPr="00C11CE2">
        <w:rPr>
          <w:i/>
          <w:iCs/>
          <w:highlight w:val="yellow"/>
          <w:u w:val="single"/>
          <w:rtl/>
        </w:rPr>
        <w:t>" أو "</w:t>
      </w:r>
      <w:r w:rsidRPr="00C11CE2">
        <w:rPr>
          <w:i/>
          <w:iCs/>
          <w:highlight w:val="yellow"/>
          <w:u w:val="single"/>
        </w:rPr>
        <w:t>A</w:t>
      </w:r>
      <w:r w:rsidRPr="00C11CE2">
        <w:rPr>
          <w:i/>
          <w:iCs/>
          <w:highlight w:val="yellow"/>
          <w:u w:val="single"/>
          <w:rtl/>
        </w:rPr>
        <w:t>"</w:t>
      </w:r>
    </w:p>
    <w:p w:rsidR="00B849EA" w:rsidRDefault="00B849EA" w:rsidP="00D846A6">
      <w:pPr>
        <w:pStyle w:val="NumberedParaAR"/>
      </w:pPr>
      <w:r>
        <w:rPr>
          <w:rFonts w:hint="cs"/>
          <w:rtl/>
        </w:rPr>
        <w:t>ويُجسِّد مشروع المعيار المراجع الوارد في المرفق الخيار الثالث المُدرج في الفقرة</w:t>
      </w:r>
      <w:r w:rsidR="00D846A6">
        <w:rPr>
          <w:rFonts w:hint="eastAsia"/>
          <w:rtl/>
        </w:rPr>
        <w:t> </w:t>
      </w:r>
      <w:r w:rsidR="00D846A6">
        <w:rPr>
          <w:rFonts w:hint="cs"/>
          <w:rtl/>
        </w:rPr>
        <w:t>9(ج) أعلاه، بما يتفق مع التوجيه المُقدم من اللجنة (انظر الفقرة 8 أعلاه) وقد حظي بتوافق للآراء ضمن فرقة العمل في مرحلة ما من مناقشاتها.</w:t>
      </w:r>
    </w:p>
    <w:p w:rsidR="00D846A6" w:rsidRDefault="00D846A6" w:rsidP="00D846A6">
      <w:pPr>
        <w:pStyle w:val="NumberedParaAR"/>
      </w:pPr>
      <w:r>
        <w:rPr>
          <w:rFonts w:hint="cs"/>
          <w:rtl/>
        </w:rPr>
        <w:t>كما أعدت فرقة العمل تعريفا مراجعا للفئة "</w:t>
      </w:r>
      <w:r w:rsidRPr="00D846A6">
        <w:t>P</w:t>
      </w:r>
      <w:r>
        <w:rPr>
          <w:rFonts w:hint="cs"/>
          <w:rtl/>
        </w:rPr>
        <w:t>" بغرض توسيع نطاقه ليشمل الوثائق المنشورة قبل تاريخ الإيداع (الدولي) ولكن في تاريخ الأولية المطالب به في الطلب أو بعد ذلك التاريخ.</w:t>
      </w:r>
    </w:p>
    <w:p w:rsidR="00D846A6" w:rsidRPr="00D846A6" w:rsidRDefault="00D846A6" w:rsidP="002B658C">
      <w:pPr>
        <w:pStyle w:val="Heading3AR"/>
        <w:rPr>
          <w:rtl/>
          <w:lang w:bidi="ar-EG"/>
        </w:rPr>
      </w:pPr>
      <w:r w:rsidRPr="00D846A6">
        <w:rPr>
          <w:rFonts w:hint="cs"/>
          <w:rtl/>
          <w:lang w:bidi="ar-EG"/>
        </w:rPr>
        <w:t>سندات غير البراءات</w:t>
      </w:r>
    </w:p>
    <w:p w:rsidR="00D846A6" w:rsidRDefault="00A90FFC" w:rsidP="009920F6">
      <w:pPr>
        <w:pStyle w:val="NumberedParaAR"/>
      </w:pPr>
      <w:r>
        <w:rPr>
          <w:rFonts w:hint="cs"/>
          <w:rtl/>
        </w:rPr>
        <w:t xml:space="preserve">عقب القرار المشار إليه في الفقرة 4 أعلاه، أعدت </w:t>
      </w:r>
      <w:r>
        <w:rPr>
          <w:rFonts w:hint="cs"/>
          <w:rtl/>
          <w:lang w:bidi="ar-EG"/>
        </w:rPr>
        <w:t>فرقة العمل المعنية بالمعيار</w:t>
      </w:r>
      <w:r>
        <w:rPr>
          <w:rFonts w:hint="eastAsia"/>
          <w:rtl/>
          <w:lang w:bidi="ar-EG"/>
        </w:rPr>
        <w:t> </w:t>
      </w:r>
      <w:r>
        <w:rPr>
          <w:lang w:bidi="ar-EG"/>
        </w:rPr>
        <w:t>ST.14</w:t>
      </w:r>
      <w:r w:rsidR="009920F6">
        <w:rPr>
          <w:rFonts w:hint="cs"/>
          <w:rtl/>
          <w:lang w:bidi="ar-EG"/>
        </w:rPr>
        <w:t xml:space="preserve"> اقتراحا بمراجعة توصيات تحديد سندات غير البراءات المستشهد بها. وفيما يلي التغييرات الرئيسية التي اقترحتها فرقة العمل:</w:t>
      </w:r>
    </w:p>
    <w:p w:rsidR="009920F6" w:rsidRDefault="009920F6" w:rsidP="009920F6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 xml:space="preserve">إدراج توصيات بخصوص الاستشهاد بالوثائق </w:t>
      </w:r>
      <w:r w:rsidR="005149E9">
        <w:rPr>
          <w:rFonts w:hint="cs"/>
          <w:rtl/>
        </w:rPr>
        <w:t>المتعدّدة المؤلفين؛</w:t>
      </w:r>
    </w:p>
    <w:p w:rsidR="005149E9" w:rsidRDefault="005149E9" w:rsidP="009920F6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 w:rsidR="004F0DF2">
        <w:rPr>
          <w:rFonts w:hint="cs"/>
          <w:rtl/>
        </w:rPr>
        <w:t>و</w:t>
      </w:r>
      <w:r>
        <w:rPr>
          <w:rFonts w:hint="cs"/>
          <w:rtl/>
        </w:rPr>
        <w:t>إدراج توصيات بخصوص الاستشهاد بالوثائق الصادرة عن منظمات تحديد المعايير؛</w:t>
      </w:r>
    </w:p>
    <w:p w:rsidR="005149E9" w:rsidRDefault="005149E9" w:rsidP="004F0DF2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(ج)</w:t>
      </w:r>
      <w:r>
        <w:rPr>
          <w:rtl/>
        </w:rPr>
        <w:tab/>
      </w:r>
      <w:r w:rsidR="004F0DF2">
        <w:rPr>
          <w:rFonts w:hint="cs"/>
          <w:rtl/>
        </w:rPr>
        <w:t>وإدراج توصيات لبيان نسق محتويات المنشورات، مثل نص أو ملف سمعي أو فيديو أو ملف متعدّد الوسائط؛</w:t>
      </w:r>
    </w:p>
    <w:p w:rsidR="004F0DF2" w:rsidRDefault="004F0DF2" w:rsidP="004F0DF2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(د)</w:t>
      </w:r>
      <w:r>
        <w:rPr>
          <w:rtl/>
        </w:rPr>
        <w:tab/>
      </w:r>
      <w:r>
        <w:rPr>
          <w:rFonts w:hint="cs"/>
          <w:rtl/>
        </w:rPr>
        <w:t>وتقديم توصيات مفصّلة لبيان مصدر وموقع الوثيقة المستشهد بها؛</w:t>
      </w:r>
    </w:p>
    <w:p w:rsidR="004F0DF2" w:rsidRDefault="004F0DF2" w:rsidP="004F0DF2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(ه)</w:t>
      </w:r>
      <w:r>
        <w:rPr>
          <w:rtl/>
        </w:rPr>
        <w:tab/>
      </w:r>
      <w:r>
        <w:rPr>
          <w:rFonts w:hint="cs"/>
          <w:rtl/>
        </w:rPr>
        <w:t xml:space="preserve">وتقديم توصيات بخصوص سندات غير البراءات المستشهد بها </w:t>
      </w:r>
      <w:r w:rsidR="0010597E">
        <w:rPr>
          <w:rFonts w:hint="cs"/>
          <w:rtl/>
        </w:rPr>
        <w:t>بلغة غير الإنكليزية أو لغة غير اللغة التي أعِد بها تقرير البحث؛</w:t>
      </w:r>
    </w:p>
    <w:p w:rsidR="00583083" w:rsidRDefault="0010597E" w:rsidP="004F0DF2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(و)</w:t>
      </w:r>
      <w:r>
        <w:rPr>
          <w:rtl/>
        </w:rPr>
        <w:tab/>
      </w:r>
      <w:r>
        <w:rPr>
          <w:rFonts w:hint="cs"/>
          <w:rtl/>
        </w:rPr>
        <w:t>وإدخال بعض التغييرات التحريرية.</w:t>
      </w:r>
    </w:p>
    <w:p w:rsidR="00583083" w:rsidRDefault="00583083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10597E" w:rsidRPr="0010597E" w:rsidRDefault="0010597E" w:rsidP="002B658C">
      <w:pPr>
        <w:pStyle w:val="Heading2AR"/>
        <w:rPr>
          <w:rtl/>
        </w:rPr>
      </w:pPr>
      <w:r w:rsidRPr="0010597E">
        <w:rPr>
          <w:rFonts w:hint="cs"/>
          <w:rtl/>
        </w:rPr>
        <w:lastRenderedPageBreak/>
        <w:t>مشروع معيار الويبو المراجع</w:t>
      </w:r>
      <w:r w:rsidRPr="0010597E">
        <w:rPr>
          <w:rFonts w:hint="eastAsia"/>
          <w:rtl/>
        </w:rPr>
        <w:t> </w:t>
      </w:r>
      <w:r w:rsidRPr="0010597E">
        <w:t>ST.14</w:t>
      </w:r>
    </w:p>
    <w:p w:rsidR="0010597E" w:rsidRDefault="0010597E" w:rsidP="0010597E">
      <w:pPr>
        <w:pStyle w:val="NumberedParaAR"/>
      </w:pPr>
      <w:r>
        <w:rPr>
          <w:rFonts w:hint="cs"/>
          <w:rtl/>
        </w:rPr>
        <w:t xml:space="preserve">يُقدَم مشروع </w:t>
      </w:r>
      <w:r w:rsidRPr="0010597E">
        <w:rPr>
          <w:rFonts w:hint="cs"/>
          <w:rtl/>
          <w:lang w:bidi="ar-EG"/>
        </w:rPr>
        <w:t>معيار الويبو المراجع</w:t>
      </w:r>
      <w:r w:rsidRPr="0010597E">
        <w:rPr>
          <w:rFonts w:hint="eastAsia"/>
          <w:rtl/>
          <w:lang w:bidi="ar-EG"/>
        </w:rPr>
        <w:t> </w:t>
      </w:r>
      <w:r w:rsidRPr="0010597E">
        <w:t>ST.14</w:t>
      </w:r>
      <w:r>
        <w:rPr>
          <w:rFonts w:hint="cs"/>
          <w:rtl/>
        </w:rPr>
        <w:t>، الذي أعدته فرقة العمل، كي تنظر فيه اللجنة وتوافق عليه، بالصيغة الوارد بها في مرفق هذه الوثيقة.</w:t>
      </w:r>
    </w:p>
    <w:p w:rsidR="0010597E" w:rsidRDefault="00691DFB" w:rsidP="0010597E">
      <w:pPr>
        <w:pStyle w:val="DecisionParaAR"/>
      </w:pPr>
      <w:r>
        <w:rPr>
          <w:rFonts w:hint="cs"/>
          <w:rtl/>
        </w:rPr>
        <w:t xml:space="preserve">إن </w:t>
      </w:r>
      <w:r w:rsidR="0010597E">
        <w:rPr>
          <w:rFonts w:hint="cs"/>
          <w:rtl/>
        </w:rPr>
        <w:t>اللجنة مدعوة</w:t>
      </w:r>
      <w:r w:rsidR="0010597E">
        <w:rPr>
          <w:rtl/>
        </w:rPr>
        <w:t>ٌ</w:t>
      </w:r>
      <w:r w:rsidR="0010597E">
        <w:rPr>
          <w:rFonts w:hint="cs"/>
          <w:rtl/>
        </w:rPr>
        <w:t xml:space="preserve"> إلى ما يلي:</w:t>
      </w:r>
    </w:p>
    <w:p w:rsidR="0010597E" w:rsidRDefault="0010597E" w:rsidP="0010597E">
      <w:pPr>
        <w:pStyle w:val="DecisionParaAR"/>
        <w:numPr>
          <w:ilvl w:val="0"/>
          <w:numId w:val="0"/>
        </w:numPr>
        <w:ind w:left="6236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>الإحاطة علما بمضمون هذه الوثيقة؛</w:t>
      </w:r>
    </w:p>
    <w:p w:rsidR="0010597E" w:rsidRDefault="0010597E" w:rsidP="00583083">
      <w:pPr>
        <w:pStyle w:val="DecisionParaAR"/>
        <w:numPr>
          <w:ilvl w:val="0"/>
          <w:numId w:val="0"/>
        </w:numPr>
        <w:ind w:left="6236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>
        <w:rPr>
          <w:rFonts w:hint="cs"/>
          <w:rtl/>
        </w:rPr>
        <w:t>والنظر في الخيارات الثلاثة لت</w:t>
      </w:r>
      <w:r w:rsidR="00583083">
        <w:rPr>
          <w:rFonts w:hint="cs"/>
          <w:rtl/>
        </w:rPr>
        <w:t>عريف</w:t>
      </w:r>
      <w:r>
        <w:rPr>
          <w:rFonts w:hint="cs"/>
          <w:rtl/>
        </w:rPr>
        <w:t xml:space="preserve"> </w:t>
      </w:r>
      <w:r w:rsidRPr="0010597E">
        <w:rPr>
          <w:rtl/>
        </w:rPr>
        <w:t>الفئة</w:t>
      </w:r>
      <w:r w:rsidRPr="0010597E">
        <w:rPr>
          <w:rFonts w:hint="cs"/>
          <w:rtl/>
        </w:rPr>
        <w:t> </w:t>
      </w:r>
      <w:r w:rsidRPr="0010597E">
        <w:rPr>
          <w:rtl/>
        </w:rPr>
        <w:t>"</w:t>
      </w:r>
      <w:r w:rsidRPr="0010597E">
        <w:t>E</w:t>
      </w:r>
      <w:r w:rsidRPr="0010597E">
        <w:rPr>
          <w:rtl/>
        </w:rPr>
        <w:t>"</w:t>
      </w:r>
      <w:r w:rsidR="00583083">
        <w:rPr>
          <w:rFonts w:hint="cs"/>
          <w:rtl/>
        </w:rPr>
        <w:t>، كما وردت في الفقرة</w:t>
      </w:r>
      <w:r w:rsidR="00583083">
        <w:rPr>
          <w:rFonts w:hint="eastAsia"/>
          <w:rtl/>
        </w:rPr>
        <w:t> </w:t>
      </w:r>
      <w:r w:rsidR="00583083">
        <w:rPr>
          <w:rFonts w:hint="cs"/>
          <w:rtl/>
        </w:rPr>
        <w:t xml:space="preserve">9 أعلاه، والبتّ في الخيار الذي ينبغي أن يُدرج في </w:t>
      </w:r>
      <w:r w:rsidR="00583083" w:rsidRPr="00583083">
        <w:rPr>
          <w:rFonts w:hint="cs"/>
          <w:rtl/>
          <w:lang w:bidi="ar-EG"/>
        </w:rPr>
        <w:t>معيار الويبو المراجع</w:t>
      </w:r>
      <w:r w:rsidR="00583083" w:rsidRPr="00583083">
        <w:rPr>
          <w:rFonts w:hint="eastAsia"/>
          <w:rtl/>
          <w:lang w:bidi="ar-EG"/>
        </w:rPr>
        <w:t> </w:t>
      </w:r>
      <w:r w:rsidR="00583083" w:rsidRPr="00583083">
        <w:t>ST.14</w:t>
      </w:r>
      <w:r w:rsidR="00583083">
        <w:rPr>
          <w:rFonts w:hint="cs"/>
          <w:rtl/>
        </w:rPr>
        <w:t>؛</w:t>
      </w:r>
    </w:p>
    <w:p w:rsidR="00583083" w:rsidRDefault="00583083" w:rsidP="00583083">
      <w:pPr>
        <w:pStyle w:val="DecisionParaAR"/>
        <w:numPr>
          <w:ilvl w:val="0"/>
          <w:numId w:val="0"/>
        </w:numPr>
        <w:spacing w:after="480"/>
        <w:ind w:left="6237"/>
        <w:rPr>
          <w:rtl/>
        </w:rPr>
      </w:pPr>
      <w:r>
        <w:rPr>
          <w:rFonts w:hint="cs"/>
          <w:rtl/>
        </w:rPr>
        <w:t>(ج)</w:t>
      </w:r>
      <w:r>
        <w:rPr>
          <w:rtl/>
        </w:rPr>
        <w:tab/>
      </w:r>
      <w:r>
        <w:rPr>
          <w:rFonts w:hint="cs"/>
          <w:rtl/>
        </w:rPr>
        <w:t>والنظر في المراجعة المقترحة ل</w:t>
      </w:r>
      <w:r w:rsidRPr="00583083">
        <w:rPr>
          <w:rFonts w:hint="cs"/>
          <w:rtl/>
          <w:lang w:bidi="ar-EG"/>
        </w:rPr>
        <w:t>معيار الويبو المراجع</w:t>
      </w:r>
      <w:r w:rsidRPr="00583083">
        <w:rPr>
          <w:rFonts w:hint="eastAsia"/>
          <w:rtl/>
          <w:lang w:bidi="ar-EG"/>
        </w:rPr>
        <w:t> </w:t>
      </w:r>
      <w:r w:rsidRPr="00583083">
        <w:t>ST.14</w:t>
      </w:r>
      <w:r>
        <w:rPr>
          <w:rFonts w:hint="cs"/>
          <w:rtl/>
        </w:rPr>
        <w:t xml:space="preserve"> والموافقة عليها، بالصيغة الواردة في مرفق هذه الوثيقة.</w:t>
      </w:r>
    </w:p>
    <w:p w:rsidR="00583083" w:rsidRPr="002D31F6" w:rsidRDefault="00583083" w:rsidP="00583083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sectPr w:rsidR="00583083" w:rsidRPr="002D31F6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D6A" w:rsidRDefault="00063D6A">
      <w:r>
        <w:separator/>
      </w:r>
    </w:p>
  </w:endnote>
  <w:endnote w:type="continuationSeparator" w:id="0">
    <w:p w:rsidR="00063D6A" w:rsidRDefault="0006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D6A" w:rsidRDefault="00063D6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63D6A" w:rsidRDefault="00063D6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8D5779">
    <w:r>
      <w:t>CWS</w:t>
    </w:r>
    <w:r w:rsidR="002F77FC">
      <w:t>/</w:t>
    </w:r>
    <w:r w:rsidR="008D5779">
      <w:t>4</w:t>
    </w:r>
    <w:r w:rsidR="007205B1">
      <w:t>BIS</w:t>
    </w:r>
    <w:r w:rsidR="00643816">
      <w:t>/3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E53E30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6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3D6A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597E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884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70AB"/>
    <w:rsid w:val="0015009D"/>
    <w:rsid w:val="001519FB"/>
    <w:rsid w:val="00151B18"/>
    <w:rsid w:val="00151BF2"/>
    <w:rsid w:val="00151C68"/>
    <w:rsid w:val="001520DD"/>
    <w:rsid w:val="00152374"/>
    <w:rsid w:val="001539C6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0887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B658C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1F6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67A"/>
    <w:rsid w:val="002E28F3"/>
    <w:rsid w:val="002E7615"/>
    <w:rsid w:val="002E7A2A"/>
    <w:rsid w:val="002E7F16"/>
    <w:rsid w:val="002F1425"/>
    <w:rsid w:val="002F2EC8"/>
    <w:rsid w:val="002F46E3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59FD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832"/>
    <w:rsid w:val="00396E82"/>
    <w:rsid w:val="00397EA7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10A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1A5"/>
    <w:rsid w:val="004E5C1A"/>
    <w:rsid w:val="004E6C8C"/>
    <w:rsid w:val="004E6CC7"/>
    <w:rsid w:val="004E776F"/>
    <w:rsid w:val="004F0DF2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9E9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792"/>
    <w:rsid w:val="00554A75"/>
    <w:rsid w:val="00555631"/>
    <w:rsid w:val="0055621D"/>
    <w:rsid w:val="0055764D"/>
    <w:rsid w:val="00560C6A"/>
    <w:rsid w:val="00560F85"/>
    <w:rsid w:val="005610A0"/>
    <w:rsid w:val="005619F3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083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69E8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381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1DFB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0A1D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5A1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4C2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20F6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118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747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2B90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0FFC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4A3"/>
    <w:rsid w:val="00B827E6"/>
    <w:rsid w:val="00B82A28"/>
    <w:rsid w:val="00B82B8D"/>
    <w:rsid w:val="00B82C97"/>
    <w:rsid w:val="00B849EA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1CE2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895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B93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1C6E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4610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7FD"/>
    <w:rsid w:val="00D83CD3"/>
    <w:rsid w:val="00D83E51"/>
    <w:rsid w:val="00D846A6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47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0F7"/>
    <w:rsid w:val="00E2662B"/>
    <w:rsid w:val="00E26736"/>
    <w:rsid w:val="00E268AC"/>
    <w:rsid w:val="00E27986"/>
    <w:rsid w:val="00E27D23"/>
    <w:rsid w:val="00E30A8A"/>
    <w:rsid w:val="00E31BC7"/>
    <w:rsid w:val="00E31E7F"/>
    <w:rsid w:val="00E346A7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28E1"/>
    <w:rsid w:val="00E429F8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3E30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2A18"/>
    <w:rsid w:val="00E94468"/>
    <w:rsid w:val="00E94A0E"/>
    <w:rsid w:val="00E96226"/>
    <w:rsid w:val="00E96DDE"/>
    <w:rsid w:val="00EA04AE"/>
    <w:rsid w:val="00EA062F"/>
    <w:rsid w:val="00EA17A9"/>
    <w:rsid w:val="00EA1C1F"/>
    <w:rsid w:val="00EA311B"/>
    <w:rsid w:val="00EA36CA"/>
    <w:rsid w:val="00EA3D9C"/>
    <w:rsid w:val="00EA43C0"/>
    <w:rsid w:val="00EA4CB0"/>
    <w:rsid w:val="00EA566F"/>
    <w:rsid w:val="00EB2208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5F78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730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730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AC80-EE3F-4C84-9CB5-E88C5432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CWS/4BIS/3 (Arabic)</vt:lpstr>
    </vt:vector>
  </TitlesOfParts>
  <Company>World Intellectual Property Organization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CWS/4BIS/3 (Arabic)</dc:title>
  <dc:subject>مراجعة معيار الويبو ST.14</dc:subject>
  <dc:creator>وثيقة من إعداد الأمانة</dc:creator>
  <cp:keywords>CWS</cp:keywords>
  <cp:lastModifiedBy>SCHLESSINGER Caroline</cp:lastModifiedBy>
  <cp:revision>3</cp:revision>
  <cp:lastPrinted>2016-02-29T10:19:00Z</cp:lastPrinted>
  <dcterms:created xsi:type="dcterms:W3CDTF">2016-02-29T15:58:00Z</dcterms:created>
  <dcterms:modified xsi:type="dcterms:W3CDTF">2016-02-29T15:59:00Z</dcterms:modified>
</cp:coreProperties>
</file>