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4F674E">
            <w:pPr>
              <w:pStyle w:val="DocumentCodeAR"/>
              <w:bidi/>
              <w:rPr>
                <w:rtl/>
              </w:rPr>
            </w:pPr>
            <w:r>
              <w:t>CWS</w:t>
            </w:r>
            <w:r w:rsidR="00100F97">
              <w:t>/</w:t>
            </w:r>
            <w:r w:rsidR="008D5779">
              <w:t>4</w:t>
            </w:r>
            <w:r w:rsidR="007205B1">
              <w:t>BIS</w:t>
            </w:r>
            <w:r w:rsidR="00B6101C" w:rsidRPr="00B6101C">
              <w:t>/</w:t>
            </w:r>
            <w:r w:rsidR="004F674E">
              <w:t>8</w:t>
            </w:r>
          </w:p>
        </w:tc>
      </w:tr>
      <w:tr w:rsidR="001667B6" w:rsidTr="00BF164F">
        <w:tc>
          <w:tcPr>
            <w:tcW w:w="9571" w:type="dxa"/>
            <w:gridSpan w:val="3"/>
          </w:tcPr>
          <w:p w:rsidR="001667B6" w:rsidRPr="00B6101C" w:rsidRDefault="00B6101C" w:rsidP="004F674E">
            <w:pPr>
              <w:pStyle w:val="DocumentLanguageAR"/>
              <w:bidi/>
              <w:rPr>
                <w:rtl/>
              </w:rPr>
            </w:pPr>
            <w:r w:rsidRPr="00B6101C">
              <w:rPr>
                <w:rFonts w:hint="cs"/>
                <w:rtl/>
              </w:rPr>
              <w:t xml:space="preserve">الأصل: </w:t>
            </w:r>
            <w:r w:rsidR="004F674E">
              <w:rPr>
                <w:rFonts w:hint="cs"/>
                <w:rtl/>
              </w:rPr>
              <w:t>بالإنكليزية</w:t>
            </w:r>
          </w:p>
        </w:tc>
      </w:tr>
      <w:tr w:rsidR="001667B6" w:rsidTr="00BF164F">
        <w:tc>
          <w:tcPr>
            <w:tcW w:w="9571" w:type="dxa"/>
            <w:gridSpan w:val="3"/>
          </w:tcPr>
          <w:p w:rsidR="001667B6" w:rsidRPr="00B6101C" w:rsidRDefault="00B6101C" w:rsidP="004F674E">
            <w:pPr>
              <w:pStyle w:val="DocumentDateAR"/>
              <w:bidi/>
              <w:rPr>
                <w:rtl/>
              </w:rPr>
            </w:pPr>
            <w:r w:rsidRPr="00B6101C">
              <w:rPr>
                <w:rFonts w:hint="cs"/>
                <w:rtl/>
              </w:rPr>
              <w:t xml:space="preserve">التاريخ: </w:t>
            </w:r>
            <w:r w:rsidR="004F674E">
              <w:rPr>
                <w:rFonts w:hint="cs"/>
                <w:rtl/>
              </w:rPr>
              <w:t>23 فبراير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915BE">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r w:rsidR="007205B1">
        <w:rPr>
          <w:rFonts w:ascii="Cambria Math" w:hAnsi="Cambria Math" w:hint="cs"/>
          <w:rtl/>
        </w:rPr>
        <w:t xml:space="preserve"> </w:t>
      </w:r>
      <w:r w:rsidR="007915BE">
        <w:rPr>
          <w:rFonts w:ascii="Cambria Math" w:hAnsi="Cambria Math" w:hint="cs"/>
          <w:rtl/>
        </w:rPr>
        <w:t>المجتمعة</w:t>
      </w:r>
      <w:r w:rsidR="007205B1">
        <w:rPr>
          <w:rFonts w:ascii="Cambria Math" w:hAnsi="Cambria Math" w:hint="cs"/>
          <w:rtl/>
        </w:rPr>
        <w:t xml:space="preserve"> </w:t>
      </w:r>
      <w:r w:rsidR="007915BE">
        <w:rPr>
          <w:rFonts w:ascii="Cambria Math" w:hAnsi="Cambria Math" w:hint="cs"/>
          <w:rtl/>
        </w:rPr>
        <w:t>مجددا</w:t>
      </w:r>
    </w:p>
    <w:p w:rsidR="00D61541" w:rsidRPr="00D61541" w:rsidRDefault="00D61541" w:rsidP="007205B1">
      <w:pPr>
        <w:pStyle w:val="MeetingDatesAR"/>
        <w:bidi/>
        <w:rPr>
          <w:rtl/>
        </w:rPr>
      </w:pPr>
      <w:r w:rsidRPr="00D61541">
        <w:rPr>
          <w:rFonts w:hint="cs"/>
          <w:rtl/>
        </w:rPr>
        <w:t xml:space="preserve">جنيف، من </w:t>
      </w:r>
      <w:r w:rsidR="007205B1">
        <w:rPr>
          <w:rFonts w:hint="cs"/>
          <w:rtl/>
        </w:rPr>
        <w:t>21</w:t>
      </w:r>
      <w:r w:rsidR="00100F97">
        <w:rPr>
          <w:rFonts w:hint="cs"/>
          <w:rtl/>
        </w:rPr>
        <w:t xml:space="preserve"> إلى </w:t>
      </w:r>
      <w:r w:rsidR="007205B1">
        <w:rPr>
          <w:rFonts w:hint="cs"/>
          <w:rtl/>
        </w:rPr>
        <w:t>24</w:t>
      </w:r>
      <w:r w:rsidR="00783D11">
        <w:rPr>
          <w:rFonts w:hint="cs"/>
          <w:rtl/>
        </w:rPr>
        <w:t xml:space="preserve"> </w:t>
      </w:r>
      <w:r w:rsidR="007205B1">
        <w:rPr>
          <w:rFonts w:hint="cs"/>
          <w:rtl/>
        </w:rPr>
        <w:t xml:space="preserve">مارس </w:t>
      </w:r>
      <w:r w:rsidR="008D5779">
        <w:rPr>
          <w:rFonts w:hint="cs"/>
          <w:rtl/>
        </w:rPr>
        <w:t>201</w:t>
      </w:r>
      <w:r w:rsidR="007205B1">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F674E" w:rsidP="00FB7EC9">
      <w:pPr>
        <w:pStyle w:val="DocumentTitleAR"/>
        <w:bidi/>
        <w:rPr>
          <w:rtl/>
        </w:rPr>
      </w:pPr>
      <w:r w:rsidRPr="004F674E">
        <w:rPr>
          <w:rtl/>
        </w:rPr>
        <w:t>تقرير مرحلي عن المهمة رقم 44 من فرقة العمل المعنية بقوائم التسلسل</w:t>
      </w:r>
    </w:p>
    <w:p w:rsidR="00D61541" w:rsidRPr="00D61541" w:rsidRDefault="004F674E"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Pr="001C3E6F" w:rsidRDefault="006247E6" w:rsidP="006247E6">
      <w:pPr>
        <w:pStyle w:val="NumberedParaAR"/>
      </w:pPr>
      <w:r w:rsidRPr="006247E6">
        <w:rPr>
          <w:rtl/>
        </w:rPr>
        <w:t>وافقت اللجنة المعنية بمعايير الويبو، في دورتها الأولى التي عقدت في أكتوبر 2010، على استحداث المهمة رقم 44 لإعداد توصية بشأن عرض قوائم تسلسل النوويدات والحوامض الأمينية باستخدام لغة الترميز الموسعة (</w:t>
      </w:r>
      <w:r w:rsidRPr="006247E6">
        <w:t>XML</w:t>
      </w:r>
      <w:r w:rsidRPr="006247E6">
        <w:rPr>
          <w:rtl/>
        </w:rPr>
        <w:t>) لاعتمادها معيارا للويبو.</w:t>
      </w:r>
      <w:r>
        <w:rPr>
          <w:rFonts w:hint="cs"/>
          <w:rtl/>
        </w:rPr>
        <w:t xml:space="preserve"> و</w:t>
      </w:r>
      <w:r w:rsidRPr="006247E6">
        <w:rPr>
          <w:rtl/>
        </w:rPr>
        <w:t xml:space="preserve">قررت </w:t>
      </w:r>
      <w:r>
        <w:rPr>
          <w:rFonts w:hint="cs"/>
          <w:rtl/>
        </w:rPr>
        <w:t>ال</w:t>
      </w:r>
      <w:r w:rsidRPr="006247E6">
        <w:rPr>
          <w:rtl/>
        </w:rPr>
        <w:t>لجنة أيضا إنشاء فرقة عمل لتتولى تلك المهمة (فرقة العمل المعنية بقوائم التسلسل). وعُيّن المكتب الأوروبي للبراءات مشرفا على فرقة العمل.</w:t>
      </w:r>
      <w:r>
        <w:rPr>
          <w:rFonts w:hint="cs"/>
          <w:rtl/>
        </w:rPr>
        <w:t xml:space="preserve"> (انظر الفقرات 27 إلى 30 من الوثيقة </w:t>
      </w:r>
      <w:r>
        <w:t>CWS/1/10</w:t>
      </w:r>
      <w:r>
        <w:rPr>
          <w:rFonts w:hint="cs"/>
          <w:rtl/>
          <w:lang w:val="fr-CH"/>
        </w:rPr>
        <w:t>، والمهمة رقم 44 في الوثيقة</w:t>
      </w:r>
      <w:r>
        <w:rPr>
          <w:rFonts w:hint="eastAsia"/>
          <w:rtl/>
          <w:lang w:val="fr-CH"/>
        </w:rPr>
        <w:t> </w:t>
      </w:r>
      <w:r>
        <w:t>CWS/3/12</w:t>
      </w:r>
      <w:r>
        <w:rPr>
          <w:rFonts w:hint="cs"/>
          <w:rtl/>
          <w:lang w:val="fr-CH"/>
        </w:rPr>
        <w:t>).</w:t>
      </w:r>
    </w:p>
    <w:p w:rsidR="001C3E6F" w:rsidRDefault="001C3E6F" w:rsidP="001C3E6F">
      <w:pPr>
        <w:pStyle w:val="NumberedParaAR"/>
      </w:pPr>
      <w:r w:rsidRPr="001C3E6F">
        <w:rPr>
          <w:rtl/>
        </w:rPr>
        <w:t xml:space="preserve">وأعد </w:t>
      </w:r>
      <w:r>
        <w:rPr>
          <w:rFonts w:hint="cs"/>
          <w:rtl/>
        </w:rPr>
        <w:t xml:space="preserve">المكتب الأوروبي للبراءات، بصفته </w:t>
      </w:r>
      <w:r w:rsidRPr="001C3E6F">
        <w:rPr>
          <w:rtl/>
        </w:rPr>
        <w:t>المشرف على فرقة العمل المعنية بقوائم التسلسل</w:t>
      </w:r>
      <w:r>
        <w:rPr>
          <w:rFonts w:hint="cs"/>
          <w:rtl/>
        </w:rPr>
        <w:t>،</w:t>
      </w:r>
      <w:r w:rsidRPr="001C3E6F">
        <w:rPr>
          <w:rtl/>
        </w:rPr>
        <w:t xml:space="preserve"> تقريرا مرحليا بشأن العمل الذي أنجزته الفرقة إلى جانب خريطة طريق ويرد نصه في مرفق هذه الوثيقة لتنظر فيه اللجنة.</w:t>
      </w:r>
      <w:r>
        <w:rPr>
          <w:rFonts w:hint="cs"/>
          <w:rtl/>
        </w:rPr>
        <w:t xml:space="preserve"> وفي وقت كتابة هذه الوثيقة، تعتزم </w:t>
      </w:r>
      <w:r w:rsidRPr="001C3E6F">
        <w:rPr>
          <w:rtl/>
        </w:rPr>
        <w:t xml:space="preserve">فرقة العمل المعنية بقوائم التسلسل مواصلة الجولة </w:t>
      </w:r>
      <w:r>
        <w:rPr>
          <w:rFonts w:hint="cs"/>
          <w:rtl/>
        </w:rPr>
        <w:t xml:space="preserve">الثامنة </w:t>
      </w:r>
      <w:r w:rsidRPr="001C3E6F">
        <w:rPr>
          <w:rtl/>
        </w:rPr>
        <w:t>من المناقشات بغرض استكمال التقييم التقني لعملية الانتقال من المعيار </w:t>
      </w:r>
      <w:r w:rsidRPr="001C3E6F">
        <w:t>ST.25</w:t>
      </w:r>
      <w:r w:rsidRPr="001C3E6F">
        <w:rPr>
          <w:rtl/>
        </w:rPr>
        <w:t xml:space="preserve"> إلى المعيار </w:t>
      </w:r>
      <w:r w:rsidRPr="001C3E6F">
        <w:t>ST.26</w:t>
      </w:r>
      <w:r>
        <w:rPr>
          <w:rFonts w:hint="cs"/>
          <w:rtl/>
        </w:rPr>
        <w:t>، بما في ذلك استكمال وثيقة التوجيه.</w:t>
      </w:r>
    </w:p>
    <w:p w:rsidR="001C3E6F" w:rsidRDefault="001C3E6F" w:rsidP="008E4526">
      <w:pPr>
        <w:pStyle w:val="NumberedParaAR"/>
      </w:pPr>
      <w:r>
        <w:rPr>
          <w:rFonts w:hint="cs"/>
          <w:rtl/>
        </w:rPr>
        <w:t xml:space="preserve">وإذا اعتمدت اللجنة معيار الويبو الجديد </w:t>
      </w:r>
      <w:r>
        <w:t>ST.26</w:t>
      </w:r>
      <w:r>
        <w:rPr>
          <w:rFonts w:hint="cs"/>
          <w:rtl/>
          <w:lang w:val="fr-CH"/>
        </w:rPr>
        <w:t xml:space="preserve">، تعيّن تغيير الوصف الحالي للمهمة رقم 44 لأداء العمل المتبقي الذي تجريه </w:t>
      </w:r>
      <w:r w:rsidRPr="001C3E6F">
        <w:rPr>
          <w:rtl/>
        </w:rPr>
        <w:t>فرقة العمل المعنية بقوائم التسلسل</w:t>
      </w:r>
      <w:r>
        <w:rPr>
          <w:rFonts w:hint="cs"/>
          <w:rtl/>
        </w:rPr>
        <w:t xml:space="preserve">. ويقترح المكتب الدولي الصياغة الجديدة للمهمة رقم 44 كما يلي "المهمة 44: إعداد توصيات للعملية الانتقالية </w:t>
      </w:r>
      <w:r w:rsidRPr="001C3E6F">
        <w:rPr>
          <w:rtl/>
        </w:rPr>
        <w:t>من المعيار </w:t>
      </w:r>
      <w:r w:rsidRPr="001C3E6F">
        <w:t>ST.25</w:t>
      </w:r>
      <w:r w:rsidRPr="001C3E6F">
        <w:rPr>
          <w:rtl/>
        </w:rPr>
        <w:t xml:space="preserve"> إلى المعيار </w:t>
      </w:r>
      <w:r w:rsidRPr="001C3E6F">
        <w:t>ST.26</w:t>
      </w:r>
      <w:r w:rsidR="008E4526">
        <w:rPr>
          <w:rFonts w:hint="cs"/>
          <w:rtl/>
        </w:rPr>
        <w:t xml:space="preserve">؛ واقتراح مراجعة معيار الويبو </w:t>
      </w:r>
      <w:r w:rsidR="008E4526">
        <w:t>ST.26</w:t>
      </w:r>
      <w:r w:rsidR="008E4526">
        <w:rPr>
          <w:rFonts w:hint="cs"/>
          <w:rtl/>
          <w:lang w:val="fr-CH"/>
        </w:rPr>
        <w:t xml:space="preserve">، عند الحاجة". ويقترح المكتب الدولي أيضا أن تتولى </w:t>
      </w:r>
      <w:r w:rsidR="008E4526" w:rsidRPr="001C3E6F">
        <w:rPr>
          <w:rtl/>
        </w:rPr>
        <w:t>فرقة العمل المعنية بقوائم التسلسل</w:t>
      </w:r>
      <w:r w:rsidR="008E4526">
        <w:rPr>
          <w:rFonts w:hint="cs"/>
          <w:rtl/>
        </w:rPr>
        <w:t xml:space="preserve"> أيضا المهمة رقم 44 المعدَّلة.</w:t>
      </w:r>
    </w:p>
    <w:p w:rsidR="00487AB5" w:rsidRDefault="00487AB5" w:rsidP="00024C0B">
      <w:pPr>
        <w:pStyle w:val="DecisionParaAR"/>
        <w:keepNext/>
      </w:pPr>
      <w:r>
        <w:rPr>
          <w:rFonts w:hint="cs"/>
          <w:rtl/>
        </w:rPr>
        <w:lastRenderedPageBreak/>
        <w:t>إ</w:t>
      </w:r>
      <w:r w:rsidRPr="00487AB5">
        <w:rPr>
          <w:rtl/>
        </w:rPr>
        <w:t xml:space="preserve">ن </w:t>
      </w:r>
      <w:r>
        <w:rPr>
          <w:rFonts w:hint="cs"/>
          <w:rtl/>
        </w:rPr>
        <w:t>ال</w:t>
      </w:r>
      <w:r w:rsidRPr="00487AB5">
        <w:rPr>
          <w:rtl/>
        </w:rPr>
        <w:t>لجنة مدعوة إلى ما يلي:</w:t>
      </w:r>
    </w:p>
    <w:p w:rsidR="00487AB5" w:rsidRDefault="00487AB5" w:rsidP="00487AB5">
      <w:pPr>
        <w:pStyle w:val="DecisionParaAR"/>
        <w:numPr>
          <w:ilvl w:val="0"/>
          <w:numId w:val="0"/>
        </w:numPr>
        <w:ind w:left="5534"/>
        <w:rPr>
          <w:rtl/>
        </w:rPr>
      </w:pPr>
      <w:r w:rsidRPr="00487AB5">
        <w:rPr>
          <w:rtl/>
        </w:rPr>
        <w:t>(أ)</w:t>
      </w:r>
      <w:r>
        <w:rPr>
          <w:rFonts w:hint="cs"/>
          <w:rtl/>
        </w:rPr>
        <w:tab/>
      </w:r>
      <w:r w:rsidRPr="00487AB5">
        <w:rPr>
          <w:rtl/>
        </w:rPr>
        <w:t>أن تحيط علما بالتقرير المرحلي بشأن عمل فرقة العمل المعنية بقوائم التسلسل، الوارد في مرفق هذه الوثيقة؛</w:t>
      </w:r>
    </w:p>
    <w:p w:rsidR="008E4526" w:rsidRDefault="00487AB5" w:rsidP="00487AB5">
      <w:pPr>
        <w:pStyle w:val="DecisionParaAR"/>
        <w:numPr>
          <w:ilvl w:val="0"/>
          <w:numId w:val="0"/>
        </w:numPr>
        <w:ind w:left="5534"/>
        <w:rPr>
          <w:rtl/>
        </w:rPr>
      </w:pPr>
      <w:r w:rsidRPr="00487AB5">
        <w:rPr>
          <w:rtl/>
        </w:rPr>
        <w:t>(ب)</w:t>
      </w:r>
      <w:r>
        <w:rPr>
          <w:rFonts w:hint="cs"/>
          <w:rtl/>
        </w:rPr>
        <w:tab/>
      </w:r>
      <w:r w:rsidRPr="00487AB5">
        <w:rPr>
          <w:rtl/>
        </w:rPr>
        <w:t>و</w:t>
      </w:r>
      <w:r w:rsidR="00A66A03">
        <w:rPr>
          <w:rFonts w:hint="cs"/>
          <w:rtl/>
        </w:rPr>
        <w:t xml:space="preserve">أن </w:t>
      </w:r>
      <w:r w:rsidRPr="00487AB5">
        <w:rPr>
          <w:rtl/>
        </w:rPr>
        <w:t xml:space="preserve">تنظر في </w:t>
      </w:r>
      <w:r>
        <w:rPr>
          <w:rFonts w:hint="cs"/>
          <w:rtl/>
        </w:rPr>
        <w:t xml:space="preserve">تعديل المهمة رقم 44 وإسناد المهمة رقم 44 المعدَّلة إلى </w:t>
      </w:r>
      <w:r w:rsidRPr="00487AB5">
        <w:rPr>
          <w:rtl/>
        </w:rPr>
        <w:t>فرقة العمل المعنية بقوائم التسلسل</w:t>
      </w:r>
      <w:r>
        <w:rPr>
          <w:rFonts w:hint="cs"/>
          <w:rtl/>
        </w:rPr>
        <w:t xml:space="preserve">، وتوافق على ذلك، كما </w:t>
      </w:r>
      <w:r w:rsidRPr="00487AB5">
        <w:rPr>
          <w:rtl/>
        </w:rPr>
        <w:t xml:space="preserve">هو </w:t>
      </w:r>
      <w:r>
        <w:rPr>
          <w:rFonts w:hint="cs"/>
          <w:rtl/>
        </w:rPr>
        <w:t xml:space="preserve">مقترح </w:t>
      </w:r>
      <w:r w:rsidRPr="00487AB5">
        <w:rPr>
          <w:rtl/>
        </w:rPr>
        <w:t xml:space="preserve">في </w:t>
      </w:r>
      <w:r>
        <w:rPr>
          <w:rFonts w:hint="cs"/>
          <w:rtl/>
        </w:rPr>
        <w:t>الفقرة 3 أعلاه.</w:t>
      </w:r>
    </w:p>
    <w:p w:rsidR="00024C0B" w:rsidRDefault="00024C0B" w:rsidP="00024C0B">
      <w:pPr>
        <w:pStyle w:val="EndofDocumentAR"/>
      </w:pPr>
      <w:r>
        <w:rPr>
          <w:rFonts w:hint="cs"/>
          <w:rtl/>
        </w:rPr>
        <w:t>[يلي ذلك المرفق]</w:t>
      </w: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4E" w:rsidRDefault="004F674E">
      <w:r>
        <w:separator/>
      </w:r>
    </w:p>
  </w:endnote>
  <w:endnote w:type="continuationSeparator" w:id="0">
    <w:p w:rsidR="004F674E" w:rsidRDefault="004F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4E" w:rsidRDefault="004F674E" w:rsidP="009622BF">
      <w:pPr>
        <w:bidi/>
      </w:pPr>
      <w:bookmarkStart w:id="0" w:name="OLE_LINK1"/>
      <w:bookmarkStart w:id="1" w:name="OLE_LINK2"/>
      <w:r>
        <w:separator/>
      </w:r>
      <w:bookmarkEnd w:id="0"/>
      <w:bookmarkEnd w:id="1"/>
    </w:p>
  </w:footnote>
  <w:footnote w:type="continuationSeparator" w:id="0">
    <w:p w:rsidR="004F674E" w:rsidRDefault="004F674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024C0B">
    <w:r>
      <w:t>CWS</w:t>
    </w:r>
    <w:r w:rsidR="002F77FC">
      <w:t>/</w:t>
    </w:r>
    <w:r w:rsidR="008D5779">
      <w:t>4</w:t>
    </w:r>
    <w:r w:rsidR="007205B1">
      <w:t>BIS</w:t>
    </w:r>
    <w:r w:rsidR="002F77FC">
      <w:t>/</w:t>
    </w:r>
    <w:r w:rsidR="00024C0B">
      <w:t>8</w:t>
    </w:r>
  </w:p>
  <w:p w:rsidR="002F77FC" w:rsidRDefault="002F77FC" w:rsidP="00D61541">
    <w:r>
      <w:fldChar w:fldCharType="begin"/>
    </w:r>
    <w:r>
      <w:instrText xml:space="preserve"> PAGE  \* MERGEFORMAT </w:instrText>
    </w:r>
    <w:r>
      <w:fldChar w:fldCharType="separate"/>
    </w:r>
    <w:r w:rsidR="00513DBE">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74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C0B"/>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3E6F"/>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87AB5"/>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74E"/>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DBE"/>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7E6"/>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4526"/>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A03"/>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A1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13DBE"/>
    <w:rPr>
      <w:rFonts w:ascii="Tahoma" w:hAnsi="Tahoma" w:cs="Tahoma"/>
      <w:sz w:val="16"/>
      <w:szCs w:val="16"/>
    </w:rPr>
  </w:style>
  <w:style w:type="character" w:customStyle="1" w:styleId="BalloonTextChar">
    <w:name w:val="Balloon Text Char"/>
    <w:basedOn w:val="DefaultParagraphFont"/>
    <w:link w:val="BalloonText"/>
    <w:rsid w:val="00513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13DBE"/>
    <w:rPr>
      <w:rFonts w:ascii="Tahoma" w:hAnsi="Tahoma" w:cs="Tahoma"/>
      <w:sz w:val="16"/>
      <w:szCs w:val="16"/>
    </w:rPr>
  </w:style>
  <w:style w:type="character" w:customStyle="1" w:styleId="BalloonTextChar">
    <w:name w:val="Balloon Text Char"/>
    <w:basedOn w:val="DefaultParagraphFont"/>
    <w:link w:val="BalloonText"/>
    <w:rsid w:val="00513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CWS/4BIS/-- (Arabic)</vt:lpstr>
    </vt:vector>
  </TitlesOfParts>
  <Company>World Intellectual Property Organization</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CWS/4BIS/8 (Arabic)</dc:title>
  <dc:subject>تقرير مرحلي عن المهمة رقم 44 من فرقة العمل المعنية بقوائم </dc:subject>
  <dc:creator>WIPO</dc:creator>
  <cp:keywords>CWS</cp:keywords>
  <cp:lastModifiedBy>SCHLESSINGER Caroline</cp:lastModifiedBy>
  <cp:revision>3</cp:revision>
  <cp:lastPrinted>2011-07-08T12:30:00Z</cp:lastPrinted>
  <dcterms:created xsi:type="dcterms:W3CDTF">2016-03-07T13:52:00Z</dcterms:created>
  <dcterms:modified xsi:type="dcterms:W3CDTF">2016-03-07T13:53:00Z</dcterms:modified>
</cp:coreProperties>
</file>