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61A" w:rsidRDefault="00B21887" w:rsidP="00946D25">
      <w:pPr>
        <w:pStyle w:val="Heading1"/>
        <w:spacing w:before="0"/>
        <w:rPr>
          <w:rtl/>
        </w:rPr>
      </w:pPr>
      <w:r w:rsidRPr="00B21887">
        <w:rPr>
          <w:rtl/>
        </w:rPr>
        <w:t xml:space="preserve">توصيات بشأن أحكام الانتقال من معيار الويبو </w:t>
      </w:r>
      <w:r w:rsidRPr="00B21887">
        <w:t>ST.25</w:t>
      </w:r>
      <w:r w:rsidRPr="00B21887">
        <w:rPr>
          <w:rtl/>
        </w:rPr>
        <w:t xml:space="preserve"> إلى </w:t>
      </w:r>
      <w:r w:rsidRPr="00B21887">
        <w:t>ST.26</w:t>
      </w:r>
    </w:p>
    <w:p w:rsidR="00B21887" w:rsidRPr="00B21887" w:rsidRDefault="00B21887" w:rsidP="00946D25">
      <w:pPr>
        <w:pStyle w:val="PreparedbyAR"/>
        <w:bidi/>
        <w:spacing w:before="0" w:after="240"/>
        <w:rPr>
          <w:lang w:bidi="ar-EG"/>
        </w:rPr>
      </w:pPr>
      <w:r>
        <w:rPr>
          <w:rFonts w:hint="cs"/>
          <w:rtl/>
          <w:lang w:bidi="ar-EG"/>
        </w:rPr>
        <w:t xml:space="preserve">من إعداد المكتب الأوروبي للبراءات </w:t>
      </w:r>
      <w:r>
        <w:rPr>
          <w:lang w:bidi="ar-EG"/>
        </w:rPr>
        <w:t>(EPO)</w:t>
      </w:r>
    </w:p>
    <w:p w:rsidR="00B21887" w:rsidRPr="00B21887" w:rsidRDefault="00B21887" w:rsidP="00946D25">
      <w:pPr>
        <w:pStyle w:val="Heading2"/>
        <w:spacing w:after="0"/>
        <w:rPr>
          <w:rtl/>
          <w:lang w:val="en-US" w:bidi="ar-EG"/>
        </w:rPr>
      </w:pPr>
      <w:r>
        <w:rPr>
          <w:rFonts w:hint="cs"/>
          <w:rtl/>
          <w:lang w:bidi="ar-EG"/>
        </w:rPr>
        <w:t>معلومات أساسية</w:t>
      </w:r>
    </w:p>
    <w:p w:rsidR="00A5070F" w:rsidRDefault="00CB1C22" w:rsidP="00A5070F">
      <w:pPr>
        <w:pStyle w:val="NumberedParaAR"/>
      </w:pPr>
      <w:r w:rsidRPr="00945712">
        <w:rPr>
          <w:rtl/>
        </w:rPr>
        <w:t xml:space="preserve">التمست </w:t>
      </w:r>
      <w:r w:rsidR="00A5070F">
        <w:rPr>
          <w:rFonts w:hint="cs"/>
          <w:rtl/>
          <w:lang w:bidi="ar-EG"/>
        </w:rPr>
        <w:t>ال</w:t>
      </w:r>
      <w:r>
        <w:rPr>
          <w:rtl/>
        </w:rPr>
        <w:t>لجنة</w:t>
      </w:r>
      <w:r>
        <w:rPr>
          <w:rFonts w:hint="cs"/>
          <w:rtl/>
        </w:rPr>
        <w:t xml:space="preserve"> </w:t>
      </w:r>
      <w:r w:rsidR="00A5070F">
        <w:rPr>
          <w:rFonts w:hint="cs"/>
          <w:rtl/>
        </w:rPr>
        <w:t>المعنية ب</w:t>
      </w:r>
      <w:r>
        <w:rPr>
          <w:rFonts w:hint="cs"/>
          <w:rtl/>
        </w:rPr>
        <w:t xml:space="preserve">معايير </w:t>
      </w:r>
      <w:r w:rsidR="00A5070F">
        <w:rPr>
          <w:rFonts w:hint="cs"/>
          <w:rtl/>
        </w:rPr>
        <w:t xml:space="preserve">الويبو (لجنة المعايير) </w:t>
      </w:r>
      <w:r w:rsidRPr="00945712">
        <w:rPr>
          <w:rtl/>
        </w:rPr>
        <w:t xml:space="preserve">من فرقة العمل المعنية بقوائم التسلسل </w:t>
      </w:r>
      <w:r w:rsidR="00A5070F">
        <w:rPr>
          <w:lang w:bidi="ar-EG"/>
        </w:rPr>
        <w:t>(SEQL)</w:t>
      </w:r>
      <w:r w:rsidR="00A5070F">
        <w:rPr>
          <w:rFonts w:hint="cs"/>
          <w:rtl/>
          <w:lang w:bidi="ar-EG"/>
        </w:rPr>
        <w:t xml:space="preserve"> </w:t>
      </w:r>
      <w:r w:rsidRPr="00945712">
        <w:rPr>
          <w:rtl/>
        </w:rPr>
        <w:t xml:space="preserve">تقديم اقتراح بشأن أحكام الانتقال من معيار الويبو </w:t>
      </w:r>
      <w:r w:rsidRPr="00945712">
        <w:t>ST.25</w:t>
      </w:r>
      <w:r w:rsidRPr="00945712">
        <w:rPr>
          <w:rtl/>
        </w:rPr>
        <w:t xml:space="preserve"> إلى </w:t>
      </w:r>
      <w:r w:rsidRPr="00945712">
        <w:t>ST.26</w:t>
      </w:r>
      <w:r w:rsidRPr="00945712">
        <w:rPr>
          <w:rtl/>
        </w:rPr>
        <w:t xml:space="preserve"> كي تنظر فيه اللجنة وتوافق عليه في دورتها </w:t>
      </w:r>
      <w:r w:rsidR="00A5070F">
        <w:rPr>
          <w:rFonts w:hint="cs"/>
          <w:rtl/>
        </w:rPr>
        <w:t xml:space="preserve">المنعقدة في 2017. وبعد أن اعتمدت لجنة المعايير المعيار </w:t>
      </w:r>
      <w:r w:rsidR="00A5070F" w:rsidRPr="00945712">
        <w:t>ST.26</w:t>
      </w:r>
      <w:r w:rsidR="00A5070F">
        <w:rPr>
          <w:rFonts w:hint="cs"/>
          <w:rtl/>
        </w:rPr>
        <w:t xml:space="preserve"> في 2016، أجرت فرقة العمل جولة من المناقشات التي تمحورت حول مسائل عملية الانتقال (</w:t>
      </w:r>
      <w:r w:rsidR="00A5070F" w:rsidRPr="00945712">
        <w:t>ST.25</w:t>
      </w:r>
      <w:r w:rsidR="00A5070F" w:rsidRPr="00945712">
        <w:rPr>
          <w:rtl/>
        </w:rPr>
        <w:t xml:space="preserve"> إلى </w:t>
      </w:r>
      <w:r w:rsidR="00A5070F" w:rsidRPr="00945712">
        <w:t>ST.26</w:t>
      </w:r>
      <w:r w:rsidR="00A5070F">
        <w:rPr>
          <w:rFonts w:hint="cs"/>
          <w:rtl/>
        </w:rPr>
        <w:t>).</w:t>
      </w:r>
    </w:p>
    <w:p w:rsidR="00A5070F" w:rsidRDefault="00CB1C22" w:rsidP="0052792E">
      <w:pPr>
        <w:pStyle w:val="NumberedParaAR"/>
      </w:pPr>
      <w:r>
        <w:rPr>
          <w:rFonts w:hint="cs"/>
          <w:rtl/>
        </w:rPr>
        <w:t xml:space="preserve">وبالنظر إلى علاقة هذا الانتقال </w:t>
      </w:r>
      <w:r>
        <w:rPr>
          <w:rFonts w:hint="cs"/>
          <w:rtl/>
          <w:lang w:bidi="ar-EG"/>
        </w:rPr>
        <w:t xml:space="preserve">من </w:t>
      </w:r>
      <w:r w:rsidRPr="00945712">
        <w:rPr>
          <w:rtl/>
        </w:rPr>
        <w:t xml:space="preserve">معيار </w:t>
      </w:r>
      <w:r>
        <w:rPr>
          <w:rFonts w:hint="cs"/>
          <w:rtl/>
        </w:rPr>
        <w:t xml:space="preserve">الويبو </w:t>
      </w:r>
      <w:r w:rsidRPr="00945712">
        <w:t>ST.25</w:t>
      </w:r>
      <w:r w:rsidRPr="00945712">
        <w:rPr>
          <w:rtl/>
        </w:rPr>
        <w:t xml:space="preserve"> إلى </w:t>
      </w:r>
      <w:r w:rsidRPr="00945712">
        <w:t>ST.26</w:t>
      </w:r>
      <w:r>
        <w:rPr>
          <w:rFonts w:hint="cs"/>
          <w:rtl/>
        </w:rPr>
        <w:t xml:space="preserve"> بمعاهدة التعاون بشأن البراءات، </w:t>
      </w:r>
      <w:r w:rsidR="00A5070F">
        <w:rPr>
          <w:rFonts w:hint="cs"/>
          <w:rtl/>
        </w:rPr>
        <w:t xml:space="preserve">دعت </w:t>
      </w:r>
      <w:r>
        <w:rPr>
          <w:rFonts w:hint="cs"/>
          <w:rtl/>
        </w:rPr>
        <w:t xml:space="preserve">فرقة العمل المكتب الدولي </w:t>
      </w:r>
      <w:r w:rsidR="00A5070F">
        <w:rPr>
          <w:rFonts w:hint="cs"/>
          <w:rtl/>
        </w:rPr>
        <w:t>إلى ال</w:t>
      </w:r>
      <w:r>
        <w:rPr>
          <w:rFonts w:hint="cs"/>
          <w:rtl/>
        </w:rPr>
        <w:t xml:space="preserve">تشاور مع أعضاء المعاهدة </w:t>
      </w:r>
      <w:r w:rsidR="00A5070F">
        <w:rPr>
          <w:rFonts w:hint="cs"/>
          <w:rtl/>
        </w:rPr>
        <w:t xml:space="preserve">للإفادة في عملها. وتبعا لذلك، </w:t>
      </w:r>
      <w:r>
        <w:rPr>
          <w:rFonts w:hint="cs"/>
          <w:rtl/>
        </w:rPr>
        <w:t xml:space="preserve">أرسل المكتب الدولي </w:t>
      </w:r>
      <w:r w:rsidR="00A5070F">
        <w:rPr>
          <w:rFonts w:hint="cs"/>
          <w:rtl/>
        </w:rPr>
        <w:t>الخطاب</w:t>
      </w:r>
      <w:r>
        <w:rPr>
          <w:rFonts w:hint="cs"/>
          <w:rtl/>
        </w:rPr>
        <w:t xml:space="preserve"> </w:t>
      </w:r>
      <w:r w:rsidR="00A5070F">
        <w:rPr>
          <w:rFonts w:hint="cs"/>
          <w:rtl/>
        </w:rPr>
        <w:t>المعمَّم</w:t>
      </w:r>
      <w:r>
        <w:rPr>
          <w:rFonts w:hint="cs"/>
          <w:rtl/>
        </w:rPr>
        <w:t xml:space="preserve"> رقم</w:t>
      </w:r>
      <w:r>
        <w:rPr>
          <w:rFonts w:hint="eastAsia"/>
          <w:rtl/>
        </w:rPr>
        <w:t> </w:t>
      </w:r>
      <w:r w:rsidRPr="00CE074F">
        <w:t>C. PCT 1485/C. CWS 74</w:t>
      </w:r>
      <w:r w:rsidR="00A5070F">
        <w:rPr>
          <w:rFonts w:hint="cs"/>
          <w:rtl/>
        </w:rPr>
        <w:t xml:space="preserve">. </w:t>
      </w:r>
      <w:r w:rsidR="00A5070F">
        <w:rPr>
          <w:rFonts w:hint="cs"/>
          <w:rtl/>
          <w:lang w:bidi="ar-EG"/>
        </w:rPr>
        <w:t xml:space="preserve">. وشاطر المكتب الدولي مع فرقة العمل الردود المستلمة بشأن الخطاب المعمَّم، وقدّم تحليلا لتلك الردود في اجتماع الإدارات الدولية لمعاهدة التعاون بشأن البراءات </w:t>
      </w:r>
      <w:r w:rsidR="00A5070F">
        <w:rPr>
          <w:lang w:bidi="ar-EG"/>
        </w:rPr>
        <w:t>(PCT/MIA)</w:t>
      </w:r>
      <w:r w:rsidR="00A5070F">
        <w:rPr>
          <w:rFonts w:hint="cs"/>
          <w:rtl/>
          <w:lang w:bidi="ar-EG"/>
        </w:rPr>
        <w:t xml:space="preserve"> في فبراير 2017. وناقش أعضاء فرقة العمل مسائل عملية الانتقال في العديد من الاجتماعات عن بعد </w:t>
      </w:r>
      <w:r w:rsidR="00A5070F">
        <w:rPr>
          <w:lang w:bidi="ar-EG"/>
        </w:rPr>
        <w:t>(WebEx)</w:t>
      </w:r>
      <w:r w:rsidR="00A5070F">
        <w:rPr>
          <w:rFonts w:hint="cs"/>
          <w:rtl/>
          <w:lang w:bidi="ar-EG"/>
        </w:rPr>
        <w:t xml:space="preserve"> وعلى المنتدى الإلكتروني</w:t>
      </w:r>
      <w:r w:rsidR="0052792E">
        <w:rPr>
          <w:rFonts w:hint="cs"/>
          <w:rtl/>
          <w:lang w:bidi="ar-EG"/>
        </w:rPr>
        <w:t>.</w:t>
      </w:r>
    </w:p>
    <w:p w:rsidR="0052792E" w:rsidRDefault="0052792E" w:rsidP="00946D25">
      <w:pPr>
        <w:pStyle w:val="Heading2"/>
        <w:spacing w:after="0"/>
      </w:pPr>
      <w:r>
        <w:rPr>
          <w:rFonts w:hint="cs"/>
          <w:rtl/>
          <w:lang w:bidi="ar-EG"/>
        </w:rPr>
        <w:t>توصيات من فرقة العمل</w:t>
      </w:r>
    </w:p>
    <w:p w:rsidR="00A5070F" w:rsidRPr="00A06F0B" w:rsidRDefault="0052792E" w:rsidP="0052792E">
      <w:pPr>
        <w:pStyle w:val="NumberedParaAR"/>
        <w:rPr>
          <w:lang w:val="fr-CH"/>
        </w:rPr>
      </w:pPr>
      <w:r>
        <w:rPr>
          <w:rFonts w:hint="cs"/>
          <w:rtl/>
        </w:rPr>
        <w:t>نزولا عند التماس لجنة المعايير ومع مراعاة حصيلة المشاورات التي أجراها المكتب الدولي من خلال الخطاب المعمَّم، فإن فرقة العمل المعنية بقوائم التسلسل توصي بما يلي:</w:t>
      </w:r>
    </w:p>
    <w:p w:rsidR="0052792E" w:rsidRDefault="0052792E" w:rsidP="00946D25">
      <w:pPr>
        <w:pStyle w:val="Heading3"/>
        <w:spacing w:before="240" w:after="0" w:line="400" w:lineRule="exact"/>
      </w:pPr>
      <w:r>
        <w:rPr>
          <w:rFonts w:hint="cs"/>
          <w:rtl/>
        </w:rPr>
        <w:t>سيناريوهات الانتقال:</w:t>
      </w:r>
    </w:p>
    <w:p w:rsidR="0052792E" w:rsidRPr="00A06F0B" w:rsidRDefault="00766331" w:rsidP="00906D0C">
      <w:pPr>
        <w:pStyle w:val="NumberedParaAR"/>
        <w:rPr>
          <w:lang w:val="fr-CH"/>
        </w:rPr>
      </w:pPr>
      <w:r>
        <w:rPr>
          <w:rFonts w:hint="cs"/>
          <w:rtl/>
        </w:rPr>
        <w:t>تمشيا والرأي الذي أعربت عنه جميع المكاتب في ردّها على الخطاب المعمَّم، تعتقد فرقة العمل أن سيناريو "القطيعة" هو الخيار الأفضل لأنه يتيح على ما يبدو أعلى درجة من اليقين القانوني للمودعين والمكاتب. وينبغي بالتالي أن تتّفق جميع المكاتب على تاريخ واحد للانتقال من ال</w:t>
      </w:r>
      <w:r w:rsidRPr="00945712">
        <w:rPr>
          <w:rtl/>
        </w:rPr>
        <w:t xml:space="preserve">معيار </w:t>
      </w:r>
      <w:r w:rsidRPr="00A06F0B">
        <w:rPr>
          <w:lang w:val="fr-CH"/>
        </w:rPr>
        <w:t>ST.25</w:t>
      </w:r>
      <w:r w:rsidRPr="00945712">
        <w:rPr>
          <w:rtl/>
        </w:rPr>
        <w:t xml:space="preserve"> إلى </w:t>
      </w:r>
      <w:r w:rsidRPr="00A06F0B">
        <w:rPr>
          <w:lang w:val="fr-CH"/>
        </w:rPr>
        <w:t>ST.26</w:t>
      </w:r>
      <w:r>
        <w:rPr>
          <w:rFonts w:hint="cs"/>
          <w:rtl/>
        </w:rPr>
        <w:t xml:space="preserve"> لأغراض إيداع قوائم </w:t>
      </w:r>
      <w:r w:rsidR="00906D0C">
        <w:rPr>
          <w:rFonts w:hint="cs"/>
          <w:rtl/>
        </w:rPr>
        <w:t xml:space="preserve">التسلسل </w:t>
      </w:r>
      <w:r>
        <w:rPr>
          <w:rFonts w:hint="cs"/>
          <w:rtl/>
        </w:rPr>
        <w:t>في الطلبات الجديدة ("تاريخ الانتقال").</w:t>
      </w:r>
    </w:p>
    <w:p w:rsidR="00766331" w:rsidRDefault="00766331" w:rsidP="00946D25">
      <w:pPr>
        <w:pStyle w:val="Heading3"/>
        <w:spacing w:before="240" w:after="0" w:line="400" w:lineRule="exact"/>
      </w:pPr>
      <w:r>
        <w:rPr>
          <w:rFonts w:hint="cs"/>
          <w:rtl/>
        </w:rPr>
        <w:t xml:space="preserve">الطلبات الدولية المودعة بعد تاريخ الانتقال التي يطالب فيها بأولوية طلب يحتوي على قوائم </w:t>
      </w:r>
      <w:r w:rsidR="00906D0C">
        <w:rPr>
          <w:rFonts w:hint="cs"/>
          <w:rtl/>
        </w:rPr>
        <w:t>تسلسل</w:t>
      </w:r>
      <w:r>
        <w:rPr>
          <w:rFonts w:hint="cs"/>
          <w:rtl/>
        </w:rPr>
        <w:t xml:space="preserve"> مودعة وفقا لمعيار الويبو </w:t>
      </w:r>
      <w:r w:rsidRPr="00945712">
        <w:rPr>
          <w:rtl/>
        </w:rPr>
        <w:t xml:space="preserve">معيار </w:t>
      </w:r>
      <w:r>
        <w:rPr>
          <w:rFonts w:hint="cs"/>
          <w:rtl/>
        </w:rPr>
        <w:t xml:space="preserve">الويبو </w:t>
      </w:r>
      <w:r w:rsidRPr="00945712">
        <w:t>ST.25</w:t>
      </w:r>
      <w:r>
        <w:rPr>
          <w:rFonts w:hint="cs"/>
          <w:rtl/>
        </w:rPr>
        <w:t>:</w:t>
      </w:r>
    </w:p>
    <w:p w:rsidR="00766331" w:rsidRPr="00A06F0B" w:rsidRDefault="00766331" w:rsidP="00766331">
      <w:pPr>
        <w:pStyle w:val="NumberedParaAR"/>
        <w:rPr>
          <w:lang w:val="fr-CH"/>
        </w:rPr>
      </w:pPr>
      <w:r>
        <w:rPr>
          <w:rFonts w:hint="cs"/>
          <w:rtl/>
          <w:lang w:val="fr-CH"/>
        </w:rPr>
        <w:t>أعربت الردود على الخطاب المعمَّم عن آراء متباينة حول إمكانية تحديد تاريخ الانتقال بالاعتماد على تاريخ الإيداع الدولي للطلبات الدولية أو على تاريخ الأولوية أو أن يترك الخيار للمودع.</w:t>
      </w:r>
    </w:p>
    <w:p w:rsidR="00766331" w:rsidRPr="00A06F0B" w:rsidRDefault="00766331" w:rsidP="00906D0C">
      <w:pPr>
        <w:pStyle w:val="NumberedParaAR"/>
        <w:rPr>
          <w:lang w:val="fr-CH"/>
        </w:rPr>
      </w:pPr>
      <w:r>
        <w:rPr>
          <w:rFonts w:hint="cs"/>
          <w:rtl/>
        </w:rPr>
        <w:t xml:space="preserve">وبعد تحليل معمّق للإيجابيات والسلبيات في كل واحد من الخيارات الثلاثة، بما في ذلك الردود التي قدّمها اجتماع الإدارات الدولية </w:t>
      </w:r>
      <w:r w:rsidRPr="00A06F0B">
        <w:rPr>
          <w:lang w:val="fr-CH"/>
        </w:rPr>
        <w:t>PCT/MIA</w:t>
      </w:r>
      <w:r>
        <w:rPr>
          <w:rFonts w:hint="cs"/>
          <w:rtl/>
          <w:lang w:bidi="ar-EG"/>
        </w:rPr>
        <w:t xml:space="preserve"> في فبراير (انظر الفقرات 65 إلى 67 من الوثيقة </w:t>
      </w:r>
      <w:r>
        <w:rPr>
          <w:lang w:val="fr-CH" w:bidi="ar-EG"/>
        </w:rPr>
        <w:t>PCT/MIA/24/15</w:t>
      </w:r>
      <w:r>
        <w:rPr>
          <w:rFonts w:hint="cs"/>
          <w:rtl/>
          <w:lang w:bidi="ar-EG"/>
        </w:rPr>
        <w:t xml:space="preserve">)، </w:t>
      </w:r>
      <w:r w:rsidR="00906D0C">
        <w:rPr>
          <w:rFonts w:hint="cs"/>
          <w:rtl/>
          <w:lang w:bidi="ar-EG"/>
        </w:rPr>
        <w:t>قرّرت فرقة العمل مؤقتا أن تاريخ الإيداع الدولي سيكون التاريخ الأنسب، في انتظار مزيد من التحليل للنظر في احتمال إضافة مادة أو حذفها جراء تحويل قائمة تسلسل من ال</w:t>
      </w:r>
      <w:r w:rsidR="00906D0C" w:rsidRPr="00945712">
        <w:rPr>
          <w:rtl/>
        </w:rPr>
        <w:t xml:space="preserve">معيار </w:t>
      </w:r>
      <w:r w:rsidR="00906D0C" w:rsidRPr="00A06F0B">
        <w:rPr>
          <w:lang w:val="fr-CH"/>
        </w:rPr>
        <w:t>ST.25</w:t>
      </w:r>
      <w:r w:rsidR="00906D0C">
        <w:rPr>
          <w:rFonts w:hint="cs"/>
          <w:rtl/>
        </w:rPr>
        <w:t>، وشرط توافر أداة للإصدار والتثبيت يمكن الاستعانة بها في تحويل قوائم التسلسل من ال</w:t>
      </w:r>
      <w:r w:rsidR="00906D0C" w:rsidRPr="00945712">
        <w:rPr>
          <w:rtl/>
        </w:rPr>
        <w:t xml:space="preserve">معيار </w:t>
      </w:r>
      <w:r w:rsidR="00906D0C" w:rsidRPr="00A06F0B">
        <w:rPr>
          <w:lang w:val="fr-CH"/>
        </w:rPr>
        <w:t>ST.25</w:t>
      </w:r>
      <w:r w:rsidR="00906D0C" w:rsidRPr="00945712">
        <w:rPr>
          <w:rtl/>
        </w:rPr>
        <w:t xml:space="preserve"> إلى </w:t>
      </w:r>
      <w:r w:rsidR="00906D0C" w:rsidRPr="00A06F0B">
        <w:rPr>
          <w:lang w:val="fr-CH"/>
        </w:rPr>
        <w:t>ST.26</w:t>
      </w:r>
      <w:r w:rsidR="00906D0C">
        <w:rPr>
          <w:rFonts w:hint="cs"/>
          <w:rtl/>
        </w:rPr>
        <w:t xml:space="preserve"> دون إضافة مادة أو حذفها. ويجري إعداد وثيقة لإجرار هذا التحليل وصياغة التوصيات المناسبة لفائدة المودعين.</w:t>
      </w:r>
    </w:p>
    <w:p w:rsidR="00906D0C" w:rsidRPr="00A06F0B" w:rsidRDefault="00906D0C" w:rsidP="00906D0C">
      <w:pPr>
        <w:pStyle w:val="NumberedParaAR"/>
        <w:rPr>
          <w:lang w:val="fr-CH"/>
        </w:rPr>
      </w:pPr>
      <w:r>
        <w:rPr>
          <w:rFonts w:hint="cs"/>
          <w:rtl/>
        </w:rPr>
        <w:lastRenderedPageBreak/>
        <w:t>وينبغي أن يترك للمكاتب الوطنية/الإقليمية حرية تحديد الإجراءات الواجب اتخاذها في المرحلة الوطنية/الإقليمية (مثلا بشأن الطلبات الجزئية).</w:t>
      </w:r>
    </w:p>
    <w:p w:rsidR="00AE2B0D" w:rsidRDefault="00AE2B0D" w:rsidP="00946D25">
      <w:pPr>
        <w:pStyle w:val="Heading3"/>
        <w:spacing w:before="240" w:after="0" w:line="400" w:lineRule="exact"/>
      </w:pPr>
      <w:r>
        <w:rPr>
          <w:rFonts w:hint="cs"/>
          <w:rtl/>
        </w:rPr>
        <w:t>تاريخ الانتقال المؤقت</w:t>
      </w:r>
    </w:p>
    <w:p w:rsidR="00AE2B0D" w:rsidRPr="00A06F0B" w:rsidRDefault="00AE2B0D" w:rsidP="00AE2B0D">
      <w:pPr>
        <w:pStyle w:val="NumberedParaAR"/>
        <w:rPr>
          <w:lang w:val="fr-CH"/>
        </w:rPr>
      </w:pPr>
      <w:r>
        <w:rPr>
          <w:rFonts w:hint="cs"/>
          <w:rtl/>
        </w:rPr>
        <w:t>اتفقت فرقة العمل مؤقتا على أن يكون يناير 2022 هو تاريخ التنفيذ، شريطة توافر برمجية للإصدار والتثبيت تمكّن من عرض قوائم التسلسل وطباعتها في نسق قابل للقراءة.</w:t>
      </w:r>
    </w:p>
    <w:p w:rsidR="00AE2B0D" w:rsidRDefault="00AE2B0D" w:rsidP="00946D25">
      <w:pPr>
        <w:pStyle w:val="Heading2"/>
        <w:spacing w:after="0"/>
      </w:pPr>
      <w:r>
        <w:rPr>
          <w:rFonts w:hint="cs"/>
          <w:rtl/>
        </w:rPr>
        <w:t>العمل المقبل لفرقة العمل</w:t>
      </w:r>
    </w:p>
    <w:p w:rsidR="00AE2B0D" w:rsidRPr="00A06F0B" w:rsidRDefault="00AE2B0D" w:rsidP="00AE2B0D">
      <w:pPr>
        <w:pStyle w:val="NumberedParaAR"/>
        <w:rPr>
          <w:lang w:val="fr-CH"/>
        </w:rPr>
      </w:pPr>
      <w:r>
        <w:rPr>
          <w:rFonts w:hint="cs"/>
          <w:rtl/>
        </w:rPr>
        <w:t xml:space="preserve">اتفقت فرقة العمل المعنية بقوائم التسلسل </w:t>
      </w:r>
      <w:r w:rsidRPr="00A06F0B">
        <w:rPr>
          <w:lang w:val="fr-CH"/>
        </w:rPr>
        <w:t>(SEQL)</w:t>
      </w:r>
      <w:r w:rsidR="006A0D86">
        <w:rPr>
          <w:rFonts w:hint="cs"/>
          <w:rtl/>
          <w:lang w:bidi="ar-EG"/>
        </w:rPr>
        <w:t xml:space="preserve"> على المهام التالية:</w:t>
      </w:r>
    </w:p>
    <w:p w:rsidR="006A0D86" w:rsidRDefault="006A0D86" w:rsidP="006A0D86">
      <w:pPr>
        <w:pStyle w:val="NumberedParaAR"/>
        <w:numPr>
          <w:ilvl w:val="0"/>
          <w:numId w:val="0"/>
        </w:numPr>
        <w:ind w:left="566"/>
        <w:rPr>
          <w:rtl/>
          <w:lang w:bidi="ar-EG"/>
        </w:rPr>
      </w:pPr>
      <w:r>
        <w:rPr>
          <w:rFonts w:hint="cs"/>
          <w:rtl/>
          <w:lang w:bidi="ar-EG"/>
        </w:rPr>
        <w:t>(أ)</w:t>
      </w:r>
      <w:r>
        <w:rPr>
          <w:rFonts w:hint="cs"/>
          <w:rtl/>
          <w:lang w:bidi="ar-EG"/>
        </w:rPr>
        <w:tab/>
        <w:t>ستقدّم فرقة العمل دعمها للمكتب الدولي للويبو بتوفير متطلبات المستخدمين والردود على أداة الإصدار.</w:t>
      </w:r>
    </w:p>
    <w:p w:rsidR="006A0D86" w:rsidRDefault="006A0D86" w:rsidP="006A0D86">
      <w:pPr>
        <w:pStyle w:val="NumberedParaAR"/>
        <w:numPr>
          <w:ilvl w:val="0"/>
          <w:numId w:val="0"/>
        </w:numPr>
        <w:ind w:left="566"/>
        <w:rPr>
          <w:rtl/>
        </w:rPr>
      </w:pPr>
      <w:r>
        <w:rPr>
          <w:rFonts w:hint="cs"/>
          <w:rtl/>
        </w:rPr>
        <w:t>(ب)</w:t>
      </w:r>
      <w:r>
        <w:rPr>
          <w:rFonts w:hint="cs"/>
          <w:rtl/>
        </w:rPr>
        <w:tab/>
        <w:t>ستقدّم فرقة العمل دعمها للمكتب الدولي للويبو لإجراء المراجعات اللازم على التعليمات الإدارية لمعاهدة التعاون بشأن البراءات.</w:t>
      </w:r>
    </w:p>
    <w:p w:rsidR="006A0D86" w:rsidRDefault="006A0D86" w:rsidP="007F1C6E">
      <w:pPr>
        <w:pStyle w:val="NumberedParaAR"/>
        <w:numPr>
          <w:ilvl w:val="0"/>
          <w:numId w:val="0"/>
        </w:numPr>
        <w:spacing w:after="0"/>
        <w:ind w:left="566"/>
        <w:rPr>
          <w:rtl/>
        </w:rPr>
      </w:pPr>
      <w:r>
        <w:rPr>
          <w:rFonts w:hint="cs"/>
          <w:rtl/>
        </w:rPr>
        <w:t>(ج)</w:t>
      </w:r>
      <w:r>
        <w:rPr>
          <w:rFonts w:hint="cs"/>
          <w:rtl/>
        </w:rPr>
        <w:tab/>
        <w:t>ستوجّه فرقة العمل جهودها في المستقبل أيضا نحو مراجعة ال</w:t>
      </w:r>
      <w:r w:rsidRPr="00945712">
        <w:rPr>
          <w:rtl/>
        </w:rPr>
        <w:t xml:space="preserve">معيار </w:t>
      </w:r>
      <w:r w:rsidRPr="00945712">
        <w:t>ST.26</w:t>
      </w:r>
      <w:r>
        <w:rPr>
          <w:rFonts w:hint="cs"/>
          <w:rtl/>
        </w:rPr>
        <w:t xml:space="preserve">. ومن المقترح </w:t>
      </w:r>
      <w:r w:rsidR="00946D25">
        <w:rPr>
          <w:rFonts w:hint="cs"/>
          <w:rtl/>
        </w:rPr>
        <w:t>أن تكون المراجعات المقبلة للمعيار قائمة على طلب من أعضاء لجنة المعايير وليس تابعة لجدول زمني محدّد مسبقا.</w:t>
      </w:r>
    </w:p>
    <w:p w:rsidR="006A0D86" w:rsidRDefault="006A0D86" w:rsidP="007F1C6E">
      <w:pPr>
        <w:pStyle w:val="NumberedParaAR"/>
        <w:numPr>
          <w:ilvl w:val="0"/>
          <w:numId w:val="0"/>
        </w:numPr>
        <w:spacing w:after="0"/>
        <w:ind w:left="5527"/>
        <w:rPr>
          <w:lang w:val="fr-FR"/>
        </w:rPr>
      </w:pPr>
    </w:p>
    <w:p w:rsidR="007F1C6E" w:rsidRPr="007F1C6E" w:rsidRDefault="007F1C6E" w:rsidP="007F1C6E">
      <w:pPr>
        <w:pStyle w:val="NumberedParaAR"/>
        <w:numPr>
          <w:ilvl w:val="0"/>
          <w:numId w:val="0"/>
        </w:numPr>
        <w:spacing w:after="0"/>
        <w:ind w:left="5527"/>
        <w:rPr>
          <w:lang w:val="fr-FR"/>
        </w:rPr>
      </w:pPr>
    </w:p>
    <w:p w:rsidR="00946D25" w:rsidRDefault="00946D25" w:rsidP="007F1C6E">
      <w:pPr>
        <w:pStyle w:val="EndofDocumentAR"/>
        <w:spacing w:after="0"/>
        <w:ind w:left="5527"/>
      </w:pPr>
      <w:r>
        <w:rPr>
          <w:rFonts w:hint="cs"/>
          <w:rtl/>
        </w:rPr>
        <w:t>[نهاية المرفق والوثيقة]</w:t>
      </w:r>
    </w:p>
    <w:sectPr w:rsidR="00946D25" w:rsidSect="00F27A7C">
      <w:headerReference w:type="even" r:id="rId8"/>
      <w:headerReference w:type="default" r:id="rId9"/>
      <w:footerReference w:type="even" r:id="rId10"/>
      <w:footerReference w:type="default" r:id="rId11"/>
      <w:headerReference w:type="first" r:id="rId12"/>
      <w:footerReference w:type="first" r:id="rId13"/>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67E" w:rsidRDefault="00BB067E">
      <w:r>
        <w:separator/>
      </w:r>
    </w:p>
  </w:endnote>
  <w:endnote w:type="continuationSeparator" w:id="0">
    <w:p w:rsidR="00BB067E" w:rsidRDefault="00BB0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9F0" w:rsidRDefault="00D179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9F0" w:rsidRDefault="00D179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9F0" w:rsidRDefault="00D179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67E" w:rsidRDefault="00BB067E" w:rsidP="009622BF">
      <w:pPr>
        <w:bidi/>
      </w:pPr>
      <w:bookmarkStart w:id="0" w:name="OLE_LINK1"/>
      <w:bookmarkStart w:id="1" w:name="OLE_LINK2"/>
      <w:r>
        <w:separator/>
      </w:r>
      <w:bookmarkEnd w:id="0"/>
      <w:bookmarkEnd w:id="1"/>
    </w:p>
  </w:footnote>
  <w:footnote w:type="continuationSeparator" w:id="0">
    <w:p w:rsidR="00BB067E" w:rsidRDefault="00BB067E"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9F0" w:rsidRDefault="00D179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9F0" w:rsidRDefault="00D179F0" w:rsidP="00D179F0">
    <w:bookmarkStart w:id="2" w:name="_GoBack"/>
    <w:bookmarkEnd w:id="2"/>
    <w:r>
      <w:t>CWS/5/7 Rev.1</w:t>
    </w:r>
  </w:p>
  <w:p w:rsidR="00BB067E" w:rsidRDefault="00BB067E" w:rsidP="00BB067E">
    <w:r>
      <w:t>Annex</w:t>
    </w:r>
  </w:p>
  <w:p w:rsidR="002F77FC" w:rsidRDefault="00F27A7C" w:rsidP="00D61541">
    <w:pPr>
      <w:rPr>
        <w:noProof/>
      </w:rPr>
    </w:pPr>
    <w:r>
      <w:fldChar w:fldCharType="begin"/>
    </w:r>
    <w:r>
      <w:instrText xml:space="preserve"> PAGE   \* MERGEFORMAT </w:instrText>
    </w:r>
    <w:r>
      <w:fldChar w:fldCharType="separate"/>
    </w:r>
    <w:r w:rsidR="00D179F0">
      <w:rPr>
        <w:noProof/>
      </w:rPr>
      <w:t>2</w:t>
    </w:r>
    <w:r>
      <w:rPr>
        <w:noProof/>
      </w:rPr>
      <w:fldChar w:fldCharType="end"/>
    </w:r>
  </w:p>
  <w:p w:rsidR="005677B7" w:rsidRDefault="005677B7"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9F0" w:rsidRDefault="00D179F0" w:rsidP="00D179F0">
    <w:r>
      <w:t>CWS/5/7 Rev.1</w:t>
    </w:r>
  </w:p>
  <w:p w:rsidR="00BB067E" w:rsidRDefault="00BB067E" w:rsidP="00BB067E">
    <w:r>
      <w:t>ANNEX</w:t>
    </w:r>
  </w:p>
  <w:p w:rsidR="00BB067E" w:rsidRDefault="00BB067E" w:rsidP="00946D25">
    <w:pPr>
      <w:rPr>
        <w:rFonts w:ascii="Arabic Typesetting" w:hAnsi="Arabic Typesetting" w:cs="Arabic Typesetting"/>
        <w:sz w:val="36"/>
        <w:szCs w:val="36"/>
        <w:lang w:val="fr-FR" w:bidi="ar-EG"/>
      </w:rPr>
    </w:pPr>
    <w:r w:rsidRPr="00BB067E">
      <w:rPr>
        <w:rFonts w:ascii="Arabic Typesetting" w:hAnsi="Arabic Typesetting" w:cs="Arabic Typesetting"/>
        <w:sz w:val="36"/>
        <w:szCs w:val="36"/>
        <w:rtl/>
        <w:lang w:bidi="ar-EG"/>
      </w:rPr>
      <w:t>المرفق</w:t>
    </w:r>
  </w:p>
  <w:p w:rsidR="007F1C6E" w:rsidRPr="007F1C6E" w:rsidRDefault="007F1C6E" w:rsidP="00946D25">
    <w:pPr>
      <w:rPr>
        <w:rFonts w:ascii="Arabic Typesetting" w:hAnsi="Arabic Typesetting" w:cs="Arabic Typesetting"/>
        <w:sz w:val="36"/>
        <w:szCs w:val="36"/>
        <w:lang w:val="fr-FR"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2CA5370"/>
    <w:multiLevelType w:val="hybridMultilevel"/>
    <w:tmpl w:val="158ACC10"/>
    <w:lvl w:ilvl="0" w:tplc="15384FCE">
      <w:start w:val="20"/>
      <w:numFmt w:val="bullet"/>
      <w:lvlText w:val=""/>
      <w:lvlJc w:val="left"/>
      <w:pPr>
        <w:ind w:left="1853" w:hanging="360"/>
      </w:pPr>
      <w:rPr>
        <w:rFonts w:ascii="Wingdings" w:eastAsia="Times New Roman" w:hAnsi="Wingdings" w:cs="Wingdings" w:hint="default"/>
        <w:sz w:val="22"/>
        <w:szCs w:val="22"/>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19"/>
  </w:num>
  <w:num w:numId="7">
    <w:abstractNumId w:val="13"/>
  </w:num>
  <w:num w:numId="8">
    <w:abstractNumId w:val="17"/>
  </w:num>
  <w:num w:numId="9">
    <w:abstractNumId w:val="16"/>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67E"/>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419"/>
    <w:rsid w:val="00063C91"/>
    <w:rsid w:val="000640E7"/>
    <w:rsid w:val="00065ED1"/>
    <w:rsid w:val="00066DC7"/>
    <w:rsid w:val="0006794A"/>
    <w:rsid w:val="00067F31"/>
    <w:rsid w:val="00071138"/>
    <w:rsid w:val="00071160"/>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4718"/>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7FC9"/>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A05"/>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16DE"/>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328E"/>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786"/>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5B9"/>
    <w:rsid w:val="002C2B6F"/>
    <w:rsid w:val="002C2BC4"/>
    <w:rsid w:val="002C314F"/>
    <w:rsid w:val="002C4AD1"/>
    <w:rsid w:val="002C7D29"/>
    <w:rsid w:val="002D0298"/>
    <w:rsid w:val="002D1662"/>
    <w:rsid w:val="002D1DE5"/>
    <w:rsid w:val="002D323E"/>
    <w:rsid w:val="002D3506"/>
    <w:rsid w:val="002D3670"/>
    <w:rsid w:val="002D4807"/>
    <w:rsid w:val="002D5265"/>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186"/>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3178"/>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2792E"/>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8FE"/>
    <w:rsid w:val="00560C6A"/>
    <w:rsid w:val="00560F85"/>
    <w:rsid w:val="005610A0"/>
    <w:rsid w:val="0056248F"/>
    <w:rsid w:val="00564985"/>
    <w:rsid w:val="00565379"/>
    <w:rsid w:val="005674C3"/>
    <w:rsid w:val="005677B7"/>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5FF0"/>
    <w:rsid w:val="005D794C"/>
    <w:rsid w:val="005D7A9F"/>
    <w:rsid w:val="005D7AA2"/>
    <w:rsid w:val="005E2154"/>
    <w:rsid w:val="005E2FC7"/>
    <w:rsid w:val="005E37B9"/>
    <w:rsid w:val="005E3F84"/>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0791"/>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6740"/>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0D86"/>
    <w:rsid w:val="006A20FB"/>
    <w:rsid w:val="006A339D"/>
    <w:rsid w:val="006A4462"/>
    <w:rsid w:val="006A5B59"/>
    <w:rsid w:val="006A6A14"/>
    <w:rsid w:val="006A753A"/>
    <w:rsid w:val="006A777C"/>
    <w:rsid w:val="006A7B70"/>
    <w:rsid w:val="006A7C46"/>
    <w:rsid w:val="006B0F76"/>
    <w:rsid w:val="006B1F20"/>
    <w:rsid w:val="006B398A"/>
    <w:rsid w:val="006B3E04"/>
    <w:rsid w:val="006B4024"/>
    <w:rsid w:val="006B47D7"/>
    <w:rsid w:val="006B499D"/>
    <w:rsid w:val="006B5041"/>
    <w:rsid w:val="006B643D"/>
    <w:rsid w:val="006B7900"/>
    <w:rsid w:val="006B79A4"/>
    <w:rsid w:val="006C1254"/>
    <w:rsid w:val="006C2DC5"/>
    <w:rsid w:val="006C480B"/>
    <w:rsid w:val="006C570B"/>
    <w:rsid w:val="006C572E"/>
    <w:rsid w:val="006C5997"/>
    <w:rsid w:val="006C5CD2"/>
    <w:rsid w:val="006D0636"/>
    <w:rsid w:val="006D06DC"/>
    <w:rsid w:val="006D6E46"/>
    <w:rsid w:val="006D7FA8"/>
    <w:rsid w:val="006E2F98"/>
    <w:rsid w:val="006E3DBD"/>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4A41"/>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6331"/>
    <w:rsid w:val="0076742F"/>
    <w:rsid w:val="00767712"/>
    <w:rsid w:val="007711D0"/>
    <w:rsid w:val="007712E6"/>
    <w:rsid w:val="00771D3D"/>
    <w:rsid w:val="007728AB"/>
    <w:rsid w:val="00772CFE"/>
    <w:rsid w:val="007730CF"/>
    <w:rsid w:val="00774756"/>
    <w:rsid w:val="00775181"/>
    <w:rsid w:val="007751B6"/>
    <w:rsid w:val="00775345"/>
    <w:rsid w:val="00776A33"/>
    <w:rsid w:val="00776B7F"/>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1C6E"/>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8B0"/>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06D0C"/>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6D25"/>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762"/>
    <w:rsid w:val="0096587A"/>
    <w:rsid w:val="009666E7"/>
    <w:rsid w:val="00967278"/>
    <w:rsid w:val="00971568"/>
    <w:rsid w:val="00971929"/>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6F85"/>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0E1D"/>
    <w:rsid w:val="009E11BD"/>
    <w:rsid w:val="009E1DF8"/>
    <w:rsid w:val="009E2C1A"/>
    <w:rsid w:val="009E2C4B"/>
    <w:rsid w:val="009E2E0C"/>
    <w:rsid w:val="009E3218"/>
    <w:rsid w:val="009E3248"/>
    <w:rsid w:val="009E3BED"/>
    <w:rsid w:val="009E4506"/>
    <w:rsid w:val="009E455E"/>
    <w:rsid w:val="009E487A"/>
    <w:rsid w:val="009E4FFB"/>
    <w:rsid w:val="009E5FBD"/>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6F0B"/>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70F"/>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2B0D"/>
    <w:rsid w:val="00AE473C"/>
    <w:rsid w:val="00AE4ACF"/>
    <w:rsid w:val="00AE55E7"/>
    <w:rsid w:val="00AE5EBD"/>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1756D"/>
    <w:rsid w:val="00B2028C"/>
    <w:rsid w:val="00B21771"/>
    <w:rsid w:val="00B21887"/>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19D"/>
    <w:rsid w:val="00B362D9"/>
    <w:rsid w:val="00B36B99"/>
    <w:rsid w:val="00B36D20"/>
    <w:rsid w:val="00B36F67"/>
    <w:rsid w:val="00B40633"/>
    <w:rsid w:val="00B406D6"/>
    <w:rsid w:val="00B44049"/>
    <w:rsid w:val="00B44318"/>
    <w:rsid w:val="00B4444B"/>
    <w:rsid w:val="00B44C4B"/>
    <w:rsid w:val="00B477CB"/>
    <w:rsid w:val="00B508A7"/>
    <w:rsid w:val="00B52081"/>
    <w:rsid w:val="00B52695"/>
    <w:rsid w:val="00B545AF"/>
    <w:rsid w:val="00B55B09"/>
    <w:rsid w:val="00B56711"/>
    <w:rsid w:val="00B57EF2"/>
    <w:rsid w:val="00B604F3"/>
    <w:rsid w:val="00B6101C"/>
    <w:rsid w:val="00B615ED"/>
    <w:rsid w:val="00B61D87"/>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067E"/>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761A"/>
    <w:rsid w:val="00C32151"/>
    <w:rsid w:val="00C3217A"/>
    <w:rsid w:val="00C33551"/>
    <w:rsid w:val="00C3357D"/>
    <w:rsid w:val="00C33BE9"/>
    <w:rsid w:val="00C33C13"/>
    <w:rsid w:val="00C34099"/>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643"/>
    <w:rsid w:val="00C57ED3"/>
    <w:rsid w:val="00C61640"/>
    <w:rsid w:val="00C61AA7"/>
    <w:rsid w:val="00C61B8E"/>
    <w:rsid w:val="00C629D0"/>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1C22"/>
    <w:rsid w:val="00CB2575"/>
    <w:rsid w:val="00CB3677"/>
    <w:rsid w:val="00CB368F"/>
    <w:rsid w:val="00CB4C42"/>
    <w:rsid w:val="00CB4DFA"/>
    <w:rsid w:val="00CB7BD7"/>
    <w:rsid w:val="00CC4CB6"/>
    <w:rsid w:val="00CC4DB0"/>
    <w:rsid w:val="00CC5038"/>
    <w:rsid w:val="00CC5326"/>
    <w:rsid w:val="00CC7426"/>
    <w:rsid w:val="00CC75E0"/>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179F0"/>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0BD"/>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1E9F"/>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691"/>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170"/>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9739F"/>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4EB"/>
    <w:rsid w:val="00EC0725"/>
    <w:rsid w:val="00EC0889"/>
    <w:rsid w:val="00EC0C13"/>
    <w:rsid w:val="00EC148C"/>
    <w:rsid w:val="00EC2D7D"/>
    <w:rsid w:val="00EC36AD"/>
    <w:rsid w:val="00EC3BCF"/>
    <w:rsid w:val="00EC56B1"/>
    <w:rsid w:val="00EC664F"/>
    <w:rsid w:val="00EC6749"/>
    <w:rsid w:val="00EC72F5"/>
    <w:rsid w:val="00EC7334"/>
    <w:rsid w:val="00EC7511"/>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106"/>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27A7C"/>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68A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0E4718"/>
    <w:rPr>
      <w:rFonts w:ascii="Tahoma" w:hAnsi="Tahoma" w:cs="Tahoma"/>
      <w:sz w:val="16"/>
      <w:szCs w:val="16"/>
    </w:rPr>
  </w:style>
  <w:style w:type="character" w:customStyle="1" w:styleId="BalloonTextChar">
    <w:name w:val="Balloon Text Char"/>
    <w:basedOn w:val="DefaultParagraphFont"/>
    <w:link w:val="BalloonText"/>
    <w:rsid w:val="000E47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0E4718"/>
    <w:rPr>
      <w:rFonts w:ascii="Tahoma" w:hAnsi="Tahoma" w:cs="Tahoma"/>
      <w:sz w:val="16"/>
      <w:szCs w:val="16"/>
    </w:rPr>
  </w:style>
  <w:style w:type="character" w:customStyle="1" w:styleId="BalloonTextChar">
    <w:name w:val="Balloon Text Char"/>
    <w:basedOn w:val="DefaultParagraphFont"/>
    <w:link w:val="BalloonText"/>
    <w:rsid w:val="000E47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WS_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CWS_5_AR</Template>
  <TotalTime>3</TotalTime>
  <Pages>2</Pages>
  <Words>536</Words>
  <Characters>2769</Characters>
  <Application>Microsoft Office Word</Application>
  <DocSecurity>0</DocSecurity>
  <Lines>44</Lines>
  <Paragraphs>24</Paragraphs>
  <ScaleCrop>false</ScaleCrop>
  <HeadingPairs>
    <vt:vector size="2" baseType="variant">
      <vt:variant>
        <vt:lpstr>Title</vt:lpstr>
      </vt:variant>
      <vt:variant>
        <vt:i4>1</vt:i4>
      </vt:variant>
    </vt:vector>
  </HeadingPairs>
  <TitlesOfParts>
    <vt:vector size="1" baseType="lpstr">
      <vt:lpstr>CWS/5/-- (Arabic)</vt:lpstr>
    </vt:vector>
  </TitlesOfParts>
  <Company>World Intellectual Property Organization</Company>
  <LinksUpToDate>false</LinksUpToDate>
  <CharactersWithSpaces>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CWS/5/7 Rev.1 Annex (in Arabic)</dc:title>
  <dc:subject>Recommendations for the Transition Provision from WIPO Standard ST.25 to ST.26</dc:subject>
  <dc:creator>WIPO</dc:creator>
  <cp:keywords>CWS</cp:keywords>
  <cp:lastModifiedBy>ZAGO Bétina</cp:lastModifiedBy>
  <cp:revision>5</cp:revision>
  <cp:lastPrinted>2017-02-08T13:12:00Z</cp:lastPrinted>
  <dcterms:created xsi:type="dcterms:W3CDTF">2017-05-08T13:03:00Z</dcterms:created>
  <dcterms:modified xsi:type="dcterms:W3CDTF">2017-05-08T13:05:00Z</dcterms:modified>
</cp:coreProperties>
</file>