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FE5D75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 w:rsidRPr="00FE5D75">
        <w:rPr>
          <w:rFonts w:ascii="Arial Black" w:hAnsi="Arial Black"/>
          <w:caps/>
          <w:sz w:val="15"/>
          <w:szCs w:val="15"/>
        </w:rPr>
        <w:t>CWS/9/</w:t>
      </w:r>
      <w:r w:rsidR="00FE132C">
        <w:rPr>
          <w:rFonts w:ascii="Arial Black" w:hAnsi="Arial Black"/>
          <w:caps/>
          <w:sz w:val="15"/>
          <w:szCs w:val="15"/>
        </w:rPr>
        <w:t>10</w:t>
      </w:r>
      <w:r w:rsidR="008C3F68">
        <w:rPr>
          <w:rFonts w:ascii="Arial Black" w:hAnsi="Arial Black"/>
          <w:caps/>
          <w:sz w:val="15"/>
          <w:szCs w:val="15"/>
        </w:rPr>
        <w:t>/REV.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262607" w:rsidRPr="00262607">
        <w:rPr>
          <w:rFonts w:asciiTheme="minorHAnsi" w:hAnsiTheme="minorHAnsi"/>
          <w:caps/>
          <w:sz w:val="15"/>
          <w:szCs w:val="15"/>
          <w:rtl/>
        </w:rPr>
        <w:t>بالإنكليزية</w:t>
      </w:r>
    </w:p>
    <w:p w:rsidR="008B2CC1" w:rsidRPr="00CC3E2D" w:rsidRDefault="00CC3E2D" w:rsidP="00FE132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FE132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10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FE132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سبتمبر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</w:p>
    <w:bookmarkEnd w:id="3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FE5D7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</w:p>
    <w:p w:rsidR="008B2CC1" w:rsidRPr="00D67EAE" w:rsidRDefault="00D67EAE" w:rsidP="00FE5D7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:rsidR="008B2CC1" w:rsidRPr="00262607" w:rsidRDefault="00FE132C" w:rsidP="00FE132C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 w:rsidRPr="00FE132C">
        <w:rPr>
          <w:rFonts w:asciiTheme="minorHAnsi" w:hAnsiTheme="minorHAnsi"/>
          <w:caps/>
          <w:sz w:val="24"/>
          <w:szCs w:val="24"/>
          <w:rtl/>
        </w:rPr>
        <w:t xml:space="preserve">تقرير عن خطط التنفيذ لمعيار الويبو </w:t>
      </w:r>
      <w:r w:rsidRPr="00FE132C">
        <w:rPr>
          <w:rFonts w:asciiTheme="minorHAnsi" w:hAnsiTheme="minorHAnsi" w:cstheme="minorHAnsi"/>
          <w:caps/>
          <w:sz w:val="24"/>
          <w:szCs w:val="24"/>
        </w:rPr>
        <w:t>ST.61</w:t>
      </w:r>
    </w:p>
    <w:p w:rsidR="002928D3" w:rsidRPr="00FE132C" w:rsidRDefault="00D67EAE" w:rsidP="001D4107">
      <w:pPr>
        <w:spacing w:after="1040"/>
        <w:rPr>
          <w:rFonts w:asciiTheme="minorHAnsi" w:hAnsiTheme="minorHAnsi" w:cstheme="minorHAnsi"/>
          <w:b/>
          <w:bCs/>
          <w:iCs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262607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7969D1" w:rsidRPr="00FE132C" w:rsidRDefault="00FE132C" w:rsidP="00FE132C">
      <w:pPr>
        <w:pStyle w:val="Heading2"/>
        <w:rPr>
          <w:i/>
          <w:iCs w:val="0"/>
          <w:lang w:eastAsia="en-US" w:bidi="ar-LB"/>
        </w:rPr>
      </w:pPr>
      <w:r w:rsidRPr="00FE132C">
        <w:rPr>
          <w:rFonts w:hint="cs"/>
          <w:i/>
          <w:iCs w:val="0"/>
          <w:rtl/>
          <w:lang w:eastAsia="en-US"/>
        </w:rPr>
        <w:t>معلومات أساسية</w:t>
      </w:r>
    </w:p>
    <w:p w:rsidR="007969D1" w:rsidRDefault="00FE132C" w:rsidP="00FB108C">
      <w:pPr>
        <w:pStyle w:val="ONUMA"/>
        <w:rPr>
          <w:lang w:bidi="ar-LB"/>
        </w:rPr>
      </w:pPr>
      <w:r w:rsidRPr="00FE132C">
        <w:rPr>
          <w:rtl/>
        </w:rPr>
        <w:t xml:space="preserve">اعتمدت اللجنة المعنية بمعايير الويبو (لجنة المعايير)، في دورتها </w:t>
      </w:r>
      <w:r>
        <w:rPr>
          <w:rFonts w:hint="cs"/>
          <w:rtl/>
        </w:rPr>
        <w:t>الثامنة</w:t>
      </w:r>
      <w:r w:rsidRPr="00FE132C">
        <w:rPr>
          <w:rtl/>
        </w:rPr>
        <w:t xml:space="preserve"> التي عٌقدت في </w:t>
      </w:r>
      <w:r>
        <w:rPr>
          <w:rFonts w:hint="cs"/>
          <w:rtl/>
        </w:rPr>
        <w:t>2020</w:t>
      </w:r>
      <w:r w:rsidRPr="00FE132C">
        <w:rPr>
          <w:rtl/>
        </w:rPr>
        <w:t xml:space="preserve">، معيار الويبو </w:t>
      </w:r>
      <w:r w:rsidRPr="00FE132C">
        <w:t>ST.</w:t>
      </w:r>
      <w:r>
        <w:t>61</w:t>
      </w:r>
      <w:r w:rsidRPr="00FE132C">
        <w:rPr>
          <w:rtl/>
        </w:rPr>
        <w:t xml:space="preserve"> "توصية بشأن تبادل </w:t>
      </w:r>
      <w:r>
        <w:rPr>
          <w:rtl/>
        </w:rPr>
        <w:t>بيانات الوضع القانوني للبراءات"</w:t>
      </w:r>
      <w:r>
        <w:rPr>
          <w:rFonts w:hint="cs"/>
          <w:rtl/>
        </w:rPr>
        <w:t>.</w:t>
      </w:r>
      <w:r w:rsidR="00FB108C" w:rsidRPr="00A1217B">
        <w:t xml:space="preserve"> </w:t>
      </w:r>
      <w:r w:rsidR="00FB108C" w:rsidRPr="00FB108C">
        <w:rPr>
          <w:rtl/>
          <w:lang w:val="fr-FR"/>
        </w:rPr>
        <w:t>وقد طلبت من الأمانة إصدار تعميم يدعو مكاتب الملكية الفكرية</w:t>
      </w:r>
      <w:r w:rsidR="00FB108C" w:rsidRPr="00A1217B">
        <w:t xml:space="preserve"> </w:t>
      </w:r>
      <w:r w:rsidR="00FB108C" w:rsidRPr="00FB108C">
        <w:rPr>
          <w:rtl/>
        </w:rPr>
        <w:t xml:space="preserve">إلى تقييم ممارساته المؤسسية وأنظمته المعلوماتية فيما يتصل بمعيار الويبو </w:t>
      </w:r>
      <w:r w:rsidR="00FB108C" w:rsidRPr="00FB108C">
        <w:t>ST.61</w:t>
      </w:r>
      <w:r w:rsidR="00FB108C" w:rsidRPr="00FB108C">
        <w:rPr>
          <w:rtl/>
        </w:rPr>
        <w:t>، وتقديم خطة التنفيذ وجدول الخرائط الخاصين به.</w:t>
      </w:r>
      <w:r w:rsidR="00FB108C">
        <w:rPr>
          <w:rFonts w:hint="cs"/>
          <w:rtl/>
        </w:rPr>
        <w:t xml:space="preserve"> (انظر الفقرات من 27 إلى 30 من الوثيقة </w:t>
      </w:r>
      <w:r w:rsidR="00FB108C" w:rsidRPr="00FB108C">
        <w:t>CWS/8/24</w:t>
      </w:r>
      <w:r w:rsidR="00FB108C">
        <w:rPr>
          <w:rFonts w:hint="cs"/>
          <w:rtl/>
        </w:rPr>
        <w:t>).</w:t>
      </w:r>
    </w:p>
    <w:p w:rsidR="00206593" w:rsidRPr="00C74BB4" w:rsidRDefault="00206593" w:rsidP="00C74BB4">
      <w:pPr>
        <w:pStyle w:val="Heading2"/>
        <w:rPr>
          <w:i/>
          <w:iCs w:val="0"/>
          <w:rtl/>
          <w:lang w:eastAsia="en-US"/>
        </w:rPr>
      </w:pPr>
      <w:r w:rsidRPr="00C74BB4">
        <w:rPr>
          <w:rFonts w:hint="cs"/>
          <w:i/>
          <w:iCs w:val="0"/>
          <w:rtl/>
          <w:lang w:eastAsia="en-US"/>
        </w:rPr>
        <w:t>التقرير</w:t>
      </w:r>
    </w:p>
    <w:p w:rsidR="00C74BB4" w:rsidRDefault="00C74BB4" w:rsidP="008C3F68">
      <w:pPr>
        <w:pStyle w:val="ONUMA"/>
      </w:pPr>
      <w:r>
        <w:rPr>
          <w:rFonts w:hint="cs"/>
          <w:rtl/>
        </w:rPr>
        <w:t xml:space="preserve">أصدرت الأمانة </w:t>
      </w:r>
      <w:r>
        <w:rPr>
          <w:rtl/>
        </w:rPr>
        <w:t xml:space="preserve">في يوليو 2021 التعميم </w:t>
      </w:r>
      <w:r>
        <w:t>C.CWS.152</w:t>
      </w:r>
      <w:r>
        <w:rPr>
          <w:rtl/>
        </w:rPr>
        <w:t xml:space="preserve"> الذي يدعو مكاتب الملكية الفكرية إلى مشاركة خطط التنفيذ المؤقتة وجدول الخرائط للمعيار </w:t>
      </w:r>
      <w:r>
        <w:t>ST.61</w:t>
      </w:r>
      <w:r>
        <w:rPr>
          <w:rtl/>
        </w:rPr>
        <w:t xml:space="preserve">. </w:t>
      </w:r>
      <w:r w:rsidR="00333351">
        <w:rPr>
          <w:rtl/>
        </w:rPr>
        <w:t>وقد استجاب</w:t>
      </w:r>
      <w:r>
        <w:rPr>
          <w:rtl/>
        </w:rPr>
        <w:t xml:space="preserve"> </w:t>
      </w:r>
      <w:r w:rsidR="008C3F68">
        <w:rPr>
          <w:rFonts w:hint="cs"/>
          <w:rtl/>
        </w:rPr>
        <w:t>أربعة</w:t>
      </w:r>
      <w:r>
        <w:rPr>
          <w:rtl/>
        </w:rPr>
        <w:t xml:space="preserve"> عشر </w:t>
      </w:r>
      <w:r w:rsidR="00333351">
        <w:rPr>
          <w:rFonts w:hint="cs"/>
          <w:rtl/>
        </w:rPr>
        <w:t>مكتبا</w:t>
      </w:r>
      <w:r w:rsidR="00333351">
        <w:rPr>
          <w:rtl/>
        </w:rPr>
        <w:t xml:space="preserve"> للتعميم</w:t>
      </w:r>
      <w:r>
        <w:rPr>
          <w:rtl/>
        </w:rPr>
        <w:t xml:space="preserve">، </w:t>
      </w:r>
      <w:r w:rsidR="00333351">
        <w:rPr>
          <w:rFonts w:hint="cs"/>
          <w:rtl/>
        </w:rPr>
        <w:t>حيث</w:t>
      </w:r>
      <w:r>
        <w:rPr>
          <w:rtl/>
        </w:rPr>
        <w:t xml:space="preserve"> </w:t>
      </w:r>
      <w:r w:rsidR="00333351">
        <w:rPr>
          <w:rFonts w:hint="cs"/>
          <w:rtl/>
        </w:rPr>
        <w:t>قدم</w:t>
      </w:r>
      <w:r>
        <w:rPr>
          <w:rtl/>
        </w:rPr>
        <w:t xml:space="preserve"> 11 من</w:t>
      </w:r>
      <w:r w:rsidR="00333351">
        <w:rPr>
          <w:rFonts w:hint="cs"/>
          <w:rtl/>
        </w:rPr>
        <w:t>ها</w:t>
      </w:r>
      <w:r>
        <w:rPr>
          <w:rtl/>
        </w:rPr>
        <w:t xml:space="preserve"> جداول الخرائط. </w:t>
      </w:r>
      <w:r w:rsidR="00333351">
        <w:rPr>
          <w:rFonts w:hint="cs"/>
          <w:rtl/>
        </w:rPr>
        <w:t>وترد</w:t>
      </w:r>
      <w:r>
        <w:rPr>
          <w:rtl/>
        </w:rPr>
        <w:t xml:space="preserve"> جداول الخرائط </w:t>
      </w:r>
      <w:r w:rsidR="00333351">
        <w:rPr>
          <w:rFonts w:hint="cs"/>
          <w:rtl/>
        </w:rPr>
        <w:t xml:space="preserve">تلك </w:t>
      </w:r>
      <w:r>
        <w:rPr>
          <w:rtl/>
        </w:rPr>
        <w:t>كمرفق لهذه الوثيقة لتنظر فيها لجنة المعايير.</w:t>
      </w:r>
    </w:p>
    <w:p w:rsidR="00425C84" w:rsidRDefault="004F57F4" w:rsidP="00310F9C">
      <w:pPr>
        <w:pStyle w:val="ONUMA"/>
        <w:rPr>
          <w:rtl/>
        </w:rPr>
        <w:sectPr w:rsidR="00425C84" w:rsidSect="00CC3E2D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>
        <w:rPr>
          <w:rFonts w:hint="cs"/>
          <w:rtl/>
        </w:rPr>
        <w:t>و</w:t>
      </w:r>
      <w:r>
        <w:rPr>
          <w:rtl/>
        </w:rPr>
        <w:t>من بين المستجيبين</w:t>
      </w:r>
      <w:r w:rsidR="00C74BB4">
        <w:rPr>
          <w:rtl/>
        </w:rPr>
        <w:t xml:space="preserve">، تخطط ثلاثة مكاتب </w:t>
      </w:r>
      <w:r>
        <w:rPr>
          <w:rFonts w:hint="cs"/>
          <w:rtl/>
        </w:rPr>
        <w:t>للملكية الفكرية</w:t>
      </w:r>
      <w:r w:rsidR="00C74BB4">
        <w:rPr>
          <w:rtl/>
        </w:rPr>
        <w:t xml:space="preserve"> </w:t>
      </w:r>
      <w:r>
        <w:rPr>
          <w:rFonts w:hint="cs"/>
          <w:rtl/>
        </w:rPr>
        <w:t>الشروع</w:t>
      </w:r>
      <w:r w:rsidR="00C74BB4">
        <w:rPr>
          <w:rtl/>
        </w:rPr>
        <w:t xml:space="preserve"> في تنفيذها للمعيار </w:t>
      </w:r>
      <w:r w:rsidR="00C74BB4">
        <w:t>ST.61</w:t>
      </w:r>
      <w:r w:rsidR="00C74BB4">
        <w:rPr>
          <w:rtl/>
        </w:rPr>
        <w:t xml:space="preserve"> في عام 2022 أو 2023. وذكرت </w:t>
      </w:r>
      <w:r w:rsidR="00310F9C">
        <w:rPr>
          <w:rFonts w:hint="cs"/>
          <w:rtl/>
        </w:rPr>
        <w:t>ستة</w:t>
      </w:r>
      <w:r w:rsidR="00C74BB4">
        <w:rPr>
          <w:rtl/>
        </w:rPr>
        <w:t xml:space="preserve"> مكاتب </w:t>
      </w:r>
      <w:r>
        <w:rPr>
          <w:rFonts w:hint="cs"/>
          <w:rtl/>
        </w:rPr>
        <w:t>للملكية الفكرية</w:t>
      </w:r>
      <w:r w:rsidR="00C74BB4">
        <w:rPr>
          <w:rtl/>
        </w:rPr>
        <w:t xml:space="preserve"> أنها لا تعرف حاليًا </w:t>
      </w:r>
      <w:r>
        <w:rPr>
          <w:rFonts w:hint="cs"/>
          <w:rtl/>
        </w:rPr>
        <w:t>الوقت الذي ستشرع في</w:t>
      </w:r>
      <w:r w:rsidR="00C74BB4">
        <w:rPr>
          <w:rtl/>
        </w:rPr>
        <w:t xml:space="preserve"> تنفيذها. ولم تقدم مكاتب الملكية الفكرية الخمسة الأخرى أي معلومات عن الجدول الزمني لتنفيذها.</w:t>
      </w:r>
    </w:p>
    <w:p w:rsidR="004F57F4" w:rsidRDefault="004F57F4" w:rsidP="005508A8">
      <w:pPr>
        <w:pStyle w:val="ONUMA"/>
        <w:ind w:left="6025" w:hanging="540"/>
      </w:pPr>
      <w:r>
        <w:rPr>
          <w:rFonts w:hint="cs"/>
          <w:rtl/>
        </w:rPr>
        <w:lastRenderedPageBreak/>
        <w:t>إن لجنة المعايير مدعوة إلى ما يلي:</w:t>
      </w:r>
    </w:p>
    <w:p w:rsidR="005508A8" w:rsidRDefault="005508A8" w:rsidP="008C3F68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</w:pPr>
      <w:r>
        <w:rPr>
          <w:rFonts w:hint="cs"/>
          <w:rtl/>
        </w:rPr>
        <w:t xml:space="preserve"> </w:t>
      </w:r>
      <w:r w:rsidR="000B2A4E">
        <w:rPr>
          <w:rFonts w:hint="cs"/>
          <w:rtl/>
        </w:rPr>
        <w:t>الإحاطة علما</w:t>
      </w:r>
      <w:r>
        <w:rPr>
          <w:rtl/>
        </w:rPr>
        <w:t xml:space="preserve"> </w:t>
      </w:r>
      <w:r w:rsidR="000B2A4E">
        <w:rPr>
          <w:rFonts w:hint="cs"/>
          <w:rtl/>
        </w:rPr>
        <w:t>ب</w:t>
      </w:r>
      <w:r>
        <w:rPr>
          <w:rtl/>
        </w:rPr>
        <w:t xml:space="preserve">محتوى هذه الوثيقة وجداول الخرائط المذكورة في الفقرة 2 أعلاه </w:t>
      </w:r>
      <w:r w:rsidR="000B2A4E">
        <w:rPr>
          <w:rFonts w:hint="cs"/>
          <w:rtl/>
        </w:rPr>
        <w:t>والواردة</w:t>
      </w:r>
      <w:r>
        <w:rPr>
          <w:rtl/>
        </w:rPr>
        <w:t xml:space="preserve"> في مرفق هذه الو</w:t>
      </w:r>
      <w:r w:rsidR="000B2A4E">
        <w:rPr>
          <w:rtl/>
        </w:rPr>
        <w:t>ثيقة</w:t>
      </w:r>
      <w:r>
        <w:rPr>
          <w:rtl/>
        </w:rPr>
        <w:t xml:space="preserve">؛ </w:t>
      </w:r>
    </w:p>
    <w:p w:rsidR="004F57F4" w:rsidRDefault="000B2A4E" w:rsidP="000B2A4E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rtl/>
        </w:rPr>
      </w:pPr>
      <w:r>
        <w:rPr>
          <w:rFonts w:hint="cs"/>
          <w:rtl/>
        </w:rPr>
        <w:t>وا</w:t>
      </w:r>
      <w:r w:rsidR="005508A8">
        <w:rPr>
          <w:rtl/>
        </w:rPr>
        <w:t xml:space="preserve">لموافقة على نشر جداول خرائط معيار الويبو </w:t>
      </w:r>
      <w:r w:rsidR="005508A8">
        <w:t>ST.61</w:t>
      </w:r>
      <w:r w:rsidR="005508A8">
        <w:rPr>
          <w:rtl/>
        </w:rPr>
        <w:t xml:space="preserve"> الواردة في مرفق هذه الوثيقة في الجزء </w:t>
      </w:r>
      <w:r>
        <w:rPr>
          <w:rFonts w:hint="cs"/>
          <w:rtl/>
        </w:rPr>
        <w:t>13.7</w:t>
      </w:r>
      <w:r w:rsidR="005508A8">
        <w:rPr>
          <w:rtl/>
        </w:rPr>
        <w:t xml:space="preserve"> من </w:t>
      </w:r>
      <w:r w:rsidRPr="000B2A4E">
        <w:rPr>
          <w:rtl/>
        </w:rPr>
        <w:t>دليل الويبو بشأن المعلومات والوثائق المتعلقة بالملكية الصناعية</w:t>
      </w:r>
      <w:r w:rsidR="005508A8">
        <w:rPr>
          <w:rtl/>
        </w:rPr>
        <w:t>.</w:t>
      </w:r>
    </w:p>
    <w:p w:rsidR="00206593" w:rsidRDefault="00206593" w:rsidP="000B2A4E">
      <w:pPr>
        <w:pStyle w:val="BodyText"/>
        <w:rPr>
          <w:rFonts w:eastAsia="Times New Roman"/>
          <w:rtl/>
          <w:lang w:eastAsia="en-US"/>
        </w:rPr>
      </w:pPr>
    </w:p>
    <w:p w:rsidR="00425C84" w:rsidRDefault="00206593" w:rsidP="000B2A4E">
      <w:pPr>
        <w:pStyle w:val="Endofdocument-Annex"/>
        <w:rPr>
          <w:rtl/>
          <w:lang w:eastAsia="en-US"/>
        </w:rPr>
        <w:sectPr w:rsidR="00425C84" w:rsidSect="00CC3E2D">
          <w:headerReference w:type="first" r:id="rId14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 w:rsidRPr="007969D1">
        <w:rPr>
          <w:rtl/>
          <w:lang w:eastAsia="en-US"/>
        </w:rPr>
        <w:t xml:space="preserve"> </w:t>
      </w:r>
      <w:r w:rsidR="007969D1" w:rsidRPr="007969D1">
        <w:rPr>
          <w:rtl/>
          <w:lang w:eastAsia="en-US"/>
        </w:rPr>
        <w:t>[</w:t>
      </w:r>
      <w:r w:rsidR="000B2A4E">
        <w:rPr>
          <w:rFonts w:hint="cs"/>
          <w:rtl/>
          <w:lang w:eastAsia="en-US"/>
        </w:rPr>
        <w:t>يلي ذلك المرفق</w:t>
      </w:r>
      <w:r w:rsidR="007969D1" w:rsidRPr="007969D1">
        <w:rPr>
          <w:rtl/>
          <w:lang w:eastAsia="en-US"/>
        </w:rPr>
        <w:t>]</w:t>
      </w:r>
    </w:p>
    <w:p w:rsidR="00425C84" w:rsidRDefault="00425C84" w:rsidP="00425C84">
      <w:pPr>
        <w:pStyle w:val="Heading2"/>
        <w:rPr>
          <w:i/>
          <w:iCs w:val="0"/>
          <w:rtl/>
          <w:lang w:eastAsia="en-US"/>
        </w:rPr>
      </w:pPr>
      <w:r w:rsidRPr="00425C84">
        <w:rPr>
          <w:rFonts w:hint="cs"/>
          <w:i/>
          <w:iCs w:val="0"/>
          <w:rtl/>
          <w:lang w:eastAsia="en-US"/>
        </w:rPr>
        <w:t>المرفق</w:t>
      </w:r>
    </w:p>
    <w:p w:rsidR="00425C84" w:rsidRPr="00425C84" w:rsidRDefault="00425C84" w:rsidP="00425C84">
      <w:pPr>
        <w:rPr>
          <w:rtl/>
          <w:lang w:eastAsia="en-US"/>
        </w:rPr>
      </w:pPr>
    </w:p>
    <w:p w:rsidR="00425C84" w:rsidRDefault="00425C84" w:rsidP="00425C84">
      <w:pPr>
        <w:rPr>
          <w:rtl/>
          <w:lang w:eastAsia="en-US"/>
        </w:rPr>
      </w:pPr>
    </w:p>
    <w:p w:rsidR="00425C84" w:rsidRDefault="006D03D2" w:rsidP="006D03D2">
      <w:pPr>
        <w:rPr>
          <w:rtl/>
          <w:lang w:eastAsia="en-US"/>
        </w:rPr>
      </w:pPr>
      <w:r>
        <w:rPr>
          <w:rFonts w:hint="cs"/>
          <w:rtl/>
          <w:lang w:eastAsia="en-US"/>
        </w:rPr>
        <w:t>الملف الموحد ل</w:t>
      </w:r>
      <w:r w:rsidRPr="006D03D2">
        <w:rPr>
          <w:rtl/>
          <w:lang w:eastAsia="en-US"/>
        </w:rPr>
        <w:t xml:space="preserve">جداول </w:t>
      </w:r>
      <w:r>
        <w:rPr>
          <w:rFonts w:hint="cs"/>
          <w:rtl/>
          <w:lang w:eastAsia="en-US"/>
        </w:rPr>
        <w:t>ال</w:t>
      </w:r>
      <w:r w:rsidRPr="006D03D2">
        <w:rPr>
          <w:rtl/>
          <w:lang w:eastAsia="en-US"/>
        </w:rPr>
        <w:t xml:space="preserve">خرائط </w:t>
      </w:r>
      <w:r>
        <w:rPr>
          <w:rFonts w:hint="cs"/>
          <w:rtl/>
          <w:lang w:eastAsia="en-US"/>
        </w:rPr>
        <w:t>الخاصة بمكاتب الملكية الفكرية</w:t>
      </w:r>
      <w:r w:rsidRPr="006D03D2"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بشأن</w:t>
      </w:r>
      <w:r>
        <w:rPr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ا</w:t>
      </w:r>
      <w:r w:rsidRPr="006D03D2">
        <w:rPr>
          <w:rtl/>
          <w:lang w:eastAsia="en-US"/>
        </w:rPr>
        <w:t xml:space="preserve">لمعيار </w:t>
      </w:r>
      <w:r w:rsidRPr="006D03D2">
        <w:rPr>
          <w:lang w:eastAsia="en-US"/>
        </w:rPr>
        <w:t>ST.61</w:t>
      </w:r>
      <w:r w:rsidRPr="006D03D2">
        <w:rPr>
          <w:rtl/>
          <w:lang w:eastAsia="en-US"/>
        </w:rPr>
        <w:t>:</w:t>
      </w:r>
      <w:r>
        <w:rPr>
          <w:rFonts w:hint="cs"/>
          <w:rtl/>
          <w:lang w:eastAsia="en-US"/>
        </w:rPr>
        <w:t xml:space="preserve"> </w:t>
      </w:r>
      <w:hyperlink r:id="rId15" w:history="1">
        <w:r w:rsidRPr="006D03D2">
          <w:rPr>
            <w:rStyle w:val="Hyperlink"/>
            <w:lang w:eastAsia="en-US"/>
          </w:rPr>
          <w:t>cws_9_10-annex1.xlsx</w:t>
        </w:r>
      </w:hyperlink>
      <w:r>
        <w:rPr>
          <w:rFonts w:hint="cs"/>
          <w:rtl/>
          <w:lang w:eastAsia="en-US"/>
        </w:rPr>
        <w:t xml:space="preserve"> </w:t>
      </w:r>
    </w:p>
    <w:p w:rsidR="00425C84" w:rsidRDefault="00425C84" w:rsidP="00425C84">
      <w:pPr>
        <w:rPr>
          <w:rtl/>
          <w:lang w:eastAsia="en-US"/>
        </w:rPr>
      </w:pPr>
    </w:p>
    <w:p w:rsidR="007969D1" w:rsidRPr="00425C84" w:rsidRDefault="00425C84" w:rsidP="00425C84">
      <w:pPr>
        <w:pStyle w:val="Endofdocument-Annex"/>
        <w:rPr>
          <w:rtl/>
          <w:lang w:eastAsia="en-US"/>
        </w:rPr>
      </w:pPr>
      <w:r>
        <w:rPr>
          <w:rtl/>
          <w:lang w:eastAsia="en-US"/>
        </w:rPr>
        <w:t>[نهاية المرفق والوثيقة]</w:t>
      </w:r>
    </w:p>
    <w:sectPr w:rsidR="007969D1" w:rsidRPr="00425C84" w:rsidSect="00CC3E2D">
      <w:headerReference w:type="first" r:id="rId16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49" w:rsidRDefault="00E67D49">
      <w:r>
        <w:separator/>
      </w:r>
    </w:p>
  </w:endnote>
  <w:endnote w:type="continuationSeparator" w:id="0">
    <w:p w:rsidR="00E67D49" w:rsidRDefault="00E67D49" w:rsidP="003B38C1">
      <w:r>
        <w:separator/>
      </w:r>
    </w:p>
    <w:p w:rsidR="00E67D49" w:rsidRPr="003B38C1" w:rsidRDefault="00E67D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67D49" w:rsidRPr="003B38C1" w:rsidRDefault="00E67D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49" w:rsidRDefault="00E67D49">
      <w:r>
        <w:separator/>
      </w:r>
    </w:p>
  </w:footnote>
  <w:footnote w:type="continuationSeparator" w:id="0">
    <w:p w:rsidR="00E67D49" w:rsidRDefault="00E67D49" w:rsidP="008B60B2">
      <w:r>
        <w:separator/>
      </w:r>
    </w:p>
    <w:p w:rsidR="00E67D49" w:rsidRPr="00ED77FB" w:rsidRDefault="00E67D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67D49" w:rsidRPr="00ED77FB" w:rsidRDefault="00E67D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7969D1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>
      <w:rPr>
        <w:caps/>
      </w:rPr>
      <w:t>9</w:t>
    </w:r>
    <w:r w:rsidR="00250149">
      <w:rPr>
        <w:caps/>
      </w:rPr>
      <w:t>/</w:t>
    </w:r>
    <w:r w:rsidR="007969D1">
      <w:rPr>
        <w:caps/>
      </w:rPr>
      <w:t xml:space="preserve">1 </w:t>
    </w:r>
    <w:r w:rsidR="007969D1">
      <w:rPr>
        <w:rFonts w:eastAsia="Times New Roman"/>
        <w:lang w:eastAsia="en-US"/>
      </w:rPr>
      <w:t>Prov.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0B2A4E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C84" w:rsidRDefault="00425C84" w:rsidP="00425C84">
    <w:pPr>
      <w:pStyle w:val="Header"/>
      <w:bidi w:val="0"/>
      <w:jc w:val="right"/>
      <w:rPr>
        <w:rtl/>
      </w:rPr>
    </w:pPr>
  </w:p>
  <w:p w:rsidR="00425C84" w:rsidRDefault="00425C84" w:rsidP="00425C84">
    <w:pPr>
      <w:pStyle w:val="Header"/>
      <w:bidi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B4" w:rsidRPr="00425C84" w:rsidRDefault="007161B4" w:rsidP="008C3F68">
    <w:pPr>
      <w:jc w:val="right"/>
      <w:rPr>
        <w:rFonts w:cs="Arial"/>
        <w:caps/>
        <w:szCs w:val="20"/>
      </w:rPr>
    </w:pPr>
    <w:r w:rsidRPr="00425C84">
      <w:rPr>
        <w:rFonts w:cs="Arial"/>
        <w:caps/>
        <w:szCs w:val="20"/>
      </w:rPr>
      <w:t>CWS/9/10</w:t>
    </w:r>
    <w:r w:rsidR="008C3F68">
      <w:rPr>
        <w:rFonts w:cs="Arial"/>
        <w:caps/>
        <w:szCs w:val="20"/>
      </w:rPr>
      <w:t>/R</w:t>
    </w:r>
    <w:r w:rsidR="008C3F68">
      <w:t>ev</w:t>
    </w:r>
    <w:r w:rsidR="008C3F68">
      <w:rPr>
        <w:rFonts w:cs="Arial"/>
        <w:caps/>
        <w:szCs w:val="20"/>
      </w:rPr>
      <w:t>.</w:t>
    </w:r>
  </w:p>
  <w:p w:rsidR="007161B4" w:rsidRPr="00425C84" w:rsidRDefault="007161B4" w:rsidP="00425C84">
    <w:pPr>
      <w:jc w:val="right"/>
      <w:rPr>
        <w:rFonts w:cs="Arial"/>
        <w:szCs w:val="20"/>
      </w:rPr>
    </w:pPr>
    <w:r w:rsidRPr="00425C84">
      <w:rPr>
        <w:rFonts w:cs="Arial"/>
        <w:szCs w:val="20"/>
      </w:rPr>
      <w:fldChar w:fldCharType="begin"/>
    </w:r>
    <w:r w:rsidRPr="00425C84">
      <w:rPr>
        <w:rFonts w:cs="Arial"/>
        <w:szCs w:val="20"/>
      </w:rPr>
      <w:instrText xml:space="preserve"> PAGE  \* MERGEFORMAT </w:instrText>
    </w:r>
    <w:r w:rsidRPr="00425C84">
      <w:rPr>
        <w:rFonts w:cs="Arial"/>
        <w:szCs w:val="20"/>
      </w:rPr>
      <w:fldChar w:fldCharType="separate"/>
    </w:r>
    <w:r w:rsidR="00A1217B">
      <w:rPr>
        <w:rFonts w:cs="Arial"/>
        <w:noProof/>
        <w:szCs w:val="20"/>
      </w:rPr>
      <w:t>2</w:t>
    </w:r>
    <w:r w:rsidRPr="00425C84">
      <w:rPr>
        <w:rFonts w:cs="Arial"/>
        <w:szCs w:val="20"/>
      </w:rPr>
      <w:fldChar w:fldCharType="end"/>
    </w:r>
  </w:p>
  <w:p w:rsidR="007161B4" w:rsidRDefault="007161B4" w:rsidP="00425C84">
    <w:pPr>
      <w:pStyle w:val="Header"/>
      <w:bidi w:val="0"/>
      <w:jc w:val="right"/>
      <w:rPr>
        <w:rtl/>
      </w:rPr>
    </w:pPr>
  </w:p>
  <w:p w:rsidR="007161B4" w:rsidRDefault="007161B4" w:rsidP="00425C84">
    <w:pPr>
      <w:pStyle w:val="Header"/>
      <w:bidi w:val="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C84" w:rsidRPr="00310F9C" w:rsidRDefault="00425C84" w:rsidP="00310F9C">
    <w:pPr>
      <w:jc w:val="right"/>
      <w:rPr>
        <w:lang w:eastAsia="en-US"/>
      </w:rPr>
    </w:pPr>
    <w:r w:rsidRPr="00425C84">
      <w:rPr>
        <w:rFonts w:cs="Arial"/>
        <w:caps/>
        <w:szCs w:val="20"/>
      </w:rPr>
      <w:t>CWS/9/10</w:t>
    </w:r>
    <w:r w:rsidR="00310F9C">
      <w:rPr>
        <w:rFonts w:cs="Arial"/>
        <w:caps/>
        <w:szCs w:val="20"/>
      </w:rPr>
      <w:t>/R</w:t>
    </w:r>
    <w:r w:rsidR="00310F9C">
      <w:rPr>
        <w:lang w:eastAsia="en-US"/>
      </w:rPr>
      <w:t>ev.</w:t>
    </w:r>
  </w:p>
  <w:p w:rsidR="005A5F0B" w:rsidRPr="00425C84" w:rsidRDefault="005A5F0B" w:rsidP="00425C84">
    <w:pPr>
      <w:jc w:val="right"/>
      <w:rPr>
        <w:rFonts w:cs="Arial"/>
        <w:caps/>
        <w:szCs w:val="20"/>
      </w:rPr>
    </w:pPr>
    <w:r>
      <w:rPr>
        <w:rFonts w:cs="Arial"/>
        <w:caps/>
        <w:szCs w:val="20"/>
      </w:rPr>
      <w:t>ANNEX</w:t>
    </w:r>
  </w:p>
  <w:p w:rsidR="00425C84" w:rsidRPr="00425C84" w:rsidRDefault="007161B4" w:rsidP="00425C84">
    <w:pPr>
      <w:jc w:val="right"/>
      <w:rPr>
        <w:rFonts w:asciiTheme="minorHAnsi" w:hAnsiTheme="minorHAnsi" w:cstheme="minorHAnsi"/>
        <w:szCs w:val="20"/>
      </w:rPr>
    </w:pPr>
    <w:r w:rsidRPr="007161B4">
      <w:rPr>
        <w:rFonts w:asciiTheme="minorHAnsi" w:hAnsiTheme="minorHAnsi" w:cstheme="minorHAnsi"/>
        <w:szCs w:val="20"/>
        <w:rtl/>
      </w:rPr>
      <w:t>المرفق</w:t>
    </w:r>
  </w:p>
  <w:p w:rsidR="00425C84" w:rsidRDefault="00425C84" w:rsidP="00425C84">
    <w:pPr>
      <w:pStyle w:val="Header"/>
      <w:bidi w:val="0"/>
      <w:jc w:val="right"/>
      <w:rPr>
        <w:rtl/>
      </w:rPr>
    </w:pPr>
  </w:p>
  <w:p w:rsidR="00425C84" w:rsidRDefault="00425C84" w:rsidP="00425C84">
    <w:pPr>
      <w:pStyle w:val="Header"/>
      <w:bidi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0" w15:restartNumberingAfterBreak="0">
    <w:nsid w:val="3F683FE3"/>
    <w:multiLevelType w:val="hybridMultilevel"/>
    <w:tmpl w:val="12D4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D64410"/>
    <w:multiLevelType w:val="hybridMultilevel"/>
    <w:tmpl w:val="AB046E7E"/>
    <w:lvl w:ilvl="0" w:tplc="1F74F788">
      <w:start w:val="1"/>
      <w:numFmt w:val="arabicAlpha"/>
      <w:lvlText w:val="(%1)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20061B"/>
    <w:multiLevelType w:val="multilevel"/>
    <w:tmpl w:val="ACAA6F7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9"/>
  </w:num>
  <w:num w:numId="9">
    <w:abstractNumId w:val="10"/>
  </w:num>
  <w:num w:numId="10">
    <w:abstractNumId w:val="14"/>
  </w:num>
  <w:num w:numId="11">
    <w:abstractNumId w:val="18"/>
  </w:num>
  <w:num w:numId="12">
    <w:abstractNumId w:val="15"/>
  </w:num>
  <w:num w:numId="13">
    <w:abstractNumId w:val="20"/>
  </w:num>
  <w:num w:numId="14">
    <w:abstractNumId w:val="4"/>
  </w:num>
  <w:num w:numId="15">
    <w:abstractNumId w:val="8"/>
  </w:num>
  <w:num w:numId="16">
    <w:abstractNumId w:val="2"/>
  </w:num>
  <w:num w:numId="17">
    <w:abstractNumId w:val="11"/>
  </w:num>
  <w:num w:numId="18">
    <w:abstractNumId w:val="17"/>
  </w:num>
  <w:num w:numId="19">
    <w:abstractNumId w:val="5"/>
  </w:num>
  <w:num w:numId="20">
    <w:abstractNumId w:val="21"/>
  </w:num>
  <w:num w:numId="21">
    <w:abstractNumId w:val="7"/>
  </w:num>
  <w:num w:numId="22">
    <w:abstractNumId w:val="22"/>
  </w:num>
  <w:num w:numId="23">
    <w:abstractNumId w:val="13"/>
  </w:num>
  <w:num w:numId="24">
    <w:abstractNumId w:val="1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43CAA"/>
    <w:rsid w:val="00056816"/>
    <w:rsid w:val="00075432"/>
    <w:rsid w:val="000910E5"/>
    <w:rsid w:val="000968ED"/>
    <w:rsid w:val="000A3D97"/>
    <w:rsid w:val="000B2A4E"/>
    <w:rsid w:val="000B5B36"/>
    <w:rsid w:val="000D3DAB"/>
    <w:rsid w:val="000F5E56"/>
    <w:rsid w:val="001362EE"/>
    <w:rsid w:val="001406E1"/>
    <w:rsid w:val="00140F22"/>
    <w:rsid w:val="00155D8A"/>
    <w:rsid w:val="001647D5"/>
    <w:rsid w:val="00167832"/>
    <w:rsid w:val="001832A6"/>
    <w:rsid w:val="0019592A"/>
    <w:rsid w:val="001D4107"/>
    <w:rsid w:val="00203D24"/>
    <w:rsid w:val="00206593"/>
    <w:rsid w:val="00210D5F"/>
    <w:rsid w:val="0021217E"/>
    <w:rsid w:val="002326AB"/>
    <w:rsid w:val="00243430"/>
    <w:rsid w:val="00250149"/>
    <w:rsid w:val="00262607"/>
    <w:rsid w:val="002634C4"/>
    <w:rsid w:val="00265354"/>
    <w:rsid w:val="002928D3"/>
    <w:rsid w:val="002A7B3A"/>
    <w:rsid w:val="002F1FE6"/>
    <w:rsid w:val="002F4E68"/>
    <w:rsid w:val="00303282"/>
    <w:rsid w:val="00310F9C"/>
    <w:rsid w:val="00312F7F"/>
    <w:rsid w:val="00321316"/>
    <w:rsid w:val="00321EB3"/>
    <w:rsid w:val="00327E12"/>
    <w:rsid w:val="00333351"/>
    <w:rsid w:val="003452A8"/>
    <w:rsid w:val="00361450"/>
    <w:rsid w:val="003673CF"/>
    <w:rsid w:val="003845C1"/>
    <w:rsid w:val="003A6F89"/>
    <w:rsid w:val="003B355C"/>
    <w:rsid w:val="003B3581"/>
    <w:rsid w:val="003B38C1"/>
    <w:rsid w:val="003C2BAF"/>
    <w:rsid w:val="003C34E9"/>
    <w:rsid w:val="003F20F4"/>
    <w:rsid w:val="00423E3E"/>
    <w:rsid w:val="00425C84"/>
    <w:rsid w:val="00427AF4"/>
    <w:rsid w:val="004434C3"/>
    <w:rsid w:val="0045246E"/>
    <w:rsid w:val="00452F85"/>
    <w:rsid w:val="00461B51"/>
    <w:rsid w:val="004647DA"/>
    <w:rsid w:val="00474062"/>
    <w:rsid w:val="00477D6B"/>
    <w:rsid w:val="0048522D"/>
    <w:rsid w:val="004D29A8"/>
    <w:rsid w:val="004F57F4"/>
    <w:rsid w:val="005019FF"/>
    <w:rsid w:val="0050470A"/>
    <w:rsid w:val="0053057A"/>
    <w:rsid w:val="00532099"/>
    <w:rsid w:val="005508A8"/>
    <w:rsid w:val="00553081"/>
    <w:rsid w:val="00556076"/>
    <w:rsid w:val="00560A29"/>
    <w:rsid w:val="005740C5"/>
    <w:rsid w:val="0059409E"/>
    <w:rsid w:val="005A5F0B"/>
    <w:rsid w:val="005B2C79"/>
    <w:rsid w:val="005B453D"/>
    <w:rsid w:val="005C6649"/>
    <w:rsid w:val="005E7B89"/>
    <w:rsid w:val="005F0828"/>
    <w:rsid w:val="00600D30"/>
    <w:rsid w:val="00605827"/>
    <w:rsid w:val="00646050"/>
    <w:rsid w:val="006713CA"/>
    <w:rsid w:val="00676C5C"/>
    <w:rsid w:val="006B5C12"/>
    <w:rsid w:val="006D03D2"/>
    <w:rsid w:val="006D27D2"/>
    <w:rsid w:val="006D7AAB"/>
    <w:rsid w:val="006D7C7A"/>
    <w:rsid w:val="006F641A"/>
    <w:rsid w:val="007161B4"/>
    <w:rsid w:val="00720EFD"/>
    <w:rsid w:val="00750C1A"/>
    <w:rsid w:val="007854AF"/>
    <w:rsid w:val="0079149A"/>
    <w:rsid w:val="00793A7C"/>
    <w:rsid w:val="007969D1"/>
    <w:rsid w:val="007A398A"/>
    <w:rsid w:val="007C4902"/>
    <w:rsid w:val="007D1613"/>
    <w:rsid w:val="007E4889"/>
    <w:rsid w:val="007E4C0E"/>
    <w:rsid w:val="008243C0"/>
    <w:rsid w:val="008A134B"/>
    <w:rsid w:val="008B2CC1"/>
    <w:rsid w:val="008B60B2"/>
    <w:rsid w:val="008C3F68"/>
    <w:rsid w:val="0090731E"/>
    <w:rsid w:val="00916EE2"/>
    <w:rsid w:val="0093527D"/>
    <w:rsid w:val="0094554E"/>
    <w:rsid w:val="00947238"/>
    <w:rsid w:val="00966A22"/>
    <w:rsid w:val="0096722F"/>
    <w:rsid w:val="00980843"/>
    <w:rsid w:val="0099406E"/>
    <w:rsid w:val="009B0855"/>
    <w:rsid w:val="009B48A1"/>
    <w:rsid w:val="009E1721"/>
    <w:rsid w:val="009E2791"/>
    <w:rsid w:val="009E3F6F"/>
    <w:rsid w:val="009F499F"/>
    <w:rsid w:val="00A1217B"/>
    <w:rsid w:val="00A33241"/>
    <w:rsid w:val="00A37342"/>
    <w:rsid w:val="00A42DAF"/>
    <w:rsid w:val="00A45BD8"/>
    <w:rsid w:val="00A869B7"/>
    <w:rsid w:val="00A90F0A"/>
    <w:rsid w:val="00AC205C"/>
    <w:rsid w:val="00AD30FC"/>
    <w:rsid w:val="00AF0A6B"/>
    <w:rsid w:val="00B05A69"/>
    <w:rsid w:val="00B42CA9"/>
    <w:rsid w:val="00B51FF7"/>
    <w:rsid w:val="00B75281"/>
    <w:rsid w:val="00B92F1F"/>
    <w:rsid w:val="00B9734B"/>
    <w:rsid w:val="00BA30E2"/>
    <w:rsid w:val="00BB781F"/>
    <w:rsid w:val="00BC6536"/>
    <w:rsid w:val="00C11BFE"/>
    <w:rsid w:val="00C266ED"/>
    <w:rsid w:val="00C3436A"/>
    <w:rsid w:val="00C5068F"/>
    <w:rsid w:val="00C73194"/>
    <w:rsid w:val="00C74BB4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45252"/>
    <w:rsid w:val="00D512F3"/>
    <w:rsid w:val="00D60B2C"/>
    <w:rsid w:val="00D67EAE"/>
    <w:rsid w:val="00D71B4D"/>
    <w:rsid w:val="00D90B96"/>
    <w:rsid w:val="00D93D55"/>
    <w:rsid w:val="00DC0F46"/>
    <w:rsid w:val="00DC17E3"/>
    <w:rsid w:val="00DD7B7F"/>
    <w:rsid w:val="00E15015"/>
    <w:rsid w:val="00E17738"/>
    <w:rsid w:val="00E319DF"/>
    <w:rsid w:val="00E335FE"/>
    <w:rsid w:val="00E66CC5"/>
    <w:rsid w:val="00E67D49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248CE"/>
    <w:rsid w:val="00F66152"/>
    <w:rsid w:val="00F76CB4"/>
    <w:rsid w:val="00F90C07"/>
    <w:rsid w:val="00F9165B"/>
    <w:rsid w:val="00FA17DA"/>
    <w:rsid w:val="00FA6CAF"/>
    <w:rsid w:val="00FB108C"/>
    <w:rsid w:val="00FC482F"/>
    <w:rsid w:val="00FD0B86"/>
    <w:rsid w:val="00FE132C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character" w:styleId="Hyperlink">
    <w:name w:val="Hyperlink"/>
    <w:basedOn w:val="DefaultParagraphFont"/>
    <w:unhideWhenUsed/>
    <w:rsid w:val="006D0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wipo.int/edocs/mdocs/cws/en/cws_9/cws_9_10-annex1.xlsx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2417C-078A-4E63-A7E6-342F6D48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 (Arabic)</vt:lpstr>
    </vt:vector>
  </TitlesOfParts>
  <Company>WIPO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CWS/9/10 REV.</dc:title>
  <dc:creator>WIPO</dc:creator>
  <cp:keywords>FOR OFFICIAL USE ONLY</cp:keywords>
  <cp:lastModifiedBy>CHAVAS Louison</cp:lastModifiedBy>
  <cp:revision>2</cp:revision>
  <cp:lastPrinted>2021-10-07T09:20:00Z</cp:lastPrinted>
  <dcterms:created xsi:type="dcterms:W3CDTF">2021-10-12T14:29:00Z</dcterms:created>
  <dcterms:modified xsi:type="dcterms:W3CDTF">2021-10-12T14:29:00Z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