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31584" w14:textId="736F95BE" w:rsidR="009B3CDF" w:rsidRDefault="009B3CDF" w:rsidP="009B3CDF">
      <w:pPr>
        <w:pStyle w:val="Heading1"/>
        <w:rPr>
          <w:rtl/>
        </w:rPr>
      </w:pPr>
      <w:bookmarkStart w:id="0" w:name="_GoBack"/>
      <w:bookmarkEnd w:id="0"/>
      <w:r>
        <w:rPr>
          <w:rFonts w:hint="cs"/>
          <w:rtl/>
        </w:rPr>
        <w:t xml:space="preserve">الفئات التي تندرج ضمنها </w:t>
      </w:r>
      <w:r>
        <w:rPr>
          <w:rtl/>
        </w:rPr>
        <w:t>التوصيات بشأن استراتيجيات تكنولوجيا المعلومات</w:t>
      </w:r>
    </w:p>
    <w:p w14:paraId="1955DE42" w14:textId="70E3F82C" w:rsidR="009B3CDF" w:rsidRPr="009B3CDF" w:rsidRDefault="009B3CDF" w:rsidP="009B3CDF">
      <w:pPr>
        <w:pStyle w:val="Heading2"/>
        <w:rPr>
          <w:i/>
          <w:iCs w:val="0"/>
          <w:rtl/>
        </w:rPr>
      </w:pPr>
      <w:r w:rsidRPr="009B3CDF">
        <w:rPr>
          <w:rFonts w:hint="cs"/>
          <w:i/>
          <w:iCs w:val="0"/>
          <w:rtl/>
        </w:rPr>
        <w:t>الفئة ألف</w:t>
      </w:r>
    </w:p>
    <w:p w14:paraId="68854B39" w14:textId="10DC5DB8" w:rsidR="00BC45A8" w:rsidRDefault="009B3CDF" w:rsidP="00BC45A8">
      <w:pPr>
        <w:pStyle w:val="BodyText"/>
        <w:rPr>
          <w:rtl/>
        </w:rPr>
      </w:pPr>
      <w:r w:rsidRPr="00375547">
        <w:rPr>
          <w:u w:val="single"/>
          <w:rtl/>
        </w:rPr>
        <w:t>التوصية 7</w:t>
      </w:r>
      <w:r w:rsidR="00BC45A8">
        <w:rPr>
          <w:rFonts w:hint="cs"/>
          <w:rtl/>
        </w:rPr>
        <w:t xml:space="preserve">: </w:t>
      </w:r>
      <w:r w:rsidRPr="009B3CDF">
        <w:rPr>
          <w:rtl/>
        </w:rPr>
        <w:t>بحث إمكانية الاستعانة بأدوات التصنيف التلقائي المعتمد على تكنولوجيا الذكاء الاصطناعي من أجل تعزيز استخدام رموز التصنيف المخصصة لطلبات الملكية الفكرية ومراقبة جودتها.</w:t>
      </w:r>
    </w:p>
    <w:p w14:paraId="0EDCAB7B" w14:textId="2CDDAAF5" w:rsidR="00BC45A8" w:rsidRDefault="00BC45A8" w:rsidP="00BC45A8">
      <w:pPr>
        <w:pStyle w:val="BodyText"/>
        <w:rPr>
          <w:rtl/>
        </w:rPr>
      </w:pPr>
      <w:r w:rsidRPr="00375547">
        <w:rPr>
          <w:u w:val="single"/>
          <w:rtl/>
        </w:rPr>
        <w:t>التوصية 4</w:t>
      </w:r>
      <w:r w:rsidR="00375547">
        <w:rPr>
          <w:rFonts w:hint="cs"/>
          <w:rtl/>
        </w:rPr>
        <w:t>:</w:t>
      </w:r>
      <w:r w:rsidRPr="00BC45A8">
        <w:rPr>
          <w:rtl/>
        </w:rPr>
        <w:t xml:space="preserve"> إلى جانب البيانات البيبليوغرافية مثل أسماء مقدمي الطلبات، ينبغي تحويل النص الكامل لمواصفات البراءة إلى نسق يتيح إمكانية البحث في طلبات البراءة أو اعتماد هذا النسق في إنتاج النص في المنبع.</w:t>
      </w:r>
      <w:r>
        <w:rPr>
          <w:rFonts w:hint="cs"/>
          <w:rtl/>
        </w:rPr>
        <w:t xml:space="preserve"> </w:t>
      </w:r>
      <w:r w:rsidRPr="00BC45A8">
        <w:rPr>
          <w:rtl/>
        </w:rPr>
        <w:t xml:space="preserve">ويمكن بحث أدوات موحدة أو على الأقل قريبة من معايير الويبو لإعداد أنساق </w:t>
      </w:r>
      <w:r w:rsidRPr="00BC45A8">
        <w:t>XML</w:t>
      </w:r>
      <w:r w:rsidRPr="00BC45A8">
        <w:rPr>
          <w:rtl/>
        </w:rPr>
        <w:t xml:space="preserve"> انطلاقا من أنساق </w:t>
      </w:r>
      <w:r w:rsidRPr="00BC45A8">
        <w:t>WORD</w:t>
      </w:r>
      <w:r w:rsidRPr="00BC45A8">
        <w:rPr>
          <w:rtl/>
        </w:rPr>
        <w:t xml:space="preserve"> من أجل ضمان الاتساق.</w:t>
      </w:r>
    </w:p>
    <w:p w14:paraId="32CF20BD" w14:textId="0E79D5E0" w:rsidR="00BC45A8" w:rsidRDefault="00BC45A8" w:rsidP="00BC45A8">
      <w:pPr>
        <w:rPr>
          <w:rtl/>
        </w:rPr>
      </w:pPr>
      <w:r w:rsidRPr="00375547">
        <w:rPr>
          <w:u w:val="single"/>
          <w:rtl/>
        </w:rPr>
        <w:t>التوصية 23</w:t>
      </w:r>
      <w:r w:rsidR="00375547">
        <w:rPr>
          <w:rFonts w:hint="cs"/>
          <w:rtl/>
        </w:rPr>
        <w:t>:</w:t>
      </w:r>
      <w:r w:rsidRPr="00BC45A8">
        <w:rPr>
          <w:rtl/>
        </w:rPr>
        <w:t xml:space="preserve"> تُشجَّع مكاتب الملكية الفكرية على تزويد المكتب الدولي بملف إدارتها أو بالرابط إلى ملف الإدارة على موقع الويب الخاص بها.</w:t>
      </w:r>
    </w:p>
    <w:p w14:paraId="185D22C6" w14:textId="491B5C59" w:rsidR="00BC45A8" w:rsidRPr="009B3CDF" w:rsidRDefault="00BC45A8" w:rsidP="00BC45A8">
      <w:pPr>
        <w:pStyle w:val="Heading2"/>
        <w:rPr>
          <w:i/>
          <w:iCs w:val="0"/>
          <w:rtl/>
        </w:rPr>
      </w:pPr>
      <w:r w:rsidRPr="009B3CDF">
        <w:rPr>
          <w:rFonts w:hint="cs"/>
          <w:i/>
          <w:iCs w:val="0"/>
          <w:rtl/>
        </w:rPr>
        <w:t xml:space="preserve">الفئة </w:t>
      </w:r>
      <w:r>
        <w:rPr>
          <w:rFonts w:hint="cs"/>
          <w:i/>
          <w:iCs w:val="0"/>
          <w:rtl/>
        </w:rPr>
        <w:t>باء</w:t>
      </w:r>
    </w:p>
    <w:p w14:paraId="7BAA6B16" w14:textId="1689F083" w:rsidR="00BC45A8" w:rsidRDefault="00BC45A8" w:rsidP="00BC45A8">
      <w:pPr>
        <w:pStyle w:val="BodyText"/>
        <w:rPr>
          <w:rtl/>
        </w:rPr>
      </w:pPr>
      <w:r w:rsidRPr="00375547">
        <w:rPr>
          <w:u w:val="single"/>
          <w:rtl/>
        </w:rPr>
        <w:t>التوصية 5</w:t>
      </w:r>
      <w:r w:rsidR="00375547">
        <w:rPr>
          <w:rFonts w:hint="cs"/>
          <w:u w:val="single"/>
          <w:rtl/>
        </w:rPr>
        <w:t>:</w:t>
      </w:r>
      <w:r w:rsidRPr="00BC45A8">
        <w:rPr>
          <w:rtl/>
        </w:rPr>
        <w:t xml:space="preserve"> ينبغي إنتاج البيانات المصورة والعناصر المعقدة مثل صورة العلامة التجارية لجهاز والتصميم الصناعي والرسوم البيانية الواردة في طلبات الملكية الفكرية بأسلوب يتيح إمكانية البحث فيها آليا، وفقا لمعايير الويبو ذات الصلة (ولا سيما معيار الويبو </w:t>
      </w:r>
      <w:r w:rsidRPr="00BC45A8">
        <w:t>(ST.96)</w:t>
      </w:r>
      <w:r w:rsidRPr="00BC45A8">
        <w:rPr>
          <w:rtl/>
        </w:rPr>
        <w:t>).</w:t>
      </w:r>
    </w:p>
    <w:p w14:paraId="00C0E2F5" w14:textId="5E64C6C1" w:rsidR="00BC45A8" w:rsidRDefault="00BC45A8" w:rsidP="00BC45A8">
      <w:pPr>
        <w:pStyle w:val="BodyText"/>
        <w:rPr>
          <w:rtl/>
        </w:rPr>
      </w:pPr>
      <w:r w:rsidRPr="00375547">
        <w:rPr>
          <w:u w:val="single"/>
          <w:rtl/>
        </w:rPr>
        <w:t xml:space="preserve">التوصية </w:t>
      </w:r>
      <w:r w:rsidR="00375547">
        <w:rPr>
          <w:rFonts w:hint="cs"/>
          <w:u w:val="single"/>
          <w:rtl/>
        </w:rPr>
        <w:t>:</w:t>
      </w:r>
      <w:r w:rsidRPr="00375547">
        <w:rPr>
          <w:u w:val="single"/>
          <w:rtl/>
        </w:rPr>
        <w:t>6</w:t>
      </w:r>
      <w:r w:rsidRPr="00BC45A8">
        <w:rPr>
          <w:rtl/>
        </w:rPr>
        <w:t xml:space="preserve"> إعادة تصميم نماذج الأعمال وعمليات تدفق العمل القائمة حاليا على معاملات ورقية وتحديثها وتحسينها بجعلها تستند إلى معاملات رقمية لبيانات الملكية الفكرية، بالتعاون مع ممثلي قطاع الأعمال وتكنولوجيا المعلومات والاتصالات والممثلين القانونيين في جميع المراحل.</w:t>
      </w:r>
    </w:p>
    <w:p w14:paraId="0255CA38" w14:textId="7CEB616E" w:rsidR="00BC45A8" w:rsidRDefault="00BC45A8" w:rsidP="00BC45A8">
      <w:pPr>
        <w:pStyle w:val="BodyText"/>
        <w:rPr>
          <w:rtl/>
        </w:rPr>
      </w:pPr>
      <w:r w:rsidRPr="002451DF">
        <w:rPr>
          <w:u w:val="single"/>
          <w:rtl/>
        </w:rPr>
        <w:t>التوصية 1</w:t>
      </w:r>
      <w:r w:rsidR="002451DF">
        <w:rPr>
          <w:rFonts w:hint="cs"/>
          <w:rtl/>
        </w:rPr>
        <w:t>:</w:t>
      </w:r>
      <w:r w:rsidRPr="00BC45A8">
        <w:rPr>
          <w:rtl/>
        </w:rPr>
        <w:t xml:space="preserve"> إعداد بروتوكول لتبادل البيانات إلكترونيا يغطي المعاملات الرئيسية الشائعة من أجل إنتاج بيانات عن الملكية الفكرية ذات جودة عالية من المنبع، بالاستناد مباشرة إلى نواتج أنظمة إدارة الملكية الفكرية، وذلك بهدف استحداث بيانات للملكية الفكرية وتبادلها مع مكاتب الملكية الفكرية والمكتب الدولي وفقا لمعايير الويبو.</w:t>
      </w:r>
    </w:p>
    <w:p w14:paraId="719B430B" w14:textId="0E781F33" w:rsidR="00BC45A8" w:rsidRDefault="00BC45A8" w:rsidP="00BC45A8">
      <w:pPr>
        <w:pStyle w:val="BodyText"/>
        <w:rPr>
          <w:rtl/>
        </w:rPr>
      </w:pPr>
      <w:r w:rsidRPr="002451DF">
        <w:rPr>
          <w:u w:val="single"/>
          <w:rtl/>
        </w:rPr>
        <w:t>التوصية 2</w:t>
      </w:r>
      <w:r w:rsidR="002451DF">
        <w:rPr>
          <w:rFonts w:hint="cs"/>
          <w:rtl/>
        </w:rPr>
        <w:t>:</w:t>
      </w:r>
      <w:r w:rsidRPr="00BC45A8">
        <w:rPr>
          <w:rtl/>
        </w:rPr>
        <w:t xml:space="preserve"> عند بدء تطبيق بروتوكول تبادل البيانات إلكترونيا، يوصى بتنفيذ السياسات الملائمة وبحث أنظمة تكنولوجيا المعلومات والاتصالات التي يستخدمها مقدمو طلبات الملكية الفكرية ووكلاء الملكية الفكرية لتيسير استخدامهم للبروتوكول في تقديم بيانات الملكية الفكرية بجودة عالية.</w:t>
      </w:r>
    </w:p>
    <w:p w14:paraId="797D97E5" w14:textId="355DB801" w:rsidR="00BC45A8" w:rsidRDefault="00BC45A8" w:rsidP="00BC45A8">
      <w:pPr>
        <w:pStyle w:val="BodyText"/>
        <w:rPr>
          <w:rtl/>
        </w:rPr>
      </w:pPr>
      <w:r w:rsidRPr="002451DF">
        <w:rPr>
          <w:u w:val="single"/>
          <w:rtl/>
        </w:rPr>
        <w:t>التوصية 16</w:t>
      </w:r>
      <w:r w:rsidR="002451DF">
        <w:rPr>
          <w:rFonts w:hint="cs"/>
          <w:rtl/>
        </w:rPr>
        <w:t>:</w:t>
      </w:r>
      <w:r w:rsidRPr="00BC45A8">
        <w:rPr>
          <w:rtl/>
        </w:rPr>
        <w:t xml:space="preserve"> ينبغي توخي الدقة في تحليل أنساق متون الطلبات فيما يتعلق بمعياري الويبو (</w:t>
      </w:r>
      <w:r w:rsidRPr="00BC45A8">
        <w:t>ST.36</w:t>
      </w:r>
      <w:r w:rsidRPr="00BC45A8">
        <w:rPr>
          <w:rtl/>
        </w:rPr>
        <w:t>) و(</w:t>
      </w:r>
      <w:r w:rsidRPr="00BC45A8">
        <w:t>ST.96</w:t>
      </w:r>
      <w:r w:rsidRPr="00BC45A8">
        <w:rPr>
          <w:rtl/>
        </w:rPr>
        <w:t>) وينبغي أن تقدم توصيات بشأن أشكال التنفيذ المحددة والعملية أكثر من المعايير العامة (التي تسمح بعدد كبير من الخيارات) التي تستوفي جميع الاحتياجات المتعلقة بمعالجة البيانات وتتيح عمليات تحويل موثوقة في كلا الاتجاهين.</w:t>
      </w:r>
    </w:p>
    <w:p w14:paraId="06731A51" w14:textId="39C870C2" w:rsidR="00BC45A8" w:rsidRDefault="00BC45A8" w:rsidP="00BC45A8">
      <w:pPr>
        <w:pStyle w:val="BodyText"/>
        <w:rPr>
          <w:rtl/>
        </w:rPr>
      </w:pPr>
      <w:r w:rsidRPr="002451DF">
        <w:rPr>
          <w:u w:val="single"/>
          <w:rtl/>
        </w:rPr>
        <w:t>التوصية 27</w:t>
      </w:r>
      <w:r w:rsidR="002451DF">
        <w:rPr>
          <w:rFonts w:hint="cs"/>
          <w:rtl/>
        </w:rPr>
        <w:t>:</w:t>
      </w:r>
      <w:r w:rsidRPr="00BC45A8">
        <w:rPr>
          <w:rtl/>
        </w:rPr>
        <w:t xml:space="preserve"> التشجيع على توسيع نطاق استخدام آليات تبادل البيانات الموحدة المتاحة حاليا، وتوسيع استخدام الإيداع الإلكتروني وإعطاء الأولية لإنشاء أنساق إلكترونية إضافية لتحسين جودة وموثوقية البيانات الواردة من مقدمي الطلبات، ومن ثم التقليل من الأخطاء الناجمة عن عدم الاتساق في محتوى البيانات وأنساق تقديمها.</w:t>
      </w:r>
    </w:p>
    <w:p w14:paraId="0417A158" w14:textId="177256B6" w:rsidR="00BC45A8" w:rsidRDefault="00BC45A8" w:rsidP="00BC45A8">
      <w:pPr>
        <w:pStyle w:val="BodyText"/>
        <w:rPr>
          <w:rtl/>
        </w:rPr>
      </w:pPr>
      <w:r w:rsidRPr="002451DF">
        <w:rPr>
          <w:u w:val="single"/>
          <w:rtl/>
        </w:rPr>
        <w:t>التوصية 20</w:t>
      </w:r>
      <w:r w:rsidR="002451DF">
        <w:rPr>
          <w:rFonts w:hint="cs"/>
          <w:rtl/>
        </w:rPr>
        <w:t xml:space="preserve">: </w:t>
      </w:r>
      <w:r w:rsidRPr="00BC45A8">
        <w:rPr>
          <w:rtl/>
        </w:rPr>
        <w:t>ينبغي أن تعتمد مكاتب الملكية الفكرية والمكتب الدولي أنساقاً للحزم (في حالة معاهدة البراءات، يمكن أن يستند ذلك إلى حزم المرفق واو من معاهدة البراءات)، يسهل إعدادها بالاستعانة ببرمجيات جهات أخرى (بما في ذلك تصدير طلب مودع من مكتب آخر للملكية الفكرية) ودفعها إلى خواديم المكتب من أجل التجهيز المسبق لمعظم عناصر مشروع الطلب قبل إنجازه في نظام إلكتروني للإيداع.</w:t>
      </w:r>
    </w:p>
    <w:p w14:paraId="41056B81" w14:textId="6812C3A6" w:rsidR="00BC45A8" w:rsidRDefault="00BC45A8" w:rsidP="00BC45A8">
      <w:pPr>
        <w:pStyle w:val="BodyText"/>
        <w:rPr>
          <w:rtl/>
        </w:rPr>
      </w:pPr>
      <w:r w:rsidRPr="002451DF">
        <w:rPr>
          <w:u w:val="single"/>
          <w:rtl/>
        </w:rPr>
        <w:t>التوصية 28</w:t>
      </w:r>
      <w:r w:rsidR="002451DF">
        <w:rPr>
          <w:rFonts w:hint="cs"/>
          <w:rtl/>
        </w:rPr>
        <w:t>:</w:t>
      </w:r>
      <w:r w:rsidRPr="00BC45A8">
        <w:rPr>
          <w:rtl/>
        </w:rPr>
        <w:t xml:space="preserve"> إنشاء نموذج لمعالجة ذاتية الخدمة ومركزية يكون فيها المستخدمون ومكاتب الملكية الفكرية موصولين بالمنصة المركزية لخدمات البيانات لدي المكتب الدولي. وسيتيح ذلك الانتقال من نمط قائم على إرسال الاستمارات والردود في دفعة واحدة إلى نمط آخر يسمح بقيام الأطراف المعنية بإدخال تحديثات آنية على السجل الدولي مباشرة.</w:t>
      </w:r>
    </w:p>
    <w:p w14:paraId="407BB50E" w14:textId="245EED34" w:rsidR="00BC45A8" w:rsidRDefault="00BC45A8" w:rsidP="00BC45A8">
      <w:pPr>
        <w:pStyle w:val="BodyText"/>
        <w:rPr>
          <w:rtl/>
        </w:rPr>
      </w:pPr>
      <w:r w:rsidRPr="002451DF">
        <w:rPr>
          <w:u w:val="single"/>
          <w:rtl/>
        </w:rPr>
        <w:t>التوصية 40</w:t>
      </w:r>
      <w:r w:rsidR="002451DF">
        <w:rPr>
          <w:rFonts w:hint="cs"/>
          <w:rtl/>
        </w:rPr>
        <w:t>:</w:t>
      </w:r>
      <w:r w:rsidRPr="00BC45A8">
        <w:rPr>
          <w:rtl/>
        </w:rPr>
        <w:t xml:space="preserve"> بحث إمكانية إقامة مشاريع عالمية مشتركة للاستفادة من تشارك المصالح والتآزر بين مكاتب الملكية الفكرية.</w:t>
      </w:r>
    </w:p>
    <w:p w14:paraId="28327DEF" w14:textId="1A604AB4" w:rsidR="00BC45A8" w:rsidRDefault="00BC45A8" w:rsidP="00BC45A8">
      <w:pPr>
        <w:pStyle w:val="BodyText"/>
      </w:pPr>
      <w:r w:rsidRPr="002451DF">
        <w:rPr>
          <w:u w:val="single"/>
          <w:rtl/>
        </w:rPr>
        <w:lastRenderedPageBreak/>
        <w:t>التوصية 19</w:t>
      </w:r>
      <w:r w:rsidR="00540329" w:rsidRPr="00692E16">
        <w:rPr>
          <w:rFonts w:hint="cs"/>
          <w:rtl/>
        </w:rPr>
        <w:t>:</w:t>
      </w:r>
      <w:r w:rsidRPr="00BC45A8">
        <w:rPr>
          <w:rtl/>
        </w:rPr>
        <w:t xml:space="preserve"> ينبغي أن تعتمد مكاتب الملكية الفكرية والمكتب الدولي حزم بيانات بيبليوغرافية/وصفية متطابقة مع معاهدة قانون البراءات لاستخدامها في أنظمتها الخاصة بالإيداع الإلكتروني، مع اعتماد طريقة موحدة لتخصيص رموز الأجزاء الخاصة بكل مكتب معني، حتى يتسنى تحقيق المزيد من الفعالية في إعادة استخدام البيانات الببليوغرافية/الوصفية انطلاقاً من الطلبات المودعة في وقت سابق وتطوير أنظمة لإدارة الملكية الفكرية تتعهدها جهات أخرى من أجل إتاحة البيانات البيبليوغرافية/الوصفية دون الحاجة إلى تحويلها أو إعادة رقنها.</w:t>
      </w:r>
    </w:p>
    <w:p w14:paraId="0E948B4A" w14:textId="23E6809F" w:rsidR="00BC45A8" w:rsidRDefault="00BC45A8" w:rsidP="00BC45A8">
      <w:pPr>
        <w:pStyle w:val="BodyText"/>
        <w:rPr>
          <w:rtl/>
        </w:rPr>
      </w:pPr>
      <w:r w:rsidRPr="002451DF">
        <w:rPr>
          <w:u w:val="single"/>
          <w:rtl/>
        </w:rPr>
        <w:t>التوصية 31</w:t>
      </w:r>
      <w:r w:rsidR="002451DF">
        <w:rPr>
          <w:rFonts w:hint="cs"/>
          <w:rtl/>
        </w:rPr>
        <w:t xml:space="preserve">: </w:t>
      </w:r>
      <w:r w:rsidRPr="00BC45A8">
        <w:rPr>
          <w:rtl/>
        </w:rPr>
        <w:t>ينبغي أن تواصل مكاتب الملكية الفكرية استخدام أسباب رفض موحدة وأن توسع نطاق استخدامها.</w:t>
      </w:r>
    </w:p>
    <w:p w14:paraId="16342CAF" w14:textId="6DC8AC88" w:rsidR="00BC45A8" w:rsidRDefault="00BC45A8" w:rsidP="00BC45A8">
      <w:pPr>
        <w:pStyle w:val="BodyText"/>
        <w:rPr>
          <w:rtl/>
        </w:rPr>
      </w:pPr>
      <w:r w:rsidRPr="004C2EA2">
        <w:rPr>
          <w:u w:val="single"/>
          <w:rtl/>
        </w:rPr>
        <w:t>التوصية 21</w:t>
      </w:r>
      <w:r w:rsidR="004C2EA2">
        <w:rPr>
          <w:rFonts w:hint="cs"/>
          <w:u w:val="single"/>
          <w:rtl/>
        </w:rPr>
        <w:t xml:space="preserve">: </w:t>
      </w:r>
      <w:r w:rsidRPr="00BC45A8">
        <w:rPr>
          <w:rtl/>
        </w:rPr>
        <w:t xml:space="preserve">ينبغي أن تشارك مكاتب الملكية الفكرية في مشاريع الويبو الرامية إلى استخدام أدوات ومنصات عالمية مشتركة تكون موصولة بأنظمة تكنولوجيا المعلومات والاتصالات لدى مكاتب الملكية الفكرية، من قبيل نظام </w:t>
      </w:r>
      <w:r w:rsidRPr="00BC45A8">
        <w:t>WIPO CASE</w:t>
      </w:r>
      <w:r w:rsidRPr="00BC45A8">
        <w:rPr>
          <w:rtl/>
        </w:rPr>
        <w:t>، وبوابة الويبو العالمية لسجلات الملكية الفكرية، وإتاحة بيانات الملكية الفكرية وفقا لمعايير الويبو ذات الصلة.</w:t>
      </w:r>
    </w:p>
    <w:p w14:paraId="7BFA7EDB" w14:textId="15153036" w:rsidR="00BC45A8" w:rsidRPr="009B3CDF" w:rsidRDefault="00BC45A8" w:rsidP="00BC45A8">
      <w:pPr>
        <w:pStyle w:val="Heading2"/>
        <w:rPr>
          <w:i/>
          <w:iCs w:val="0"/>
          <w:rtl/>
        </w:rPr>
      </w:pPr>
      <w:r w:rsidRPr="009B3CDF">
        <w:rPr>
          <w:rFonts w:hint="cs"/>
          <w:i/>
          <w:iCs w:val="0"/>
          <w:rtl/>
        </w:rPr>
        <w:t xml:space="preserve">الفئة </w:t>
      </w:r>
      <w:r>
        <w:rPr>
          <w:rFonts w:hint="cs"/>
          <w:i/>
          <w:iCs w:val="0"/>
          <w:rtl/>
        </w:rPr>
        <w:t>جيم</w:t>
      </w:r>
    </w:p>
    <w:p w14:paraId="49A9FA7C" w14:textId="77777777" w:rsidR="00BC45A8" w:rsidRDefault="00BC45A8" w:rsidP="00BC45A8">
      <w:pPr>
        <w:rPr>
          <w:rtl/>
        </w:rPr>
      </w:pPr>
    </w:p>
    <w:p w14:paraId="422BEA30" w14:textId="164711AA" w:rsidR="005E5C88" w:rsidRPr="005E5C88" w:rsidRDefault="00BC45A8" w:rsidP="005E5C88">
      <w:pPr>
        <w:pStyle w:val="BodyText"/>
        <w:rPr>
          <w:rtl/>
        </w:rPr>
      </w:pPr>
      <w:r w:rsidRPr="004C2EA2">
        <w:rPr>
          <w:u w:val="single"/>
          <w:rtl/>
        </w:rPr>
        <w:t>التوصية 14</w:t>
      </w:r>
      <w:r w:rsidR="004C2EA2">
        <w:rPr>
          <w:rFonts w:hint="cs"/>
          <w:rtl/>
        </w:rPr>
        <w:t>:</w:t>
      </w:r>
      <w:r w:rsidRPr="00BC45A8">
        <w:rPr>
          <w:rtl/>
        </w:rPr>
        <w:t xml:space="preserve"> ينبغي أن يباشر المكتب الدولي ومكاتب الملكية الفكرية مشاورات بشأن نموذج موحد لتبادل البيانات الخاصة بعمليات التبادل المعهود إجرائها ثنائيا بالاعتماد على الورق في معاهدة البراءات، مع مراعاة ترشيد الاستثمارات المخصصة لضمان الوفاء بالمتطلبات الأمنية.</w:t>
      </w:r>
    </w:p>
    <w:p w14:paraId="62DC1BD7" w14:textId="21469949" w:rsidR="005E5C88" w:rsidRDefault="005E5C88" w:rsidP="005E5C88">
      <w:pPr>
        <w:pStyle w:val="BodyText"/>
        <w:rPr>
          <w:rtl/>
        </w:rPr>
      </w:pPr>
      <w:r w:rsidRPr="00706DF2">
        <w:rPr>
          <w:u w:val="single"/>
          <w:rtl/>
        </w:rPr>
        <w:t>التوصية 32</w:t>
      </w:r>
      <w:r w:rsidR="00706DF2">
        <w:rPr>
          <w:rFonts w:hint="cs"/>
          <w:rtl/>
        </w:rPr>
        <w:t xml:space="preserve">: </w:t>
      </w:r>
      <w:r w:rsidRPr="005E5C88">
        <w:rPr>
          <w:rtl/>
        </w:rPr>
        <w:t>ستتحسن جودة تبادل البيانات بين مكاتب الملكية الفكرية والمكتب الدولي إذا انتقلت هذه المكاتب إلى استخدام معيار الويبو (</w:t>
      </w:r>
      <w:r w:rsidRPr="005E5C88">
        <w:t>ST. 96</w:t>
      </w:r>
      <w:r w:rsidRPr="005E5C88">
        <w:rPr>
          <w:rtl/>
        </w:rPr>
        <w:t xml:space="preserve">) فيما يتعلق بعناصر نسق </w:t>
      </w:r>
      <w:r w:rsidRPr="005E5C88">
        <w:t>XML</w:t>
      </w:r>
      <w:r w:rsidRPr="005E5C88">
        <w:rPr>
          <w:rtl/>
        </w:rPr>
        <w:t xml:space="preserve"> المتصلة بنظام لاهاي.</w:t>
      </w:r>
    </w:p>
    <w:p w14:paraId="71D3132F" w14:textId="5B897E5E" w:rsidR="005E5C88" w:rsidRDefault="005E5C88" w:rsidP="005E5C88">
      <w:pPr>
        <w:pStyle w:val="BodyText"/>
        <w:rPr>
          <w:rtl/>
        </w:rPr>
      </w:pPr>
      <w:r w:rsidRPr="00706DF2">
        <w:rPr>
          <w:u w:val="single"/>
          <w:rtl/>
        </w:rPr>
        <w:t>التوصية 11</w:t>
      </w:r>
      <w:r w:rsidR="00706DF2">
        <w:rPr>
          <w:rFonts w:hint="cs"/>
          <w:rtl/>
        </w:rPr>
        <w:t>:</w:t>
      </w:r>
      <w:r w:rsidRPr="005E5C88">
        <w:rPr>
          <w:rtl/>
        </w:rPr>
        <w:t xml:space="preserve"> ينبغي أن تتقاسم مكاتب الملكية الفكرية المعلومات عن حلول تكنولوجيا المعلومات والاتصالات المطبقة في إدارة السجلات، ولا سيما عن الاستخدام السليم للحزم المعيارية لتكنولوجيا المعلومات والاتصالات والحلول التي تضمن حجية السجلات والتواقيع الرقمية، وغير ذلك.</w:t>
      </w:r>
    </w:p>
    <w:p w14:paraId="7AF12953" w14:textId="589A439F" w:rsidR="005E5C88" w:rsidRDefault="005E5C88" w:rsidP="005E5C88">
      <w:pPr>
        <w:pStyle w:val="BodyText"/>
        <w:rPr>
          <w:rtl/>
        </w:rPr>
      </w:pPr>
      <w:r w:rsidRPr="00706DF2">
        <w:rPr>
          <w:u w:val="single"/>
          <w:rtl/>
        </w:rPr>
        <w:t>التوصية 29</w:t>
      </w:r>
      <w:r w:rsidR="00706DF2">
        <w:rPr>
          <w:rFonts w:hint="cs"/>
          <w:rtl/>
        </w:rPr>
        <w:t>:</w:t>
      </w:r>
      <w:r w:rsidRPr="005E5C88">
        <w:rPr>
          <w:rtl/>
        </w:rPr>
        <w:t xml:space="preserve"> تعزيز تقاسم البيانات على أوسع نطاق فيما يتعلق بمصطلحات السلع والخدمات المقبولة أو المرفوضة لدى مكاتب الملكية الفكرية لزيادة الاستغناء عن عمليات مكلفة تستغرق وقتا طويلا (عمليات الإبلاغ عن المخالفات والرفض).</w:t>
      </w:r>
    </w:p>
    <w:p w14:paraId="58430454" w14:textId="66C430CA" w:rsidR="005E5C88" w:rsidRDefault="005E5C88" w:rsidP="005E5C88">
      <w:pPr>
        <w:pStyle w:val="BodyText"/>
        <w:rPr>
          <w:rtl/>
        </w:rPr>
      </w:pPr>
      <w:r w:rsidRPr="00706DF2">
        <w:rPr>
          <w:u w:val="single"/>
          <w:rtl/>
        </w:rPr>
        <w:t>التوصية 30</w:t>
      </w:r>
      <w:r w:rsidR="00706DF2">
        <w:rPr>
          <w:rFonts w:hint="cs"/>
          <w:rtl/>
        </w:rPr>
        <w:t>:</w:t>
      </w:r>
      <w:r w:rsidRPr="005E5C88">
        <w:rPr>
          <w:rtl/>
        </w:rPr>
        <w:t xml:space="preserve"> إنشاء قاعدة بيانات مصطلحات السلع والخدمات أكثر شمولا وأيسر استخداما ويمكن الوصول إليها باستخدام الأجهزة ويمكنها أن تقلص من عدد المخالفات.</w:t>
      </w:r>
    </w:p>
    <w:p w14:paraId="7C454BD5" w14:textId="43B00E2A" w:rsidR="005E5C88" w:rsidRDefault="005E5C88" w:rsidP="005E5C88">
      <w:pPr>
        <w:pStyle w:val="BodyText"/>
        <w:rPr>
          <w:rtl/>
        </w:rPr>
      </w:pPr>
      <w:r w:rsidRPr="00706DF2">
        <w:rPr>
          <w:u w:val="single"/>
          <w:rtl/>
        </w:rPr>
        <w:t>التوصية 9</w:t>
      </w:r>
      <w:r w:rsidR="00706DF2">
        <w:rPr>
          <w:rFonts w:hint="cs"/>
          <w:rtl/>
        </w:rPr>
        <w:t xml:space="preserve">: </w:t>
      </w:r>
      <w:r w:rsidRPr="005E5C88">
        <w:rPr>
          <w:rtl/>
        </w:rPr>
        <w:t>تبادل المعلومات بشأن تكنولوجيات البحث الناشئة، لا سيما البحث في الصور، وأدوات التصنيف وأدوات اللغة، وبحث سبل يمكن من خلالها تبادل التكنولوجيا وإتاحتها لأصغر مكاتب الملكية الفكرية بهدف تحسين جودة البحث في معلومات الملكية الفكرية وكفاءته.</w:t>
      </w:r>
    </w:p>
    <w:p w14:paraId="4012A358" w14:textId="4B131C17" w:rsidR="005E5C88" w:rsidRDefault="005E5C88" w:rsidP="005E5C88">
      <w:pPr>
        <w:pStyle w:val="BodyText"/>
        <w:rPr>
          <w:rtl/>
        </w:rPr>
      </w:pPr>
      <w:r w:rsidRPr="00706DF2">
        <w:rPr>
          <w:u w:val="single"/>
          <w:rtl/>
        </w:rPr>
        <w:t>التوصية 34</w:t>
      </w:r>
      <w:r w:rsidR="00706DF2">
        <w:rPr>
          <w:rFonts w:hint="cs"/>
          <w:rtl/>
        </w:rPr>
        <w:t xml:space="preserve">: </w:t>
      </w:r>
      <w:r w:rsidRPr="005E5C88">
        <w:rPr>
          <w:rtl/>
        </w:rPr>
        <w:t>تشجَّع مكاتب الملكية الفكرية على الاشتراك في خدمة</w:t>
      </w:r>
      <w:r w:rsidRPr="005E5C88">
        <w:t>DAS</w:t>
      </w:r>
      <w:r w:rsidRPr="005E5C88">
        <w:rPr>
          <w:rtl/>
        </w:rPr>
        <w:t xml:space="preserve"> كمكاتب يمكنها إيداع وثائق الأولية والاطلاع عليها، لأن ذلك قد يحد من التكاليف والمخاطر الناجمة عن تقديم نسخ مصدقة طبقا للتسجيلات الدولية في نظام لاهاي.</w:t>
      </w:r>
    </w:p>
    <w:p w14:paraId="25C29BD1" w14:textId="4EE91155" w:rsidR="005E5C88" w:rsidRDefault="005E5C88" w:rsidP="005E5C88">
      <w:pPr>
        <w:pStyle w:val="BodyText"/>
        <w:rPr>
          <w:rtl/>
        </w:rPr>
      </w:pPr>
      <w:r w:rsidRPr="00706DF2">
        <w:rPr>
          <w:u w:val="single"/>
          <w:rtl/>
        </w:rPr>
        <w:t>التوصية 37</w:t>
      </w:r>
      <w:r w:rsidR="00706DF2">
        <w:rPr>
          <w:rFonts w:hint="cs"/>
          <w:rtl/>
        </w:rPr>
        <w:t>:</w:t>
      </w:r>
      <w:r w:rsidRPr="005E5C88">
        <w:rPr>
          <w:rtl/>
        </w:rPr>
        <w:t xml:space="preserve"> بحث آليات موحدة بشأن أمن المعلومات كجزء من استعراض بروتوكولات تبادل البيانات.</w:t>
      </w:r>
    </w:p>
    <w:p w14:paraId="5EAED017" w14:textId="76F827DB" w:rsidR="005E5C88" w:rsidRDefault="005E5C88" w:rsidP="005E5C88">
      <w:pPr>
        <w:pStyle w:val="BodyText"/>
        <w:rPr>
          <w:rtl/>
        </w:rPr>
      </w:pPr>
      <w:r w:rsidRPr="00706DF2">
        <w:rPr>
          <w:u w:val="single"/>
          <w:rtl/>
        </w:rPr>
        <w:t>التوصية 39</w:t>
      </w:r>
      <w:r w:rsidR="00706DF2">
        <w:rPr>
          <w:rFonts w:hint="cs"/>
          <w:rtl/>
        </w:rPr>
        <w:t>:</w:t>
      </w:r>
      <w:r w:rsidRPr="005E5C88">
        <w:rPr>
          <w:rtl/>
        </w:rPr>
        <w:t xml:space="preserve"> تبادل المعلومات عن خدمات الإنترنت (الإيداع، المعاملات اللاحقة، وغيرها) بهدف تحديد المعاملات والخدمات الشائعة التي يمكن إتاحتها من خلال واجهات برمجة التطبيقات من أجل تيسير قابلية التشغيل البيني للأنظمة، بما في ذلك الأنظمة التي تطورها جهات أخرى تقدم خدمات الحلول.</w:t>
      </w:r>
    </w:p>
    <w:p w14:paraId="749FFEBC" w14:textId="7C826D16" w:rsidR="005E5C88" w:rsidRDefault="005E5C88" w:rsidP="005E5C88">
      <w:pPr>
        <w:pStyle w:val="BodyText"/>
        <w:rPr>
          <w:rtl/>
        </w:rPr>
      </w:pPr>
      <w:r w:rsidRPr="00706DF2">
        <w:rPr>
          <w:u w:val="single"/>
          <w:rtl/>
        </w:rPr>
        <w:t>التوصية 10</w:t>
      </w:r>
      <w:r w:rsidR="00706DF2">
        <w:rPr>
          <w:rFonts w:hint="cs"/>
          <w:rtl/>
        </w:rPr>
        <w:t>:</w:t>
      </w:r>
      <w:r w:rsidRPr="005E5C88">
        <w:rPr>
          <w:rtl/>
        </w:rPr>
        <w:t xml:space="preserve"> إعداد منصة مرجعية للنشر والبحث الإلكترونيين، مع المساهمة في جهود التعاون الدولي في إطار لجنة المعايير بشأن تطوير أنظمة تتيح النفاذ إلى معلومات عن البراءات تتيحها للجمهور مكاتب الملكية الفكرية المشاركة في المهمة رقم 52 للجنة المعايير. ويوصى بأن تكون هذه المنصة موصولة بقواعد البيانات الدولية و/أو الإقليمية لأتمتة عملية تعميم المعلومات.</w:t>
      </w:r>
    </w:p>
    <w:p w14:paraId="58118B6B" w14:textId="0A1A33AE" w:rsidR="00C040D7" w:rsidRDefault="00C040D7" w:rsidP="00C040D7">
      <w:pPr>
        <w:rPr>
          <w:rtl/>
        </w:rPr>
      </w:pPr>
      <w:r w:rsidRPr="008E1357">
        <w:rPr>
          <w:u w:val="single"/>
          <w:rtl/>
        </w:rPr>
        <w:t>التوصية 22</w:t>
      </w:r>
      <w:r w:rsidR="008E1357">
        <w:rPr>
          <w:rFonts w:hint="cs"/>
          <w:rtl/>
        </w:rPr>
        <w:t>:</w:t>
      </w:r>
      <w:r w:rsidRPr="00C040D7">
        <w:rPr>
          <w:rtl/>
        </w:rPr>
        <w:t xml:space="preserve"> يتعين على مكاتب الملكية الفكرية أن تتقاسم وتعمم معلومات البراءات بدون قيود ومجانا أو بتكلفة رمزية.</w:t>
      </w:r>
    </w:p>
    <w:p w14:paraId="3117F9EB" w14:textId="7FDB8A37" w:rsidR="00C040D7" w:rsidRPr="00C040D7" w:rsidRDefault="00C040D7" w:rsidP="00C040D7">
      <w:pPr>
        <w:rPr>
          <w:rtl/>
        </w:rPr>
      </w:pPr>
    </w:p>
    <w:p w14:paraId="64D2A2FC" w14:textId="0895A637" w:rsidR="00C040D7" w:rsidRPr="009B3CDF" w:rsidRDefault="00C040D7" w:rsidP="00C040D7">
      <w:pPr>
        <w:pStyle w:val="Heading2"/>
        <w:rPr>
          <w:i/>
          <w:iCs w:val="0"/>
          <w:rtl/>
        </w:rPr>
      </w:pPr>
      <w:r w:rsidRPr="009B3CDF">
        <w:rPr>
          <w:rFonts w:hint="cs"/>
          <w:i/>
          <w:iCs w:val="0"/>
          <w:rtl/>
        </w:rPr>
        <w:t xml:space="preserve">الفئة </w:t>
      </w:r>
      <w:r>
        <w:rPr>
          <w:rFonts w:hint="cs"/>
          <w:i/>
          <w:iCs w:val="0"/>
          <w:rtl/>
        </w:rPr>
        <w:t>دال</w:t>
      </w:r>
    </w:p>
    <w:p w14:paraId="2452605F" w14:textId="0747EC77" w:rsidR="00C040D7" w:rsidRPr="00C040D7" w:rsidRDefault="00C040D7" w:rsidP="00C040D7">
      <w:pPr>
        <w:rPr>
          <w:rtl/>
        </w:rPr>
      </w:pPr>
    </w:p>
    <w:p w14:paraId="6D473D70" w14:textId="610CD1F8" w:rsidR="00C040D7" w:rsidRDefault="00C040D7" w:rsidP="00C040D7">
      <w:pPr>
        <w:rPr>
          <w:rtl/>
        </w:rPr>
      </w:pPr>
    </w:p>
    <w:p w14:paraId="43E000AB" w14:textId="0D1967C5" w:rsidR="00C040D7" w:rsidRDefault="00C040D7" w:rsidP="00C040D7">
      <w:pPr>
        <w:pStyle w:val="BodyText"/>
        <w:rPr>
          <w:rtl/>
        </w:rPr>
      </w:pPr>
      <w:r w:rsidRPr="008E1357">
        <w:rPr>
          <w:u w:val="single"/>
          <w:rtl/>
        </w:rPr>
        <w:t>التوصية 3</w:t>
      </w:r>
      <w:r w:rsidR="008E1357">
        <w:rPr>
          <w:rFonts w:hint="cs"/>
          <w:rtl/>
        </w:rPr>
        <w:t>:</w:t>
      </w:r>
      <w:r w:rsidRPr="00C040D7">
        <w:rPr>
          <w:rtl/>
        </w:rPr>
        <w:t xml:space="preserve"> ينبغي الحرص على إجراء عملية المسح الضوئي لبيانات الملكية الفكرية بتقنية التعرف الضوئي على الحروف بمنتهى العناية وفقا لمعايير مراقبة تحقيق الجودة ومعايير الويبو ذات الصلة.</w:t>
      </w:r>
    </w:p>
    <w:p w14:paraId="4B2A8F57" w14:textId="1EB02480" w:rsidR="00C040D7" w:rsidRDefault="00C040D7" w:rsidP="00C040D7">
      <w:pPr>
        <w:pStyle w:val="BodyText"/>
        <w:rPr>
          <w:rtl/>
        </w:rPr>
      </w:pPr>
      <w:r w:rsidRPr="008E1357">
        <w:rPr>
          <w:u w:val="single"/>
          <w:rtl/>
        </w:rPr>
        <w:t>التوصية 25</w:t>
      </w:r>
      <w:r w:rsidR="008E1357">
        <w:rPr>
          <w:rFonts w:hint="cs"/>
          <w:u w:val="single"/>
          <w:rtl/>
        </w:rPr>
        <w:t>:</w:t>
      </w:r>
      <w:r w:rsidRPr="00C040D7">
        <w:rPr>
          <w:rtl/>
        </w:rPr>
        <w:t xml:space="preserve"> ينبغي أن تبحث مكاتب الملكية الفكرية إمكانية استخدام نظام </w:t>
      </w:r>
      <w:r w:rsidRPr="00C040D7">
        <w:t>WIPO DAS</w:t>
      </w:r>
      <w:r w:rsidRPr="00C040D7">
        <w:rPr>
          <w:rtl/>
        </w:rPr>
        <w:t xml:space="preserve"> لا سيما في معالجة طلبات البراءات والتصاميم.</w:t>
      </w:r>
    </w:p>
    <w:p w14:paraId="3F46FBEF" w14:textId="3393E0E3" w:rsidR="00C040D7" w:rsidRPr="00C040D7" w:rsidRDefault="00C040D7" w:rsidP="008E1357">
      <w:pPr>
        <w:pStyle w:val="BodyText"/>
        <w:rPr>
          <w:rtl/>
        </w:rPr>
      </w:pPr>
      <w:r w:rsidRPr="008E1357">
        <w:rPr>
          <w:u w:val="single"/>
          <w:rtl/>
        </w:rPr>
        <w:t>التوصية 8</w:t>
      </w:r>
      <w:r w:rsidR="008E1357">
        <w:rPr>
          <w:rFonts w:hint="cs"/>
          <w:u w:val="single"/>
          <w:rtl/>
        </w:rPr>
        <w:t>:</w:t>
      </w:r>
      <w:r w:rsidRPr="00C040D7">
        <w:rPr>
          <w:rtl/>
        </w:rPr>
        <w:t xml:space="preserve"> تعزيز التعاون الدولي من أجل اعتماد ممارسات منسقة دوليا لاستخدام التصنيفات الدولية ولأغراض تقديم الدعم التقني في إتاحة التصنيفات الدولية في نسخ باللغات المحلية.</w:t>
      </w:r>
    </w:p>
    <w:p w14:paraId="10481E5D" w14:textId="45731EF5" w:rsidR="00C040D7" w:rsidRDefault="00C040D7" w:rsidP="008E1357">
      <w:pPr>
        <w:pStyle w:val="BodyText"/>
        <w:rPr>
          <w:rtl/>
        </w:rPr>
      </w:pPr>
      <w:r w:rsidRPr="003D1BBF">
        <w:rPr>
          <w:u w:val="single"/>
          <w:rtl/>
        </w:rPr>
        <w:t>التوصية 12</w:t>
      </w:r>
      <w:r w:rsidR="003D1BBF">
        <w:rPr>
          <w:rFonts w:hint="cs"/>
          <w:rtl/>
        </w:rPr>
        <w:t>:</w:t>
      </w:r>
      <w:r w:rsidRPr="00C040D7">
        <w:rPr>
          <w:rtl/>
        </w:rPr>
        <w:t xml:space="preserve"> بالتعاون مع الدول الأعضاء المهتمة، ينبغي أن يعد المكتب الدولي نموذجا تجريبيا لسجل موزَّع للملكية الفكرية. ويمكن الاستعانة بهذا النموذج التجريبي في طلبات الملكية الفكرية لإنشاء سجل أصلي لأرقام طلبات الملكية الفكرية، ليستخدم مثلا في المصادقة على المطالبات بالأولوية. دراسة إمكانية استخدام سجل موزَّع للملكية الفكرية يوصل بنظام النفاذ المركزي إلى البحث والفحص (</w:t>
      </w:r>
      <w:r w:rsidRPr="00C040D7">
        <w:t>WIPO CASE</w:t>
      </w:r>
      <w:r w:rsidRPr="00C040D7">
        <w:rPr>
          <w:rtl/>
        </w:rPr>
        <w:t>) أو بالسجل الدولي. وينبغي أيضا بحث الإمكانات التي تتيحها تكنولوجيات سلسلة الكتل في الربط بين هذه السجلات الموزعة.</w:t>
      </w:r>
    </w:p>
    <w:p w14:paraId="52484F2A" w14:textId="3F2DE199" w:rsidR="00C040D7" w:rsidRDefault="00C040D7" w:rsidP="008E1357">
      <w:pPr>
        <w:pStyle w:val="BodyText"/>
        <w:rPr>
          <w:rtl/>
        </w:rPr>
      </w:pPr>
      <w:r w:rsidRPr="003D1BBF">
        <w:rPr>
          <w:u w:val="single"/>
          <w:rtl/>
        </w:rPr>
        <w:t>التوصية 26</w:t>
      </w:r>
      <w:r w:rsidR="003D1BBF">
        <w:rPr>
          <w:rFonts w:hint="cs"/>
          <w:rtl/>
        </w:rPr>
        <w:t>:</w:t>
      </w:r>
      <w:r w:rsidRPr="00C040D7">
        <w:rPr>
          <w:rtl/>
        </w:rPr>
        <w:t xml:space="preserve"> إعداد توصية جديدة بشأن نسق حزمة موقعة إلكترونيا فيما يخص وثائق الأولوية، بما في ذلك متون الطلب بأنساق النصوص الكاملة (عندما تكون متاحة) والبيانات البيبليوغرافية في نسق </w:t>
      </w:r>
      <w:r w:rsidRPr="00C040D7">
        <w:t>XML</w:t>
      </w:r>
      <w:r w:rsidRPr="00C040D7">
        <w:rPr>
          <w:rtl/>
        </w:rPr>
        <w:t xml:space="preserve"> في إطار التقيد بمعايير الويبو. ويمكن تبادل النسق الجديد عن طريق نظام </w:t>
      </w:r>
      <w:r w:rsidRPr="00C040D7">
        <w:t>WIPO DAS</w:t>
      </w:r>
      <w:r w:rsidRPr="00C040D7">
        <w:rPr>
          <w:rtl/>
        </w:rPr>
        <w:t xml:space="preserve"> أو مباشرة بين مقدمي الطلبات ومكاتب الملكية الفكرية.</w:t>
      </w:r>
    </w:p>
    <w:p w14:paraId="07E8DA2D" w14:textId="1D50915C" w:rsidR="00C040D7" w:rsidRDefault="00C040D7" w:rsidP="008E1357">
      <w:pPr>
        <w:pStyle w:val="BodyText"/>
        <w:rPr>
          <w:rtl/>
        </w:rPr>
      </w:pPr>
      <w:r w:rsidRPr="003D1BBF">
        <w:rPr>
          <w:u w:val="single"/>
          <w:rtl/>
        </w:rPr>
        <w:t>التوصية 13</w:t>
      </w:r>
      <w:r w:rsidR="003D1BBF">
        <w:rPr>
          <w:rFonts w:hint="cs"/>
          <w:rtl/>
        </w:rPr>
        <w:t>:</w:t>
      </w:r>
      <w:r w:rsidRPr="00C040D7">
        <w:rPr>
          <w:rtl/>
        </w:rPr>
        <w:t xml:space="preserve"> توصَى مكاتب الملكية الفكرية بالعمل على زيادة تبادل البيانات الموحدة المعدة بكاملها بنسق </w:t>
      </w:r>
      <w:r w:rsidRPr="00C040D7">
        <w:t>XML</w:t>
      </w:r>
      <w:r w:rsidRPr="00C040D7">
        <w:rPr>
          <w:rtl/>
        </w:rPr>
        <w:t xml:space="preserve"> مع المكتب الدولي، وبحث نماذج متزامنة من قبيل خدمات التبادل بين الأجهزة في نظام معاهدة البراءات الإلكتروني.</w:t>
      </w:r>
    </w:p>
    <w:p w14:paraId="4E5D3F33" w14:textId="5BC2C9B0" w:rsidR="00B30C43" w:rsidRDefault="00B30C43" w:rsidP="008E1357">
      <w:pPr>
        <w:pStyle w:val="BodyText"/>
        <w:rPr>
          <w:rtl/>
        </w:rPr>
      </w:pPr>
      <w:r w:rsidRPr="003D1BBF">
        <w:rPr>
          <w:u w:val="single"/>
          <w:rtl/>
        </w:rPr>
        <w:t>التوصية 24</w:t>
      </w:r>
      <w:r w:rsidR="003D1BBF">
        <w:rPr>
          <w:rFonts w:hint="cs"/>
          <w:rtl/>
        </w:rPr>
        <w:t xml:space="preserve">: </w:t>
      </w:r>
      <w:r w:rsidRPr="00B30C43">
        <w:rPr>
          <w:rtl/>
        </w:rPr>
        <w:t>بحث إمكانية استخدام صندوق استئماني دولي تساهم فيه مكاتب الملكية الفكرية بتبرعات لتعزيز التعاون الدولي في مجال رقمنة بيانات الملكية الفكرية باعتباره منفعة عامة عالمية.</w:t>
      </w:r>
    </w:p>
    <w:p w14:paraId="3526B69D" w14:textId="2A83B0D3" w:rsidR="00B30C43" w:rsidRDefault="00B30C43" w:rsidP="008E1357">
      <w:pPr>
        <w:pStyle w:val="BodyText"/>
        <w:rPr>
          <w:rtl/>
        </w:rPr>
      </w:pPr>
      <w:r w:rsidRPr="003D1BBF">
        <w:rPr>
          <w:u w:val="single"/>
          <w:rtl/>
        </w:rPr>
        <w:t>التوصية 35</w:t>
      </w:r>
      <w:r w:rsidR="003D1BBF">
        <w:rPr>
          <w:rFonts w:hint="cs"/>
          <w:rtl/>
        </w:rPr>
        <w:t xml:space="preserve">: </w:t>
      </w:r>
      <w:r w:rsidRPr="00B30C43">
        <w:rPr>
          <w:rtl/>
        </w:rPr>
        <w:t>تعزيز التعاون الدولي بين مكاتب الملكية الفكرية والمكتب الدولي من أجل التقيد بالمواعيد الزمنية المتفق عليها لتسوية الأداء، واستخدام أنساق الويب في جمع البيانات واعتماد أنظمة موحدة للإيداع الإلكتروني.</w:t>
      </w:r>
    </w:p>
    <w:p w14:paraId="60D00E76" w14:textId="7DDFA1C7" w:rsidR="00B30C43" w:rsidRDefault="00B30C43" w:rsidP="008E1357">
      <w:pPr>
        <w:pStyle w:val="BodyText"/>
        <w:rPr>
          <w:rtl/>
        </w:rPr>
      </w:pPr>
      <w:r w:rsidRPr="003D1BBF">
        <w:rPr>
          <w:u w:val="single"/>
          <w:rtl/>
        </w:rPr>
        <w:t>التوصية 18</w:t>
      </w:r>
      <w:r w:rsidR="003D1BBF">
        <w:rPr>
          <w:rFonts w:hint="cs"/>
          <w:rtl/>
        </w:rPr>
        <w:t>:</w:t>
      </w:r>
      <w:r w:rsidRPr="00B30C43">
        <w:rPr>
          <w:rtl/>
        </w:rPr>
        <w:t xml:space="preserve"> ينبغي تطوير برمجيات تحويل موحدة لتثبيت وتحويل أنواع الوثائق الرئيسية (مبدئيا النسق </w:t>
      </w:r>
      <w:r w:rsidRPr="00B30C43">
        <w:t>DOCX</w:t>
      </w:r>
      <w:r w:rsidRPr="00B30C43">
        <w:rPr>
          <w:rtl/>
        </w:rPr>
        <w:t xml:space="preserve">؛ ويمكن أيضا بحث أنساق أخرى) إلى أنساق </w:t>
      </w:r>
      <w:r w:rsidRPr="00B30C43">
        <w:t>XML</w:t>
      </w:r>
      <w:r w:rsidRPr="00B30C43">
        <w:rPr>
          <w:rtl/>
        </w:rPr>
        <w:t xml:space="preserve"> مبسطة. وينبغي أن تتضمن البرمجيات خاصية تعقب التعديلات، وأن تتيح إمكانية دمجها في أنظمة المعالجة الوطنية سواء بتطبيقها محليا أو بالإشارة إلى واجهات برمجة التطبيقات في الحالات المركزية وينبغي أن تكون قادرة على إنتاج نواتج معيار الويبو (</w:t>
      </w:r>
      <w:r w:rsidRPr="00B30C43">
        <w:t>ST.36</w:t>
      </w:r>
      <w:r w:rsidRPr="00B30C43">
        <w:rPr>
          <w:rtl/>
        </w:rPr>
        <w:t>) أو (</w:t>
      </w:r>
      <w:r w:rsidRPr="00B30C43">
        <w:t>ST.96</w:t>
      </w:r>
      <w:r w:rsidRPr="00B30C43">
        <w:rPr>
          <w:rtl/>
        </w:rPr>
        <w:t>) بأنساق تسمح بالتحويل الدقيق بينهما في مرحلة لاحقة، عند اللزوم. وينبغي أيضا التفكير في برامج للتحويل في الاتجاه الآخر (من (</w:t>
      </w:r>
      <w:r w:rsidRPr="00B30C43">
        <w:t>ST.36</w:t>
      </w:r>
      <w:r w:rsidRPr="00B30C43">
        <w:rPr>
          <w:rtl/>
        </w:rPr>
        <w:t>) أو (</w:t>
      </w:r>
      <w:r w:rsidRPr="00B30C43">
        <w:t>ST.96</w:t>
      </w:r>
      <w:r w:rsidRPr="00B30C43">
        <w:rPr>
          <w:rtl/>
        </w:rPr>
        <w:t xml:space="preserve">) إلى نسق </w:t>
      </w:r>
      <w:r w:rsidRPr="00B30C43">
        <w:t>DOCX</w:t>
      </w:r>
      <w:r w:rsidRPr="00B30C43">
        <w:rPr>
          <w:rtl/>
        </w:rPr>
        <w:t>) في مرحلة لاحقة إذا كان ذلك سيساعد في عملية تعديل/تصحيح الطلبات بفعالية.</w:t>
      </w:r>
    </w:p>
    <w:p w14:paraId="216179F6" w14:textId="63BF5C20" w:rsidR="00B30C43" w:rsidRDefault="00B30C43" w:rsidP="008E1357">
      <w:pPr>
        <w:pStyle w:val="BodyText"/>
        <w:rPr>
          <w:rtl/>
        </w:rPr>
      </w:pPr>
      <w:r w:rsidRPr="003D1BBF">
        <w:rPr>
          <w:u w:val="single"/>
          <w:rtl/>
        </w:rPr>
        <w:t>التوصية 36</w:t>
      </w:r>
      <w:r w:rsidR="003D1BBF">
        <w:rPr>
          <w:rFonts w:hint="cs"/>
          <w:rtl/>
        </w:rPr>
        <w:t>:</w:t>
      </w:r>
      <w:r w:rsidRPr="00B30C43">
        <w:rPr>
          <w:rtl/>
        </w:rPr>
        <w:t xml:space="preserve"> الاتفاق على معيار دولي بشأن أمن المعلومات مثل المعيار الدولي </w:t>
      </w:r>
      <w:r w:rsidRPr="00B30C43">
        <w:t>ISO/IEC 27001</w:t>
      </w:r>
      <w:r w:rsidRPr="00B30C43">
        <w:rPr>
          <w:rtl/>
        </w:rPr>
        <w:t xml:space="preserve"> كوسيلة تتيح للمكاتب تقديم ضمانة معقولة على فعالية الرقابة الداخلية فيها. وعندما تكون المكاتب ملزمة بالامتثال لمعيار وطني بشأن أمن المعلومات، فمن شأن مواءمة هذا المعيار الوطني مع المعايير الدولية أن يبرهن على سلامة نظام إدارة أمن المعلومات.  وبالنسبة إلى مقدمي الخدمة السحابية الخارجيين، ينبغي الاتفاق على معايير دنيا للتصديق وعمليات تدقيق مستقلة وفق معايير تحالف أمن الهندسة السحابية للحصول على الشهادات الدولية </w:t>
      </w:r>
      <w:r w:rsidRPr="00B30C43">
        <w:t>STAR</w:t>
      </w:r>
      <w:r w:rsidRPr="00B30C43">
        <w:rPr>
          <w:rtl/>
        </w:rPr>
        <w:t xml:space="preserve"> أو </w:t>
      </w:r>
      <w:r w:rsidRPr="00B30C43">
        <w:t>SSAE  (ISAE) SOC II Type 2</w:t>
      </w:r>
      <w:r w:rsidRPr="00B30C43">
        <w:rPr>
          <w:rtl/>
        </w:rPr>
        <w:t xml:space="preserve"> كوسيلة ضمان لأمن المعلومات في الخدمات السحابية.</w:t>
      </w:r>
    </w:p>
    <w:p w14:paraId="505C1268" w14:textId="4BF16B3D" w:rsidR="00B30C43" w:rsidRDefault="00B30C43" w:rsidP="008E1357">
      <w:pPr>
        <w:pStyle w:val="BodyText"/>
        <w:rPr>
          <w:rtl/>
        </w:rPr>
      </w:pPr>
      <w:r w:rsidRPr="003D1BBF">
        <w:rPr>
          <w:u w:val="single"/>
          <w:rtl/>
        </w:rPr>
        <w:t>التوصية 15</w:t>
      </w:r>
      <w:r w:rsidR="003D1BBF">
        <w:rPr>
          <w:rFonts w:hint="cs"/>
          <w:rtl/>
        </w:rPr>
        <w:t>:</w:t>
      </w:r>
      <w:r w:rsidRPr="00B30C43">
        <w:rPr>
          <w:rtl/>
        </w:rPr>
        <w:t xml:space="preserve"> ينبغي أن تبحث مكاتب الملكية الفكرية الإمكانيات القانونية والتقنية لتحديد أسر البراءات قبل النشر والحرص على حصول مكاتب الملكية الفكرية التي تعالج أعضاء أسرة البراءات على إذن بالاطلاع على تقارير البحث والفحص. وينبغي بحث هذه التوصية بالاقتران مع التوصية 12 المتعلقة بإنشاء سجلات موزَّعة، بالنظر إلى الكم المحدود من المعلومات (مثل مراجع الأولوية) التي يمكن تبادلها على سجل موزع قبل نشرها.</w:t>
      </w:r>
    </w:p>
    <w:p w14:paraId="2C8CDA2D" w14:textId="66168882" w:rsidR="00B30C43" w:rsidRDefault="00B30C43" w:rsidP="008E1357">
      <w:pPr>
        <w:pStyle w:val="BodyText"/>
        <w:rPr>
          <w:rtl/>
        </w:rPr>
      </w:pPr>
      <w:r w:rsidRPr="003D1BBF">
        <w:rPr>
          <w:u w:val="single"/>
          <w:rtl/>
        </w:rPr>
        <w:t>التوصية 17</w:t>
      </w:r>
      <w:r w:rsidR="003D1BBF">
        <w:rPr>
          <w:rFonts w:hint="cs"/>
          <w:rtl/>
        </w:rPr>
        <w:t>:</w:t>
      </w:r>
      <w:r w:rsidRPr="00B30C43">
        <w:rPr>
          <w:rtl/>
        </w:rPr>
        <w:t xml:space="preserve"> لا ينبغي أن يقتصر العمل في إعداد معايير تقارير البحث والفحص في إطار معيار الويبو (</w:t>
      </w:r>
      <w:r w:rsidRPr="00B30C43">
        <w:t>ST.96</w:t>
      </w:r>
      <w:r w:rsidRPr="00B30C43">
        <w:rPr>
          <w:rtl/>
        </w:rPr>
        <w:t>) على تحويل المعيار (</w:t>
      </w:r>
      <w:r w:rsidRPr="00B30C43">
        <w:t>ST.36</w:t>
      </w:r>
      <w:r w:rsidRPr="00B30C43">
        <w:rPr>
          <w:rtl/>
        </w:rPr>
        <w:t>) لكي يستجيب لمتطلبات المعيار (</w:t>
      </w:r>
      <w:r w:rsidRPr="00B30C43">
        <w:t>ST.96</w:t>
      </w:r>
      <w:r w:rsidRPr="00B30C43">
        <w:rPr>
          <w:rtl/>
        </w:rPr>
        <w:t>)، بل ينبغي تحليل ما إذا كانت الهياكل تشجع على تسهيل إعادة استخدام البيانات بين مرحلتي البحث والفحص سواء في مكتب للملكية الفكرية أو بين مكتبين مختلفين للملكية الفكرية.</w:t>
      </w:r>
    </w:p>
    <w:p w14:paraId="775E1907" w14:textId="7B8F28B7" w:rsidR="00B30C43" w:rsidRPr="009B3CDF" w:rsidRDefault="00B30C43" w:rsidP="00B30C43">
      <w:pPr>
        <w:pStyle w:val="Heading2"/>
        <w:rPr>
          <w:i/>
          <w:iCs w:val="0"/>
          <w:rtl/>
        </w:rPr>
      </w:pPr>
      <w:r w:rsidRPr="009B3CDF">
        <w:rPr>
          <w:rFonts w:hint="cs"/>
          <w:i/>
          <w:iCs w:val="0"/>
          <w:rtl/>
        </w:rPr>
        <w:t xml:space="preserve">الفئة </w:t>
      </w:r>
      <w:r>
        <w:rPr>
          <w:rFonts w:hint="cs"/>
          <w:i/>
          <w:iCs w:val="0"/>
          <w:rtl/>
        </w:rPr>
        <w:t>هاء</w:t>
      </w:r>
    </w:p>
    <w:p w14:paraId="5028B758" w14:textId="21059705" w:rsidR="00B30C43" w:rsidRDefault="00B30C43" w:rsidP="008E1357">
      <w:pPr>
        <w:pStyle w:val="BodyText"/>
        <w:rPr>
          <w:rtl/>
        </w:rPr>
      </w:pPr>
      <w:r w:rsidRPr="003D1BBF">
        <w:rPr>
          <w:u w:val="single"/>
          <w:rtl/>
        </w:rPr>
        <w:t>التوصية 33</w:t>
      </w:r>
      <w:r w:rsidR="003D1BBF">
        <w:rPr>
          <w:rFonts w:hint="cs"/>
          <w:rtl/>
        </w:rPr>
        <w:t xml:space="preserve">: </w:t>
      </w:r>
      <w:r w:rsidRPr="00B30C43">
        <w:rPr>
          <w:rtl/>
        </w:rPr>
        <w:t>يتعين بحث القضايا التقنية المتعلقة بقبول الصور المتحركة والإعدادات المرتبطة بها فيما يتعلق بسلامة الصور لدى إرسالها وتخزينها ونشر وتبادلها.</w:t>
      </w:r>
    </w:p>
    <w:p w14:paraId="5A293DF0" w14:textId="24AF07A3" w:rsidR="00B30C43" w:rsidRDefault="00B30C43" w:rsidP="008E1357">
      <w:pPr>
        <w:pStyle w:val="BodyText"/>
        <w:rPr>
          <w:rtl/>
        </w:rPr>
      </w:pPr>
      <w:r w:rsidRPr="003D1BBF">
        <w:rPr>
          <w:u w:val="single"/>
          <w:rtl/>
        </w:rPr>
        <w:t>التوصية 38</w:t>
      </w:r>
      <w:r w:rsidR="003D1BBF">
        <w:rPr>
          <w:rFonts w:hint="cs"/>
          <w:rtl/>
        </w:rPr>
        <w:t>:</w:t>
      </w:r>
      <w:r w:rsidRPr="00B30C43">
        <w:rPr>
          <w:rtl/>
        </w:rPr>
        <w:t xml:space="preserve"> ينبغي بحث أساليب محسنة لإدماج الأنظمة المركزية مع الأنظمة الدولية. وينبغي إنشاء خدمة مركزية لتقدم نموذجا توضيحيا/نموذجا تجريبيا، بواجهات برمجة تطبيقات مفتوحة وموحدة، من أجل تعميم بيانات التصنيف والمعايير وتبادل بيانات المعاملات بين مكاتب الملكية الفكرية والأنظمة الإقليمية/الدولية للملكية الفكرية.</w:t>
      </w:r>
    </w:p>
    <w:p w14:paraId="53681E6A" w14:textId="77777777" w:rsidR="00B30C43" w:rsidRDefault="00B30C43" w:rsidP="00B30C43">
      <w:pPr>
        <w:pStyle w:val="Endofdocument-Annex"/>
        <w:rPr>
          <w:rtl/>
        </w:rPr>
      </w:pPr>
    </w:p>
    <w:p w14:paraId="4C94C93E" w14:textId="77777777" w:rsidR="00B30C43" w:rsidRDefault="00B30C43" w:rsidP="00B30C43">
      <w:pPr>
        <w:pStyle w:val="Endofdocument-Annex"/>
        <w:rPr>
          <w:rtl/>
        </w:rPr>
      </w:pPr>
    </w:p>
    <w:p w14:paraId="63FA4527" w14:textId="1BF2CC50" w:rsidR="00B30C43" w:rsidRPr="00B30C43" w:rsidRDefault="00B30C43" w:rsidP="00B30C43">
      <w:pPr>
        <w:pStyle w:val="Endofdocument-Annex"/>
        <w:rPr>
          <w:rtl/>
        </w:rPr>
      </w:pPr>
      <w:r>
        <w:rPr>
          <w:rFonts w:hint="cs"/>
          <w:rtl/>
        </w:rPr>
        <w:t>[نهاية المرفق الثاني والوثيقة]</w:t>
      </w:r>
    </w:p>
    <w:sectPr w:rsidR="00B30C43" w:rsidRPr="00B30C43" w:rsidSect="00CC3E2D">
      <w:headerReference w:type="default" r:id="rId8"/>
      <w:headerReference w:type="first" r:id="rId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B9709" w14:textId="77777777" w:rsidR="00872405" w:rsidRDefault="00872405">
      <w:r>
        <w:separator/>
      </w:r>
    </w:p>
  </w:endnote>
  <w:endnote w:type="continuationSeparator" w:id="0">
    <w:p w14:paraId="294AD67C" w14:textId="77777777" w:rsidR="00872405" w:rsidRDefault="00872405" w:rsidP="003B38C1">
      <w:r>
        <w:separator/>
      </w:r>
    </w:p>
    <w:p w14:paraId="37130E04" w14:textId="77777777" w:rsidR="00872405" w:rsidRPr="003B38C1" w:rsidRDefault="00872405" w:rsidP="003B38C1">
      <w:pPr>
        <w:spacing w:after="60"/>
        <w:rPr>
          <w:sz w:val="17"/>
        </w:rPr>
      </w:pPr>
      <w:r>
        <w:rPr>
          <w:sz w:val="17"/>
        </w:rPr>
        <w:t>[Endnote continued from previous page]</w:t>
      </w:r>
    </w:p>
  </w:endnote>
  <w:endnote w:type="continuationNotice" w:id="1">
    <w:p w14:paraId="2F10F727" w14:textId="77777777" w:rsidR="00872405" w:rsidRPr="003B38C1" w:rsidRDefault="008724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Arial"/>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3B9EB" w14:textId="77777777" w:rsidR="00872405" w:rsidRDefault="00872405">
      <w:r>
        <w:separator/>
      </w:r>
    </w:p>
  </w:footnote>
  <w:footnote w:type="continuationSeparator" w:id="0">
    <w:p w14:paraId="25A67C89" w14:textId="77777777" w:rsidR="00872405" w:rsidRDefault="00872405" w:rsidP="008B60B2">
      <w:r>
        <w:separator/>
      </w:r>
    </w:p>
    <w:p w14:paraId="7F046AC2" w14:textId="77777777" w:rsidR="00872405" w:rsidRPr="00ED77FB" w:rsidRDefault="00872405" w:rsidP="008B60B2">
      <w:pPr>
        <w:spacing w:after="60"/>
        <w:rPr>
          <w:sz w:val="17"/>
          <w:szCs w:val="17"/>
        </w:rPr>
      </w:pPr>
      <w:r w:rsidRPr="00ED77FB">
        <w:rPr>
          <w:sz w:val="17"/>
          <w:szCs w:val="17"/>
        </w:rPr>
        <w:t>[Footnote continued from previous page]</w:t>
      </w:r>
    </w:p>
  </w:footnote>
  <w:footnote w:type="continuationNotice" w:id="1">
    <w:p w14:paraId="4A2B1083" w14:textId="77777777" w:rsidR="00872405" w:rsidRPr="00ED77FB" w:rsidRDefault="0087240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F4A7" w14:textId="74DFA09C" w:rsidR="00155952" w:rsidRDefault="00155952" w:rsidP="00155952">
    <w:pPr>
      <w:bidi w:val="0"/>
      <w:rPr>
        <w:rFonts w:cs="Arial"/>
        <w:caps/>
        <w:szCs w:val="20"/>
        <w:rtl/>
      </w:rPr>
    </w:pPr>
    <w:bookmarkStart w:id="1" w:name="_Hlk84855881"/>
    <w:r w:rsidRPr="00360601">
      <w:rPr>
        <w:rFonts w:cs="Arial"/>
        <w:caps/>
        <w:szCs w:val="20"/>
      </w:rPr>
      <w:t>CWS/9/</w:t>
    </w:r>
    <w:r w:rsidR="006F26FB">
      <w:rPr>
        <w:rFonts w:cs="Arial"/>
        <w:caps/>
        <w:szCs w:val="20"/>
      </w:rPr>
      <w:t>2</w:t>
    </w:r>
  </w:p>
  <w:p w14:paraId="203F11F6" w14:textId="783BD92F" w:rsidR="00906B37" w:rsidRDefault="00906B37" w:rsidP="00906B37">
    <w:pPr>
      <w:pStyle w:val="BodyText"/>
      <w:bidi w:val="0"/>
      <w:spacing w:after="0"/>
      <w:rPr>
        <w:rtl/>
      </w:rPr>
    </w:pPr>
    <w:r>
      <w:t>Annex II</w:t>
    </w:r>
  </w:p>
  <w:p w14:paraId="114FCE8B" w14:textId="6A58A57D" w:rsidR="00155952" w:rsidRPr="00906B37" w:rsidRDefault="00155952" w:rsidP="00906B37">
    <w:pPr>
      <w:bidi w:val="0"/>
      <w:rPr>
        <w:rFonts w:cs="Arial"/>
        <w:szCs w:val="20"/>
        <w:rtl/>
      </w:rPr>
    </w:pPr>
    <w:r w:rsidRPr="00360601">
      <w:rPr>
        <w:rFonts w:cs="Arial"/>
        <w:szCs w:val="20"/>
      </w:rPr>
      <w:fldChar w:fldCharType="begin"/>
    </w:r>
    <w:r w:rsidRPr="00360601">
      <w:rPr>
        <w:rFonts w:cs="Arial"/>
        <w:szCs w:val="20"/>
      </w:rPr>
      <w:instrText xml:space="preserve"> PAGE  \* MERGEFORMAT </w:instrText>
    </w:r>
    <w:r w:rsidRPr="00360601">
      <w:rPr>
        <w:rFonts w:cs="Arial"/>
        <w:szCs w:val="20"/>
      </w:rPr>
      <w:fldChar w:fldCharType="separate"/>
    </w:r>
    <w:r w:rsidR="007B688E">
      <w:rPr>
        <w:rFonts w:cs="Arial"/>
        <w:noProof/>
        <w:szCs w:val="20"/>
      </w:rPr>
      <w:t>4</w:t>
    </w:r>
    <w:r w:rsidRPr="00360601">
      <w:rPr>
        <w:rFonts w:cs="Arial"/>
        <w:szCs w:val="20"/>
      </w:rPr>
      <w:fldChar w:fldCharType="end"/>
    </w:r>
    <w:bookmarkEnd w:id="1"/>
  </w:p>
  <w:p w14:paraId="22865C96" w14:textId="77777777" w:rsidR="00155952" w:rsidRDefault="00155952" w:rsidP="001559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35F6C" w14:textId="5B0C5ED3" w:rsidR="009B3CDF" w:rsidRDefault="009B3CDF" w:rsidP="009B3CDF">
    <w:pPr>
      <w:bidi w:val="0"/>
      <w:rPr>
        <w:rFonts w:cs="Arial"/>
        <w:caps/>
        <w:szCs w:val="20"/>
        <w:rtl/>
      </w:rPr>
    </w:pPr>
    <w:r w:rsidRPr="00360601">
      <w:rPr>
        <w:rFonts w:cs="Arial"/>
        <w:caps/>
        <w:szCs w:val="20"/>
      </w:rPr>
      <w:t>CWS/9/</w:t>
    </w:r>
    <w:r>
      <w:rPr>
        <w:rFonts w:cs="Arial"/>
        <w:caps/>
        <w:szCs w:val="20"/>
      </w:rPr>
      <w:t>2</w:t>
    </w:r>
  </w:p>
  <w:p w14:paraId="049EB92B" w14:textId="2A0B43C8" w:rsidR="00906B37" w:rsidRDefault="00906B37" w:rsidP="00906B37">
    <w:pPr>
      <w:bidi w:val="0"/>
      <w:rPr>
        <w:rFonts w:cs="Arial"/>
        <w:caps/>
        <w:szCs w:val="20"/>
      </w:rPr>
    </w:pPr>
    <w:r>
      <w:rPr>
        <w:rFonts w:cs="Arial"/>
        <w:caps/>
        <w:szCs w:val="20"/>
      </w:rPr>
      <w:t>ANNEX II</w:t>
    </w:r>
  </w:p>
  <w:p w14:paraId="0D341D49" w14:textId="6EDCD9D6" w:rsidR="00906B37" w:rsidRPr="00906B37" w:rsidRDefault="00906B37" w:rsidP="00906B37">
    <w:pPr>
      <w:bidi w:val="0"/>
      <w:rPr>
        <w:rFonts w:asciiTheme="minorHAnsi" w:hAnsiTheme="minorHAnsi" w:cstheme="minorHAnsi"/>
        <w:caps/>
        <w:rtl/>
        <w:lang w:val="fr-FR" w:bidi="ar-EG"/>
      </w:rPr>
    </w:pPr>
    <w:r w:rsidRPr="00906B37">
      <w:rPr>
        <w:rFonts w:asciiTheme="minorHAnsi" w:hAnsiTheme="minorHAnsi" w:cstheme="minorHAnsi"/>
        <w:caps/>
        <w:rtl/>
      </w:rPr>
      <w:t>المرفق الثاني</w:t>
    </w:r>
  </w:p>
  <w:p w14:paraId="1F28A6BE" w14:textId="77777777" w:rsidR="00E804AB" w:rsidRDefault="00E804AB" w:rsidP="00E804AB">
    <w:pPr>
      <w:pStyle w:val="Header"/>
      <w:bidi w:val="0"/>
      <w:rPr>
        <w:rtl/>
      </w:rPr>
    </w:pPr>
  </w:p>
  <w:p w14:paraId="75918D14" w14:textId="77777777" w:rsidR="00E804AB" w:rsidRDefault="00E804AB" w:rsidP="00425C84">
    <w:pPr>
      <w:pStyle w:val="Header"/>
      <w:bidi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B63DDA"/>
    <w:multiLevelType w:val="hybridMultilevel"/>
    <w:tmpl w:val="32684460"/>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93DDD"/>
    <w:multiLevelType w:val="hybridMultilevel"/>
    <w:tmpl w:val="333E3124"/>
    <w:lvl w:ilvl="0" w:tplc="CB9CA206">
      <w:numFmt w:val="bullet"/>
      <w:lvlText w:val="_"/>
      <w:lvlJc w:val="left"/>
      <w:pPr>
        <w:ind w:left="720" w:hanging="360"/>
      </w:pPr>
      <w:rPr>
        <w:rFonts w:ascii="Arabic Typesetting" w:eastAsia="Times New Roman" w:hAnsi="Arabic Typesetting"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3F683FE3"/>
    <w:multiLevelType w:val="hybridMultilevel"/>
    <w:tmpl w:val="12D4B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D47D4"/>
    <w:multiLevelType w:val="hybridMultilevel"/>
    <w:tmpl w:val="731458F0"/>
    <w:lvl w:ilvl="0" w:tplc="EF98573E">
      <w:numFmt w:val="bullet"/>
      <w:lvlText w:val="-"/>
      <w:lvlJc w:val="left"/>
      <w:pPr>
        <w:ind w:left="720" w:hanging="360"/>
      </w:pPr>
      <w:rPr>
        <w:rFonts w:ascii="Calibri" w:eastAsia="Times New Roman"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5" w15:restartNumberingAfterBreak="0">
    <w:nsid w:val="42B84EA0"/>
    <w:multiLevelType w:val="hybridMultilevel"/>
    <w:tmpl w:val="1E6C88DE"/>
    <w:lvl w:ilvl="0" w:tplc="183AD578">
      <w:numFmt w:val="bullet"/>
      <w:lvlText w:val="-"/>
      <w:lvlJc w:val="left"/>
      <w:pPr>
        <w:ind w:left="720" w:hanging="360"/>
      </w:pPr>
      <w:rPr>
        <w:rFonts w:ascii="Calibri" w:eastAsia="Times New Roman"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D64410"/>
    <w:multiLevelType w:val="hybridMultilevel"/>
    <w:tmpl w:val="7520E4A0"/>
    <w:lvl w:ilvl="0" w:tplc="8580E61E">
      <w:start w:val="1"/>
      <w:numFmt w:val="arabicAbjad"/>
      <w:lvlText w:val="(%1)"/>
      <w:lvlJc w:val="left"/>
      <w:pPr>
        <w:ind w:left="752" w:hanging="360"/>
      </w:pPr>
      <w:rPr>
        <w:rFonts w:asciiTheme="minorHAnsi" w:eastAsia="SimSun" w:hAnsiTheme="minorHAnsi" w:cstheme="minorHAnsi"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20061B"/>
    <w:multiLevelType w:val="multilevel"/>
    <w:tmpl w:val="ACAA6F7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FD7911"/>
    <w:multiLevelType w:val="hybridMultilevel"/>
    <w:tmpl w:val="AA5ADAB0"/>
    <w:lvl w:ilvl="0" w:tplc="1A94064A">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7"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AC7B0C"/>
    <w:multiLevelType w:val="hybridMultilevel"/>
    <w:tmpl w:val="8738D916"/>
    <w:lvl w:ilvl="0" w:tplc="CB9CA206">
      <w:numFmt w:val="bullet"/>
      <w:lvlText w:val="_"/>
      <w:lvlJc w:val="left"/>
      <w:pPr>
        <w:ind w:left="720" w:hanging="360"/>
      </w:pPr>
      <w:rPr>
        <w:rFonts w:ascii="Arabic Typesetting" w:eastAsia="Times New Roman" w:hAnsi="Arabic Typesetting"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0"/>
  </w:num>
  <w:num w:numId="4">
    <w:abstractNumId w:val="20"/>
  </w:num>
  <w:num w:numId="5">
    <w:abstractNumId w:val="2"/>
  </w:num>
  <w:num w:numId="6">
    <w:abstractNumId w:val="8"/>
  </w:num>
  <w:num w:numId="7">
    <w:abstractNumId w:val="23"/>
  </w:num>
  <w:num w:numId="8">
    <w:abstractNumId w:val="11"/>
  </w:num>
  <w:num w:numId="9">
    <w:abstractNumId w:val="12"/>
  </w:num>
  <w:num w:numId="10">
    <w:abstractNumId w:val="18"/>
  </w:num>
  <w:num w:numId="11">
    <w:abstractNumId w:val="22"/>
  </w:num>
  <w:num w:numId="12">
    <w:abstractNumId w:val="19"/>
  </w:num>
  <w:num w:numId="13">
    <w:abstractNumId w:val="24"/>
  </w:num>
  <w:num w:numId="14">
    <w:abstractNumId w:val="6"/>
  </w:num>
  <w:num w:numId="15">
    <w:abstractNumId w:val="10"/>
  </w:num>
  <w:num w:numId="16">
    <w:abstractNumId w:val="3"/>
  </w:num>
  <w:num w:numId="17">
    <w:abstractNumId w:val="13"/>
  </w:num>
  <w:num w:numId="18">
    <w:abstractNumId w:val="21"/>
  </w:num>
  <w:num w:numId="19">
    <w:abstractNumId w:val="7"/>
  </w:num>
  <w:num w:numId="20">
    <w:abstractNumId w:val="25"/>
  </w:num>
  <w:num w:numId="21">
    <w:abstractNumId w:val="9"/>
  </w:num>
  <w:num w:numId="22">
    <w:abstractNumId w:val="27"/>
  </w:num>
  <w:num w:numId="23">
    <w:abstractNumId w:val="17"/>
  </w:num>
  <w:num w:numId="24">
    <w:abstractNumId w:val="23"/>
  </w:num>
  <w:num w:numId="25">
    <w:abstractNumId w:val="23"/>
  </w:num>
  <w:num w:numId="26">
    <w:abstractNumId w:val="23"/>
  </w:num>
  <w:num w:numId="27">
    <w:abstractNumId w:val="23"/>
  </w:num>
  <w:num w:numId="28">
    <w:abstractNumId w:val="23"/>
  </w:num>
  <w:num w:numId="29">
    <w:abstractNumId w:val="4"/>
  </w:num>
  <w:num w:numId="30">
    <w:abstractNumId w:val="15"/>
  </w:num>
  <w:num w:numId="31">
    <w:abstractNumId w:val="1"/>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6"/>
  </w:num>
  <w:num w:numId="39">
    <w:abstractNumId w:val="23"/>
  </w:num>
  <w:num w:numId="40">
    <w:abstractNumId w:val="23"/>
  </w:num>
  <w:num w:numId="41">
    <w:abstractNumId w:val="23"/>
  </w:num>
  <w:num w:numId="42">
    <w:abstractNumId w:val="14"/>
  </w:num>
  <w:num w:numId="43">
    <w:abstractNumId w:val="28"/>
  </w:num>
  <w:num w:numId="44">
    <w:abstractNumId w:val="23"/>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00"/>
    <w:rsid w:val="00005C9A"/>
    <w:rsid w:val="000070C8"/>
    <w:rsid w:val="00014221"/>
    <w:rsid w:val="00016BDB"/>
    <w:rsid w:val="00020B97"/>
    <w:rsid w:val="00021144"/>
    <w:rsid w:val="00021B01"/>
    <w:rsid w:val="00035A24"/>
    <w:rsid w:val="00043CAA"/>
    <w:rsid w:val="00044113"/>
    <w:rsid w:val="000513F4"/>
    <w:rsid w:val="00056816"/>
    <w:rsid w:val="00063B87"/>
    <w:rsid w:val="00065834"/>
    <w:rsid w:val="00070761"/>
    <w:rsid w:val="00071E69"/>
    <w:rsid w:val="00071F21"/>
    <w:rsid w:val="00075432"/>
    <w:rsid w:val="00076504"/>
    <w:rsid w:val="00086230"/>
    <w:rsid w:val="000910E5"/>
    <w:rsid w:val="000968ED"/>
    <w:rsid w:val="000A3385"/>
    <w:rsid w:val="000A3D97"/>
    <w:rsid w:val="000A67D0"/>
    <w:rsid w:val="000B07F5"/>
    <w:rsid w:val="000B2799"/>
    <w:rsid w:val="000B2A4E"/>
    <w:rsid w:val="000B5B36"/>
    <w:rsid w:val="000C27A1"/>
    <w:rsid w:val="000C28F3"/>
    <w:rsid w:val="000C3B24"/>
    <w:rsid w:val="000D3DAB"/>
    <w:rsid w:val="000E52DA"/>
    <w:rsid w:val="000F5E56"/>
    <w:rsid w:val="00114F7B"/>
    <w:rsid w:val="00122D17"/>
    <w:rsid w:val="001344B3"/>
    <w:rsid w:val="001362EE"/>
    <w:rsid w:val="001406E1"/>
    <w:rsid w:val="00140F22"/>
    <w:rsid w:val="001444D9"/>
    <w:rsid w:val="00145007"/>
    <w:rsid w:val="00155952"/>
    <w:rsid w:val="00155D8A"/>
    <w:rsid w:val="00156915"/>
    <w:rsid w:val="001647D5"/>
    <w:rsid w:val="00166447"/>
    <w:rsid w:val="00166C69"/>
    <w:rsid w:val="00167832"/>
    <w:rsid w:val="00170361"/>
    <w:rsid w:val="001832A6"/>
    <w:rsid w:val="00187D7E"/>
    <w:rsid w:val="00191076"/>
    <w:rsid w:val="00192159"/>
    <w:rsid w:val="0019592A"/>
    <w:rsid w:val="00195B0E"/>
    <w:rsid w:val="001B4A46"/>
    <w:rsid w:val="001C20CE"/>
    <w:rsid w:val="001C2B68"/>
    <w:rsid w:val="001C513D"/>
    <w:rsid w:val="001D4107"/>
    <w:rsid w:val="001E6ABF"/>
    <w:rsid w:val="002027EB"/>
    <w:rsid w:val="00203D24"/>
    <w:rsid w:val="0020439E"/>
    <w:rsid w:val="00206593"/>
    <w:rsid w:val="00207E3F"/>
    <w:rsid w:val="00210D5F"/>
    <w:rsid w:val="002112DB"/>
    <w:rsid w:val="00211FC5"/>
    <w:rsid w:val="0021217E"/>
    <w:rsid w:val="002201FA"/>
    <w:rsid w:val="002266E1"/>
    <w:rsid w:val="002326AB"/>
    <w:rsid w:val="00243430"/>
    <w:rsid w:val="002451DF"/>
    <w:rsid w:val="00250149"/>
    <w:rsid w:val="00262607"/>
    <w:rsid w:val="002634C4"/>
    <w:rsid w:val="00265354"/>
    <w:rsid w:val="00273483"/>
    <w:rsid w:val="0028335C"/>
    <w:rsid w:val="002928D3"/>
    <w:rsid w:val="002A7B3A"/>
    <w:rsid w:val="002B2410"/>
    <w:rsid w:val="002C00A3"/>
    <w:rsid w:val="002D4484"/>
    <w:rsid w:val="002D450E"/>
    <w:rsid w:val="002F1FE6"/>
    <w:rsid w:val="002F4E68"/>
    <w:rsid w:val="00303282"/>
    <w:rsid w:val="00304850"/>
    <w:rsid w:val="00312F7F"/>
    <w:rsid w:val="00321316"/>
    <w:rsid w:val="00321EB3"/>
    <w:rsid w:val="00324B26"/>
    <w:rsid w:val="00327E12"/>
    <w:rsid w:val="00333351"/>
    <w:rsid w:val="00334991"/>
    <w:rsid w:val="00344554"/>
    <w:rsid w:val="003452A8"/>
    <w:rsid w:val="00360601"/>
    <w:rsid w:val="00361450"/>
    <w:rsid w:val="003673CF"/>
    <w:rsid w:val="00372195"/>
    <w:rsid w:val="00375547"/>
    <w:rsid w:val="003845C1"/>
    <w:rsid w:val="00390119"/>
    <w:rsid w:val="00393538"/>
    <w:rsid w:val="003A219A"/>
    <w:rsid w:val="003A6F89"/>
    <w:rsid w:val="003B355C"/>
    <w:rsid w:val="003B3581"/>
    <w:rsid w:val="003B38C1"/>
    <w:rsid w:val="003B4AE4"/>
    <w:rsid w:val="003C34E9"/>
    <w:rsid w:val="003C43BF"/>
    <w:rsid w:val="003D1BBF"/>
    <w:rsid w:val="003D25B0"/>
    <w:rsid w:val="003D3463"/>
    <w:rsid w:val="003D5315"/>
    <w:rsid w:val="003D7B03"/>
    <w:rsid w:val="003E4CF2"/>
    <w:rsid w:val="003E520C"/>
    <w:rsid w:val="003F20F4"/>
    <w:rsid w:val="004070A0"/>
    <w:rsid w:val="00414F5E"/>
    <w:rsid w:val="00423CB2"/>
    <w:rsid w:val="00423E3E"/>
    <w:rsid w:val="004252CB"/>
    <w:rsid w:val="00425C84"/>
    <w:rsid w:val="00427AF4"/>
    <w:rsid w:val="004306E9"/>
    <w:rsid w:val="00434B5E"/>
    <w:rsid w:val="00435D4F"/>
    <w:rsid w:val="00435E3E"/>
    <w:rsid w:val="00436F2D"/>
    <w:rsid w:val="004434C3"/>
    <w:rsid w:val="00444A53"/>
    <w:rsid w:val="00444E0B"/>
    <w:rsid w:val="00445486"/>
    <w:rsid w:val="00447765"/>
    <w:rsid w:val="0045246E"/>
    <w:rsid w:val="00452F85"/>
    <w:rsid w:val="00461B51"/>
    <w:rsid w:val="004647DA"/>
    <w:rsid w:val="00472EF6"/>
    <w:rsid w:val="00474062"/>
    <w:rsid w:val="00476DAE"/>
    <w:rsid w:val="00477D6B"/>
    <w:rsid w:val="0048522D"/>
    <w:rsid w:val="00496AB4"/>
    <w:rsid w:val="004A293D"/>
    <w:rsid w:val="004B587A"/>
    <w:rsid w:val="004C2EA2"/>
    <w:rsid w:val="004C43C6"/>
    <w:rsid w:val="004D29A8"/>
    <w:rsid w:val="004D63CB"/>
    <w:rsid w:val="004D64E1"/>
    <w:rsid w:val="004E4641"/>
    <w:rsid w:val="004E7145"/>
    <w:rsid w:val="004F2DE7"/>
    <w:rsid w:val="004F57F4"/>
    <w:rsid w:val="005019FF"/>
    <w:rsid w:val="0050470A"/>
    <w:rsid w:val="00506532"/>
    <w:rsid w:val="005153F3"/>
    <w:rsid w:val="005202DD"/>
    <w:rsid w:val="00523F0D"/>
    <w:rsid w:val="0053057A"/>
    <w:rsid w:val="0053240B"/>
    <w:rsid w:val="00540329"/>
    <w:rsid w:val="00543B46"/>
    <w:rsid w:val="005508A8"/>
    <w:rsid w:val="00556076"/>
    <w:rsid w:val="00560A29"/>
    <w:rsid w:val="00565DBE"/>
    <w:rsid w:val="005740C5"/>
    <w:rsid w:val="00576BB6"/>
    <w:rsid w:val="00584829"/>
    <w:rsid w:val="00592CDF"/>
    <w:rsid w:val="0059409E"/>
    <w:rsid w:val="005A2C07"/>
    <w:rsid w:val="005B2C79"/>
    <w:rsid w:val="005B453D"/>
    <w:rsid w:val="005C0B3B"/>
    <w:rsid w:val="005C3D03"/>
    <w:rsid w:val="005C6649"/>
    <w:rsid w:val="005E5C88"/>
    <w:rsid w:val="005E721B"/>
    <w:rsid w:val="005E723C"/>
    <w:rsid w:val="005E7B89"/>
    <w:rsid w:val="005F0828"/>
    <w:rsid w:val="00600D30"/>
    <w:rsid w:val="00600E7F"/>
    <w:rsid w:val="00605827"/>
    <w:rsid w:val="006216FA"/>
    <w:rsid w:val="00624753"/>
    <w:rsid w:val="00641726"/>
    <w:rsid w:val="00646050"/>
    <w:rsid w:val="00650C02"/>
    <w:rsid w:val="0065280C"/>
    <w:rsid w:val="006704E2"/>
    <w:rsid w:val="006713CA"/>
    <w:rsid w:val="00671D94"/>
    <w:rsid w:val="00672489"/>
    <w:rsid w:val="00672685"/>
    <w:rsid w:val="00672C45"/>
    <w:rsid w:val="006763B8"/>
    <w:rsid w:val="00676C5C"/>
    <w:rsid w:val="00682393"/>
    <w:rsid w:val="00684D88"/>
    <w:rsid w:val="00685559"/>
    <w:rsid w:val="0069026A"/>
    <w:rsid w:val="00692E16"/>
    <w:rsid w:val="006A5AAB"/>
    <w:rsid w:val="006B11BA"/>
    <w:rsid w:val="006B5C12"/>
    <w:rsid w:val="006B61BF"/>
    <w:rsid w:val="006C113F"/>
    <w:rsid w:val="006C5E66"/>
    <w:rsid w:val="006D03D2"/>
    <w:rsid w:val="006D27D2"/>
    <w:rsid w:val="006D309E"/>
    <w:rsid w:val="006D4F94"/>
    <w:rsid w:val="006D578E"/>
    <w:rsid w:val="006D6C50"/>
    <w:rsid w:val="006D7AAB"/>
    <w:rsid w:val="006D7C7A"/>
    <w:rsid w:val="006E1C7A"/>
    <w:rsid w:val="006E2D95"/>
    <w:rsid w:val="006F26FB"/>
    <w:rsid w:val="006F641A"/>
    <w:rsid w:val="00706DF2"/>
    <w:rsid w:val="00707BB4"/>
    <w:rsid w:val="00710A03"/>
    <w:rsid w:val="007161B4"/>
    <w:rsid w:val="00720EFD"/>
    <w:rsid w:val="00730976"/>
    <w:rsid w:val="00731F15"/>
    <w:rsid w:val="00747A77"/>
    <w:rsid w:val="00750C1A"/>
    <w:rsid w:val="007541BE"/>
    <w:rsid w:val="00757896"/>
    <w:rsid w:val="00767AF9"/>
    <w:rsid w:val="00777548"/>
    <w:rsid w:val="007854AF"/>
    <w:rsid w:val="007911D1"/>
    <w:rsid w:val="0079149A"/>
    <w:rsid w:val="00793A7C"/>
    <w:rsid w:val="007969D1"/>
    <w:rsid w:val="007A398A"/>
    <w:rsid w:val="007B688E"/>
    <w:rsid w:val="007C2853"/>
    <w:rsid w:val="007C4902"/>
    <w:rsid w:val="007D1613"/>
    <w:rsid w:val="007D1A8B"/>
    <w:rsid w:val="007E4889"/>
    <w:rsid w:val="007E4C0E"/>
    <w:rsid w:val="007F2C24"/>
    <w:rsid w:val="00807F64"/>
    <w:rsid w:val="008243C0"/>
    <w:rsid w:val="00825DE5"/>
    <w:rsid w:val="0084266B"/>
    <w:rsid w:val="00843FC7"/>
    <w:rsid w:val="00845572"/>
    <w:rsid w:val="008629F3"/>
    <w:rsid w:val="008640A0"/>
    <w:rsid w:val="00872405"/>
    <w:rsid w:val="0087452D"/>
    <w:rsid w:val="008A0924"/>
    <w:rsid w:val="008A134B"/>
    <w:rsid w:val="008A7C37"/>
    <w:rsid w:val="008B1E0F"/>
    <w:rsid w:val="008B2CC1"/>
    <w:rsid w:val="008B60B2"/>
    <w:rsid w:val="008C2A2F"/>
    <w:rsid w:val="008C2C3E"/>
    <w:rsid w:val="008D1BBF"/>
    <w:rsid w:val="008D2F68"/>
    <w:rsid w:val="008E1357"/>
    <w:rsid w:val="009051CA"/>
    <w:rsid w:val="00906B37"/>
    <w:rsid w:val="0090731E"/>
    <w:rsid w:val="0091145F"/>
    <w:rsid w:val="00913E34"/>
    <w:rsid w:val="00916EE2"/>
    <w:rsid w:val="00923565"/>
    <w:rsid w:val="00926F77"/>
    <w:rsid w:val="00930A31"/>
    <w:rsid w:val="0093527D"/>
    <w:rsid w:val="00941D48"/>
    <w:rsid w:val="0094554E"/>
    <w:rsid w:val="00947238"/>
    <w:rsid w:val="00966A22"/>
    <w:rsid w:val="0096722F"/>
    <w:rsid w:val="00980843"/>
    <w:rsid w:val="0099406E"/>
    <w:rsid w:val="009B0855"/>
    <w:rsid w:val="009B3CDF"/>
    <w:rsid w:val="009B48A1"/>
    <w:rsid w:val="009C0DD5"/>
    <w:rsid w:val="009D1FDC"/>
    <w:rsid w:val="009D2E78"/>
    <w:rsid w:val="009D3072"/>
    <w:rsid w:val="009D3A30"/>
    <w:rsid w:val="009E1721"/>
    <w:rsid w:val="009E2791"/>
    <w:rsid w:val="009E3F6F"/>
    <w:rsid w:val="009E4439"/>
    <w:rsid w:val="009F499F"/>
    <w:rsid w:val="00A00332"/>
    <w:rsid w:val="00A100D5"/>
    <w:rsid w:val="00A13497"/>
    <w:rsid w:val="00A15568"/>
    <w:rsid w:val="00A2747B"/>
    <w:rsid w:val="00A33241"/>
    <w:rsid w:val="00A33988"/>
    <w:rsid w:val="00A3481F"/>
    <w:rsid w:val="00A37342"/>
    <w:rsid w:val="00A41FCF"/>
    <w:rsid w:val="00A42DAF"/>
    <w:rsid w:val="00A45BD8"/>
    <w:rsid w:val="00A474F0"/>
    <w:rsid w:val="00A7527A"/>
    <w:rsid w:val="00A76306"/>
    <w:rsid w:val="00A778CB"/>
    <w:rsid w:val="00A869B7"/>
    <w:rsid w:val="00A90F0A"/>
    <w:rsid w:val="00AA29A3"/>
    <w:rsid w:val="00AC205C"/>
    <w:rsid w:val="00AD2BC9"/>
    <w:rsid w:val="00AD30FC"/>
    <w:rsid w:val="00AE1EC1"/>
    <w:rsid w:val="00AF0A6B"/>
    <w:rsid w:val="00AF4F00"/>
    <w:rsid w:val="00B05A69"/>
    <w:rsid w:val="00B14F5B"/>
    <w:rsid w:val="00B21286"/>
    <w:rsid w:val="00B30C43"/>
    <w:rsid w:val="00B331D8"/>
    <w:rsid w:val="00B332E6"/>
    <w:rsid w:val="00B42CA9"/>
    <w:rsid w:val="00B51FF7"/>
    <w:rsid w:val="00B5767A"/>
    <w:rsid w:val="00B70A79"/>
    <w:rsid w:val="00B75281"/>
    <w:rsid w:val="00B754E1"/>
    <w:rsid w:val="00B803F5"/>
    <w:rsid w:val="00B831AA"/>
    <w:rsid w:val="00B90992"/>
    <w:rsid w:val="00B92F1F"/>
    <w:rsid w:val="00B9734B"/>
    <w:rsid w:val="00BA1EDF"/>
    <w:rsid w:val="00BA29C8"/>
    <w:rsid w:val="00BA2F59"/>
    <w:rsid w:val="00BA30E2"/>
    <w:rsid w:val="00BA3963"/>
    <w:rsid w:val="00BB571E"/>
    <w:rsid w:val="00BB781F"/>
    <w:rsid w:val="00BC3832"/>
    <w:rsid w:val="00BC3EAF"/>
    <w:rsid w:val="00BC45A8"/>
    <w:rsid w:val="00BC4E48"/>
    <w:rsid w:val="00BC6536"/>
    <w:rsid w:val="00BD2EC9"/>
    <w:rsid w:val="00BE295E"/>
    <w:rsid w:val="00BE559E"/>
    <w:rsid w:val="00BE735D"/>
    <w:rsid w:val="00C0013E"/>
    <w:rsid w:val="00C02F04"/>
    <w:rsid w:val="00C040D7"/>
    <w:rsid w:val="00C11BFE"/>
    <w:rsid w:val="00C137F3"/>
    <w:rsid w:val="00C2086B"/>
    <w:rsid w:val="00C32E43"/>
    <w:rsid w:val="00C3436A"/>
    <w:rsid w:val="00C43668"/>
    <w:rsid w:val="00C43F6C"/>
    <w:rsid w:val="00C5068F"/>
    <w:rsid w:val="00C511E5"/>
    <w:rsid w:val="00C53D5B"/>
    <w:rsid w:val="00C73194"/>
    <w:rsid w:val="00C742CC"/>
    <w:rsid w:val="00C74BB4"/>
    <w:rsid w:val="00C86D74"/>
    <w:rsid w:val="00C91553"/>
    <w:rsid w:val="00C91838"/>
    <w:rsid w:val="00C925DD"/>
    <w:rsid w:val="00C925E7"/>
    <w:rsid w:val="00C93B6C"/>
    <w:rsid w:val="00CB3DBA"/>
    <w:rsid w:val="00CC2CDF"/>
    <w:rsid w:val="00CC3E2D"/>
    <w:rsid w:val="00CD04F1"/>
    <w:rsid w:val="00CD1944"/>
    <w:rsid w:val="00CD4099"/>
    <w:rsid w:val="00CD56D7"/>
    <w:rsid w:val="00CD5ADE"/>
    <w:rsid w:val="00CE0CED"/>
    <w:rsid w:val="00CE19F8"/>
    <w:rsid w:val="00CE7257"/>
    <w:rsid w:val="00CF21E9"/>
    <w:rsid w:val="00CF5BB7"/>
    <w:rsid w:val="00CF681A"/>
    <w:rsid w:val="00D033D4"/>
    <w:rsid w:val="00D07C78"/>
    <w:rsid w:val="00D10CD1"/>
    <w:rsid w:val="00D123E2"/>
    <w:rsid w:val="00D125D8"/>
    <w:rsid w:val="00D15860"/>
    <w:rsid w:val="00D242A7"/>
    <w:rsid w:val="00D32E3E"/>
    <w:rsid w:val="00D37BB6"/>
    <w:rsid w:val="00D41EE0"/>
    <w:rsid w:val="00D45252"/>
    <w:rsid w:val="00D474E6"/>
    <w:rsid w:val="00D50A16"/>
    <w:rsid w:val="00D512F3"/>
    <w:rsid w:val="00D60B2C"/>
    <w:rsid w:val="00D62282"/>
    <w:rsid w:val="00D635F0"/>
    <w:rsid w:val="00D67EAE"/>
    <w:rsid w:val="00D71B4D"/>
    <w:rsid w:val="00D7681B"/>
    <w:rsid w:val="00D83FA7"/>
    <w:rsid w:val="00D85882"/>
    <w:rsid w:val="00D90B96"/>
    <w:rsid w:val="00D93D55"/>
    <w:rsid w:val="00D949DD"/>
    <w:rsid w:val="00D95C3F"/>
    <w:rsid w:val="00DA1831"/>
    <w:rsid w:val="00DA4C40"/>
    <w:rsid w:val="00DC0F46"/>
    <w:rsid w:val="00DC17E3"/>
    <w:rsid w:val="00DC3945"/>
    <w:rsid w:val="00DD65C8"/>
    <w:rsid w:val="00DD742D"/>
    <w:rsid w:val="00DD7B7F"/>
    <w:rsid w:val="00DE56AF"/>
    <w:rsid w:val="00DE76B4"/>
    <w:rsid w:val="00DF09C9"/>
    <w:rsid w:val="00DF7A4B"/>
    <w:rsid w:val="00E13090"/>
    <w:rsid w:val="00E15015"/>
    <w:rsid w:val="00E15D73"/>
    <w:rsid w:val="00E16C61"/>
    <w:rsid w:val="00E17738"/>
    <w:rsid w:val="00E3169B"/>
    <w:rsid w:val="00E319DF"/>
    <w:rsid w:val="00E335FE"/>
    <w:rsid w:val="00E34683"/>
    <w:rsid w:val="00E402BB"/>
    <w:rsid w:val="00E53AC9"/>
    <w:rsid w:val="00E63AB8"/>
    <w:rsid w:val="00E655A0"/>
    <w:rsid w:val="00E66CC5"/>
    <w:rsid w:val="00E70950"/>
    <w:rsid w:val="00E804AB"/>
    <w:rsid w:val="00E87112"/>
    <w:rsid w:val="00EA2B00"/>
    <w:rsid w:val="00EA7D6E"/>
    <w:rsid w:val="00EB2F76"/>
    <w:rsid w:val="00EC2B42"/>
    <w:rsid w:val="00EC4E49"/>
    <w:rsid w:val="00ED01FF"/>
    <w:rsid w:val="00ED6EB7"/>
    <w:rsid w:val="00ED77FB"/>
    <w:rsid w:val="00EE307E"/>
    <w:rsid w:val="00EE3485"/>
    <w:rsid w:val="00EE45FA"/>
    <w:rsid w:val="00EE6229"/>
    <w:rsid w:val="00EF1011"/>
    <w:rsid w:val="00F033A4"/>
    <w:rsid w:val="00F043DE"/>
    <w:rsid w:val="00F10917"/>
    <w:rsid w:val="00F10E7C"/>
    <w:rsid w:val="00F131E4"/>
    <w:rsid w:val="00F16A5A"/>
    <w:rsid w:val="00F248CE"/>
    <w:rsid w:val="00F32A63"/>
    <w:rsid w:val="00F41786"/>
    <w:rsid w:val="00F6004C"/>
    <w:rsid w:val="00F6175D"/>
    <w:rsid w:val="00F64750"/>
    <w:rsid w:val="00F66152"/>
    <w:rsid w:val="00F7203E"/>
    <w:rsid w:val="00F76CB4"/>
    <w:rsid w:val="00F779D8"/>
    <w:rsid w:val="00F80C98"/>
    <w:rsid w:val="00F90C07"/>
    <w:rsid w:val="00F9165B"/>
    <w:rsid w:val="00F921C9"/>
    <w:rsid w:val="00F95AE1"/>
    <w:rsid w:val="00FA17DA"/>
    <w:rsid w:val="00FA308C"/>
    <w:rsid w:val="00FA44A9"/>
    <w:rsid w:val="00FA6CAF"/>
    <w:rsid w:val="00FB108C"/>
    <w:rsid w:val="00FB6373"/>
    <w:rsid w:val="00FC438C"/>
    <w:rsid w:val="00FC482F"/>
    <w:rsid w:val="00FD0B86"/>
    <w:rsid w:val="00FD24E2"/>
    <w:rsid w:val="00FD5AF0"/>
    <w:rsid w:val="00FE0962"/>
    <w:rsid w:val="00FE132C"/>
    <w:rsid w:val="00FE5D75"/>
    <w:rsid w:val="00FF1CF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73BC5"/>
  <w15:docId w15:val="{A244D00F-46C7-4F7C-9484-47B1DBD2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6D03D2"/>
    <w:rPr>
      <w:color w:val="0000FF" w:themeColor="hyperlink"/>
      <w:u w:val="single"/>
    </w:rPr>
  </w:style>
  <w:style w:type="character" w:customStyle="1" w:styleId="UnresolvedMention">
    <w:name w:val="Unresolved Mention"/>
    <w:basedOn w:val="DefaultParagraphFont"/>
    <w:uiPriority w:val="99"/>
    <w:semiHidden/>
    <w:unhideWhenUsed/>
    <w:rsid w:val="00390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D4A10-CD72-45E1-8B95-C8DC291C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1621</Words>
  <Characters>9240</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CWS/9/1 PROV. (Arabic)</vt:lpstr>
      <vt:lpstr>CWS/9/1 PROV. (Arabic)</vt:lpstr>
    </vt:vector>
  </TitlesOfParts>
  <Company>WIPO</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 Annex II</dc:title>
  <dc:creator>WIPO</dc:creator>
  <cp:keywords>FOR OFFICIAL USE ONLY</cp:keywords>
  <cp:lastModifiedBy>CHAVAS Louison</cp:lastModifiedBy>
  <cp:revision>2</cp:revision>
  <cp:lastPrinted>2021-10-13T08:24:00Z</cp:lastPrinted>
  <dcterms:created xsi:type="dcterms:W3CDTF">2021-10-14T12:56:00Z</dcterms:created>
  <dcterms:modified xsi:type="dcterms:W3CDTF">2021-10-14T12:56:00Z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