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00505" w14:textId="77777777"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78B9BD43" wp14:editId="089EAE9A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59E915A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68CCA7A9" w14:textId="77777777" w:rsidR="00135CFE" w:rsidRPr="00A71E5D" w:rsidRDefault="00135CFE" w:rsidP="00135CFE">
      <w:pPr>
        <w:tabs>
          <w:tab w:val="left" w:pos="567"/>
          <w:tab w:val="left" w:pos="1134"/>
        </w:tabs>
        <w:jc w:val="right"/>
        <w:rPr>
          <w:rFonts w:ascii="Arial Black" w:hAnsi="Arial Black"/>
          <w:caps/>
          <w:sz w:val="15"/>
          <w:szCs w:val="15"/>
        </w:rPr>
      </w:pPr>
      <w:bookmarkStart w:id="0" w:name="Code"/>
      <w:bookmarkStart w:id="1" w:name="Original"/>
      <w:bookmarkEnd w:id="0"/>
      <w:r w:rsidRPr="00A71E5D">
        <w:rPr>
          <w:rFonts w:ascii="Arial Black" w:hAnsi="Arial Black"/>
          <w:caps/>
          <w:sz w:val="15"/>
          <w:szCs w:val="15"/>
        </w:rPr>
        <w:t>WILD/</w:t>
      </w:r>
      <w:r w:rsidRPr="00A71E5D">
        <w:rPr>
          <w:rFonts w:ascii="Arial Black" w:eastAsia="Malgun Gothic" w:hAnsi="Arial Black" w:hint="eastAsia"/>
          <w:caps/>
          <w:sz w:val="15"/>
          <w:szCs w:val="15"/>
          <w:lang w:eastAsia="ko-KR"/>
        </w:rPr>
        <w:t>1</w:t>
      </w:r>
      <w:r w:rsidRPr="00A71E5D">
        <w:rPr>
          <w:rFonts w:ascii="Arial Black" w:hAnsi="Arial Black"/>
          <w:caps/>
          <w:sz w:val="15"/>
          <w:szCs w:val="15"/>
        </w:rPr>
        <w:t>/1 Prov.</w:t>
      </w:r>
    </w:p>
    <w:p w14:paraId="43FEB78A" w14:textId="77777777" w:rsidR="008B2CC1" w:rsidRPr="0070778E" w:rsidRDefault="00CC3E2D" w:rsidP="00CC3E2D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r w:rsidRPr="0070778E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B20A80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بالإنكليزية</w:t>
      </w:r>
    </w:p>
    <w:p w14:paraId="1DD3F124" w14:textId="786D4C4A" w:rsidR="008B2CC1" w:rsidRPr="00222782" w:rsidRDefault="00CC3E2D" w:rsidP="008A39DA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Date"/>
      <w:bookmarkEnd w:id="1"/>
      <w:r w:rsidRPr="00222782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 w:rsidR="00135CFE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23 ديسمبر </w:t>
      </w:r>
      <w:r w:rsidR="00520830">
        <w:rPr>
          <w:rFonts w:asciiTheme="minorHAnsi" w:hAnsiTheme="minorHAnsi" w:hint="cs"/>
          <w:b/>
          <w:bCs/>
          <w:caps/>
          <w:sz w:val="15"/>
          <w:szCs w:val="15"/>
          <w:rtl/>
        </w:rPr>
        <w:t>2024</w:t>
      </w:r>
    </w:p>
    <w:bookmarkEnd w:id="2"/>
    <w:p w14:paraId="66D6BAE8" w14:textId="6E7E172C" w:rsidR="008B2CC1" w:rsidRPr="00D67EAE" w:rsidRDefault="00135CFE" w:rsidP="00FE5D75">
      <w:pPr>
        <w:pStyle w:val="Heading1"/>
      </w:pPr>
      <w:r w:rsidRPr="00135CFE">
        <w:rPr>
          <w:rtl/>
        </w:rPr>
        <w:t>حوار الويبو للقيادات في مجال تكنولوجيا المعلومات والاتصالات (</w:t>
      </w:r>
      <w:r w:rsidRPr="00135CFE">
        <w:t>WILD</w:t>
      </w:r>
      <w:r w:rsidRPr="00135CFE">
        <w:rPr>
          <w:rtl/>
        </w:rPr>
        <w:t>)</w:t>
      </w:r>
    </w:p>
    <w:p w14:paraId="56CD4566" w14:textId="19837350" w:rsidR="00A90F0A" w:rsidRPr="00D67EAE" w:rsidRDefault="00135CFE" w:rsidP="0070778E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135CFE">
        <w:rPr>
          <w:rFonts w:asciiTheme="minorHAnsi" w:hAnsiTheme="minorHAnsi"/>
          <w:bCs/>
          <w:sz w:val="24"/>
          <w:szCs w:val="24"/>
          <w:rtl/>
        </w:rPr>
        <w:t>ال</w:t>
      </w:r>
      <w:r>
        <w:rPr>
          <w:rFonts w:asciiTheme="minorHAnsi" w:hAnsiTheme="minorHAnsi" w:hint="cs"/>
          <w:bCs/>
          <w:sz w:val="24"/>
          <w:szCs w:val="24"/>
          <w:rtl/>
          <w:lang w:val="fr-CH" w:bidi="ar-SY"/>
        </w:rPr>
        <w:t>دورة</w:t>
      </w:r>
      <w:r w:rsidRPr="00135CFE">
        <w:rPr>
          <w:rFonts w:asciiTheme="minorHAnsi" w:hAnsiTheme="minorHAnsi"/>
          <w:bCs/>
          <w:sz w:val="24"/>
          <w:szCs w:val="24"/>
          <w:rtl/>
        </w:rPr>
        <w:t xml:space="preserve"> الأولى</w:t>
      </w:r>
    </w:p>
    <w:p w14:paraId="1BEC4235" w14:textId="179071C3" w:rsidR="008B2CC1" w:rsidRDefault="00135CFE" w:rsidP="00135CFE">
      <w:pPr>
        <w:spacing w:after="960"/>
        <w:outlineLvl w:val="1"/>
        <w:rPr>
          <w:rFonts w:asciiTheme="minorHAnsi" w:hAnsiTheme="minorHAnsi"/>
          <w:bCs/>
          <w:sz w:val="24"/>
          <w:szCs w:val="24"/>
        </w:rPr>
      </w:pPr>
      <w:r w:rsidRPr="00135CFE">
        <w:rPr>
          <w:rFonts w:asciiTheme="minorHAnsi" w:hAnsiTheme="minorHAnsi"/>
          <w:bCs/>
          <w:sz w:val="24"/>
          <w:szCs w:val="24"/>
          <w:rtl/>
        </w:rPr>
        <w:t>جنيف، من 14 إلى 16 أبريل 2025</w:t>
      </w:r>
    </w:p>
    <w:p w14:paraId="4085433E" w14:textId="77777777" w:rsidR="00D91D8B" w:rsidRPr="00262607" w:rsidRDefault="00D91D8B" w:rsidP="00D91D8B">
      <w:pPr>
        <w:spacing w:after="360"/>
        <w:outlineLvl w:val="0"/>
        <w:rPr>
          <w:rFonts w:asciiTheme="minorHAnsi" w:hAnsiTheme="minorHAnsi" w:cstheme="minorHAnsi"/>
          <w:caps/>
          <w:sz w:val="24"/>
          <w:szCs w:val="24"/>
        </w:rPr>
      </w:pPr>
      <w:bookmarkStart w:id="3" w:name="TitleOfDoc"/>
      <w:r w:rsidRPr="00222782">
        <w:rPr>
          <w:rFonts w:asciiTheme="minorHAnsi" w:hAnsiTheme="minorHAnsi"/>
          <w:caps/>
          <w:sz w:val="24"/>
          <w:szCs w:val="24"/>
          <w:rtl/>
        </w:rPr>
        <w:t>م</w:t>
      </w:r>
      <w:r>
        <w:rPr>
          <w:rFonts w:asciiTheme="minorHAnsi" w:hAnsiTheme="minorHAnsi" w:hint="cs"/>
          <w:caps/>
          <w:sz w:val="24"/>
          <w:szCs w:val="24"/>
          <w:rtl/>
        </w:rPr>
        <w:t>شروع</w:t>
      </w:r>
      <w:r w:rsidRPr="00222782">
        <w:rPr>
          <w:rFonts w:asciiTheme="minorHAnsi" w:hAnsiTheme="minorHAnsi"/>
          <w:caps/>
          <w:sz w:val="24"/>
          <w:szCs w:val="24"/>
          <w:rtl/>
        </w:rPr>
        <w:t xml:space="preserve"> جدول الأعمال</w:t>
      </w:r>
    </w:p>
    <w:bookmarkEnd w:id="3"/>
    <w:p w14:paraId="476DFD29" w14:textId="77777777" w:rsidR="00D91D8B" w:rsidRDefault="00D91D8B" w:rsidP="00D91D8B">
      <w:pPr>
        <w:spacing w:after="960"/>
        <w:rPr>
          <w:i/>
          <w:rtl/>
        </w:rPr>
      </w:pPr>
      <w:r>
        <w:rPr>
          <w:rFonts w:hint="cs"/>
          <w:i/>
          <w:iCs/>
          <w:rtl/>
        </w:rPr>
        <w:t>وثيقة من إعداد الأمانة</w:t>
      </w:r>
    </w:p>
    <w:p w14:paraId="59180A3E" w14:textId="77777777" w:rsidR="00135CFE" w:rsidRPr="00135CFE" w:rsidRDefault="00135CFE" w:rsidP="00135CFE">
      <w:pPr>
        <w:pStyle w:val="BodyText"/>
        <w:rPr>
          <w:rtl/>
        </w:rPr>
      </w:pPr>
      <w:bookmarkStart w:id="4" w:name="Prepared"/>
      <w:bookmarkEnd w:id="4"/>
      <w:r w:rsidRPr="00135CFE">
        <w:rPr>
          <w:rFonts w:hint="cs"/>
          <w:b/>
          <w:bCs/>
          <w:u w:val="single"/>
          <w:rtl/>
        </w:rPr>
        <w:t>الإثنين، 14 أبريل 2025:  تمهيد الطريق للتحول الرقمي</w:t>
      </w:r>
      <w:r w:rsidRPr="00135CFE">
        <w:rPr>
          <w:rFonts w:hint="cs"/>
          <w:rtl/>
        </w:rPr>
        <w:t xml:space="preserve"> </w:t>
      </w:r>
    </w:p>
    <w:p w14:paraId="0A4DE4F0" w14:textId="2DBAC4CA" w:rsidR="00135CFE" w:rsidRPr="00135CFE" w:rsidRDefault="00135CFE" w:rsidP="00135CFE">
      <w:pPr>
        <w:pStyle w:val="BodyText"/>
        <w:ind w:left="2275" w:hanging="2275"/>
        <w:rPr>
          <w:b/>
          <w:rtl/>
        </w:rPr>
      </w:pPr>
      <w:r w:rsidRPr="00135CFE">
        <w:rPr>
          <w:rFonts w:hint="cs"/>
          <w:rtl/>
        </w:rPr>
        <w:t>09.30 – 09.40</w:t>
      </w:r>
      <w:r w:rsidRPr="00135CFE">
        <w:rPr>
          <w:rFonts w:hint="cs"/>
          <w:rtl/>
        </w:rPr>
        <w:tab/>
      </w:r>
      <w:r w:rsidRPr="00135CFE">
        <w:rPr>
          <w:rFonts w:hint="cs"/>
          <w:b/>
          <w:bCs/>
          <w:rtl/>
        </w:rPr>
        <w:t>ملاحظات افتتاحية</w:t>
      </w:r>
    </w:p>
    <w:p w14:paraId="69547AB1" w14:textId="77777777" w:rsidR="00135CFE" w:rsidRPr="00135CFE" w:rsidRDefault="00135CFE" w:rsidP="00135CFE">
      <w:pPr>
        <w:pStyle w:val="BodyText"/>
        <w:ind w:left="2275" w:hanging="2275"/>
        <w:rPr>
          <w:b/>
          <w:bCs/>
          <w:rtl/>
        </w:rPr>
      </w:pPr>
      <w:r w:rsidRPr="00135CFE">
        <w:rPr>
          <w:rFonts w:hint="cs"/>
          <w:rtl/>
        </w:rPr>
        <w:t>09.40 – 10.10</w:t>
      </w:r>
      <w:r w:rsidRPr="00135CFE">
        <w:rPr>
          <w:rFonts w:hint="cs"/>
          <w:rtl/>
        </w:rPr>
        <w:tab/>
      </w:r>
      <w:r w:rsidRPr="00135CFE">
        <w:rPr>
          <w:rFonts w:hint="cs"/>
          <w:b/>
          <w:bCs/>
          <w:rtl/>
        </w:rPr>
        <w:t>الكلمة الرئيسية 1:</w:t>
      </w:r>
      <w:r w:rsidRPr="00135CFE">
        <w:rPr>
          <w:rFonts w:hint="cs"/>
          <w:rtl/>
        </w:rPr>
        <w:t xml:space="preserve">  </w:t>
      </w:r>
      <w:r w:rsidRPr="00135CFE">
        <w:rPr>
          <w:rFonts w:hint="cs"/>
          <w:b/>
          <w:bCs/>
          <w:rtl/>
        </w:rPr>
        <w:t>المشهد المتغيّر لتكنولوجيا المعلومات والاتصالات وأثره على الأعمال التجارية والخدمات</w:t>
      </w:r>
      <w:r w:rsidRPr="00135CFE">
        <w:rPr>
          <w:rFonts w:hint="cs"/>
          <w:rtl/>
        </w:rPr>
        <w:t xml:space="preserve"> </w:t>
      </w:r>
    </w:p>
    <w:p w14:paraId="68F3B848" w14:textId="77777777" w:rsidR="00135CFE" w:rsidRPr="00135CFE" w:rsidRDefault="00135CFE" w:rsidP="00100D7E">
      <w:pPr>
        <w:pStyle w:val="BodyText"/>
        <w:ind w:left="2275" w:hanging="2275"/>
        <w:rPr>
          <w:b/>
          <w:rtl/>
        </w:rPr>
      </w:pPr>
      <w:bookmarkStart w:id="5" w:name="_Hlk166579999"/>
      <w:r w:rsidRPr="00135CFE">
        <w:rPr>
          <w:rFonts w:hint="cs"/>
          <w:rtl/>
        </w:rPr>
        <w:t>10.10 – 12.30</w:t>
      </w:r>
      <w:r w:rsidRPr="00135CFE">
        <w:rPr>
          <w:rFonts w:hint="cs"/>
          <w:rtl/>
        </w:rPr>
        <w:tab/>
      </w:r>
      <w:r w:rsidRPr="00135CFE">
        <w:rPr>
          <w:rFonts w:hint="cs"/>
          <w:b/>
          <w:bCs/>
          <w:rtl/>
        </w:rPr>
        <w:t>الجلسة 1:  الاستراتيجية الرقمية واتجاهات التكنولوجيا</w:t>
      </w:r>
    </w:p>
    <w:p w14:paraId="68F19625" w14:textId="77777777" w:rsidR="00135CFE" w:rsidRPr="00135CFE" w:rsidRDefault="00135CFE" w:rsidP="00135CFE">
      <w:pPr>
        <w:pStyle w:val="BodyText"/>
        <w:numPr>
          <w:ilvl w:val="0"/>
          <w:numId w:val="18"/>
        </w:numPr>
        <w:spacing w:after="0"/>
        <w:ind w:left="2635"/>
        <w:rPr>
          <w:rtl/>
        </w:rPr>
      </w:pPr>
      <w:r w:rsidRPr="00135CFE">
        <w:rPr>
          <w:rFonts w:hint="cs"/>
          <w:rtl/>
        </w:rPr>
        <w:t>التكنولوجيات الناشئة: التحديات والفرص الرئيسية</w:t>
      </w:r>
    </w:p>
    <w:p w14:paraId="1719EA2D" w14:textId="77777777" w:rsidR="00135CFE" w:rsidRPr="00135CFE" w:rsidRDefault="00135CFE" w:rsidP="00135CFE">
      <w:pPr>
        <w:pStyle w:val="BodyText"/>
        <w:numPr>
          <w:ilvl w:val="0"/>
          <w:numId w:val="18"/>
        </w:numPr>
        <w:spacing w:after="0"/>
        <w:ind w:left="2635"/>
        <w:rPr>
          <w:rtl/>
        </w:rPr>
      </w:pPr>
      <w:r w:rsidRPr="00135CFE">
        <w:rPr>
          <w:rFonts w:hint="cs"/>
          <w:rtl/>
        </w:rPr>
        <w:t>استراتيجية الأعمال الرقمية وأفضل الممارسات</w:t>
      </w:r>
    </w:p>
    <w:p w14:paraId="583986EE" w14:textId="77777777" w:rsidR="00135CFE" w:rsidRPr="00135CFE" w:rsidRDefault="00135CFE" w:rsidP="00135CFE">
      <w:pPr>
        <w:pStyle w:val="BodyText"/>
        <w:numPr>
          <w:ilvl w:val="0"/>
          <w:numId w:val="18"/>
        </w:numPr>
        <w:spacing w:after="0"/>
        <w:ind w:left="2635"/>
        <w:rPr>
          <w:rtl/>
        </w:rPr>
      </w:pPr>
      <w:r w:rsidRPr="00135CFE">
        <w:rPr>
          <w:rFonts w:hint="cs"/>
          <w:rtl/>
        </w:rPr>
        <w:t>المساءلة المشتركة مع قادة الأعمال</w:t>
      </w:r>
    </w:p>
    <w:p w14:paraId="31FA3659" w14:textId="77777777" w:rsidR="00135CFE" w:rsidRPr="00135CFE" w:rsidRDefault="00135CFE" w:rsidP="00135CFE">
      <w:pPr>
        <w:pStyle w:val="BodyText"/>
        <w:numPr>
          <w:ilvl w:val="0"/>
          <w:numId w:val="18"/>
        </w:numPr>
        <w:spacing w:after="0"/>
        <w:ind w:left="2635"/>
        <w:rPr>
          <w:rtl/>
        </w:rPr>
      </w:pPr>
      <w:r w:rsidRPr="00135CFE">
        <w:rPr>
          <w:rFonts w:hint="cs"/>
          <w:rtl/>
        </w:rPr>
        <w:t>التحول الرقمي والتحديات الرئيسية</w:t>
      </w:r>
    </w:p>
    <w:p w14:paraId="6703BEA9" w14:textId="77777777" w:rsidR="00135CFE" w:rsidRPr="00135CFE" w:rsidRDefault="00135CFE" w:rsidP="00135CFE">
      <w:pPr>
        <w:pStyle w:val="BodyText"/>
        <w:numPr>
          <w:ilvl w:val="0"/>
          <w:numId w:val="18"/>
        </w:numPr>
        <w:spacing w:after="0"/>
        <w:ind w:left="2635"/>
        <w:rPr>
          <w:rtl/>
        </w:rPr>
      </w:pPr>
      <w:r w:rsidRPr="00135CFE">
        <w:rPr>
          <w:rFonts w:hint="cs"/>
          <w:rtl/>
        </w:rPr>
        <w:t>استراتيجية البيانات وحوكمتها</w:t>
      </w:r>
    </w:p>
    <w:p w14:paraId="15B63A6E" w14:textId="77777777" w:rsidR="00135CFE" w:rsidRPr="00135CFE" w:rsidRDefault="00135CFE" w:rsidP="00135CFE">
      <w:pPr>
        <w:pStyle w:val="BodyText"/>
        <w:numPr>
          <w:ilvl w:val="0"/>
          <w:numId w:val="18"/>
        </w:numPr>
        <w:rPr>
          <w:rtl/>
        </w:rPr>
      </w:pPr>
      <w:r w:rsidRPr="00135CFE">
        <w:rPr>
          <w:rFonts w:hint="cs"/>
          <w:rtl/>
        </w:rPr>
        <w:t xml:space="preserve">المرونة السيبرانية وأفضل الممارسات </w:t>
      </w:r>
    </w:p>
    <w:p w14:paraId="0AEC4A0F" w14:textId="2068992C" w:rsidR="00135CFE" w:rsidRPr="00135CFE" w:rsidRDefault="00135CFE" w:rsidP="00135CFE">
      <w:pPr>
        <w:pStyle w:val="BodyText"/>
        <w:rPr>
          <w:bCs/>
          <w:rtl/>
        </w:rPr>
      </w:pPr>
      <w:r w:rsidRPr="00135CFE">
        <w:rPr>
          <w:rFonts w:hint="cs"/>
          <w:rtl/>
        </w:rPr>
        <w:t>12.30 – 14.30</w:t>
      </w:r>
      <w:r w:rsidRPr="00135CFE">
        <w:rPr>
          <w:rFonts w:hint="cs"/>
          <w:rtl/>
        </w:rPr>
        <w:tab/>
        <w:t>استراحة الغداء</w:t>
      </w:r>
    </w:p>
    <w:p w14:paraId="25E1C87D" w14:textId="77777777" w:rsidR="00135CFE" w:rsidRPr="00135CFE" w:rsidRDefault="00135CFE" w:rsidP="00100D7E">
      <w:pPr>
        <w:pStyle w:val="BodyText"/>
        <w:ind w:left="2275" w:hanging="2275"/>
        <w:rPr>
          <w:b/>
          <w:rtl/>
        </w:rPr>
      </w:pPr>
      <w:r w:rsidRPr="00135CFE">
        <w:rPr>
          <w:rFonts w:hint="cs"/>
          <w:rtl/>
        </w:rPr>
        <w:t>14.30 – 16.20</w:t>
      </w:r>
      <w:r w:rsidRPr="00135CFE">
        <w:rPr>
          <w:rFonts w:hint="cs"/>
          <w:b/>
          <w:bCs/>
          <w:rtl/>
        </w:rPr>
        <w:tab/>
        <w:t>الجلسة 1 (تكملة):  الاستراتيجية الرقمية واتجاهات التكنولوجيا</w:t>
      </w:r>
    </w:p>
    <w:p w14:paraId="61D52F3C" w14:textId="77777777" w:rsidR="00135CFE" w:rsidRPr="00135CFE" w:rsidRDefault="00135CFE" w:rsidP="00100D7E">
      <w:pPr>
        <w:pStyle w:val="BodyText"/>
        <w:ind w:left="2275" w:hanging="2275"/>
        <w:rPr>
          <w:b/>
          <w:bCs/>
          <w:rtl/>
        </w:rPr>
      </w:pPr>
      <w:r w:rsidRPr="00135CFE">
        <w:rPr>
          <w:rFonts w:hint="cs"/>
          <w:rtl/>
        </w:rPr>
        <w:t>16.20 – 17.20</w:t>
      </w:r>
      <w:r w:rsidRPr="00135CFE">
        <w:rPr>
          <w:rFonts w:hint="cs"/>
          <w:rtl/>
        </w:rPr>
        <w:tab/>
      </w:r>
      <w:r w:rsidRPr="00135CFE">
        <w:rPr>
          <w:rFonts w:hint="cs"/>
          <w:b/>
          <w:bCs/>
          <w:rtl/>
        </w:rPr>
        <w:t>مناقشة 1:  الآثار المترتبة على اتجاهات التكنولوجيا</w:t>
      </w:r>
    </w:p>
    <w:p w14:paraId="4A820A1B" w14:textId="2265E8E0" w:rsidR="00135CFE" w:rsidRPr="00135CFE" w:rsidRDefault="00135CFE" w:rsidP="00100D7E">
      <w:pPr>
        <w:pStyle w:val="BodyText"/>
        <w:ind w:left="2275" w:hanging="2275"/>
        <w:rPr>
          <w:b/>
          <w:rtl/>
        </w:rPr>
      </w:pPr>
      <w:r w:rsidRPr="00135CFE">
        <w:rPr>
          <w:rFonts w:hint="cs"/>
          <w:rtl/>
        </w:rPr>
        <w:t>17.20 – 17.30</w:t>
      </w:r>
      <w:r w:rsidRPr="00135CFE">
        <w:rPr>
          <w:rFonts w:hint="cs"/>
          <w:rtl/>
        </w:rPr>
        <w:tab/>
      </w:r>
      <w:r w:rsidRPr="00135CFE">
        <w:rPr>
          <w:rFonts w:hint="cs"/>
          <w:b/>
          <w:bCs/>
          <w:rtl/>
        </w:rPr>
        <w:t>اختتام اليوم الأول</w:t>
      </w:r>
    </w:p>
    <w:p w14:paraId="0507188D" w14:textId="171153C9" w:rsidR="00135CFE" w:rsidRPr="00135CFE" w:rsidRDefault="00135CFE" w:rsidP="00D91D8B">
      <w:pPr>
        <w:pStyle w:val="BodyText"/>
        <w:rPr>
          <w:b/>
          <w:bCs/>
          <w:rtl/>
        </w:rPr>
      </w:pPr>
      <w:r w:rsidRPr="00135CFE">
        <w:rPr>
          <w:rFonts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7AAF6" wp14:editId="69F68318">
                <wp:simplePos x="0" y="0"/>
                <wp:positionH relativeFrom="column">
                  <wp:posOffset>-684530</wp:posOffset>
                </wp:positionH>
                <wp:positionV relativeFrom="paragraph">
                  <wp:posOffset>11430</wp:posOffset>
                </wp:positionV>
                <wp:extent cx="317500" cy="63500"/>
                <wp:effectExtent l="0" t="0" r="0" b="0"/>
                <wp:wrapNone/>
                <wp:docPr id="706109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6350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F50475" w14:textId="77777777" w:rsidR="00135CFE" w:rsidRPr="00557932" w:rsidRDefault="00135CFE" w:rsidP="00135CFE">
                            <w:pPr>
                              <w:jc w:val="right"/>
                              <w:rPr>
                                <w:color w:val="000000"/>
                                <w:sz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./.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C7AA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3.9pt;margin-top:.9pt;width:25pt;height: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TdGgQIAAEQFAAAOAAAAZHJzL2Uyb0RvYy54bWysVFFv0zAQfkfiP1h+Z2k3MVC1dCobRUjT&#10;mLShPV8dp4lwbHN225Rfz2cnXRnjASFenIvv/N3nu+98cdl3Rmw1h9bZUk5PJlJoq1zV2nUpvz4s&#10;37yXIkSyFRlndSn3OsjL+etXFzs/06eucabSLABiw2znS9nE6GdFEVSjOwonzmsLZ+24o4hfXhcV&#10;0w7onSlOJ5PzYue48uyUDgG714NTzjN+XWsVv9R10FGYUoJbzCvndZXWYn5BszWTb1o10qB/YNFR&#10;a5H0CeqaIokNty+gulaxC66OJ8p1havrVul8B9xmOvntNvcNeZ3vguIE/1Sm8P9g1e323t+xiP0H&#10;16OBqSA7H2YBm+k+fc1d+oKpgB8l3D+VTfdRKGyeTd+9ncCj4Do/SyZAiuNZzyF+0q4TySgloym5&#10;VrS9CXEIPYSkVMGZtlq2xuQfxevVlWEx9AyiQqLcueQl4xsSW8rNHZDCeCAzeAZlrNgNBEGVoLXa&#10;UITZ+aqUwa6lILOGiFXkTO/Z4UQw0ci5VobUt+EKLwmMkS/zJ8c1hWbAyOiD/NhtbAX2NGs0VR9t&#10;JeLeY1YsJkYmzp2upDAa3JKVIyO15m8i0QZjweXY02TFftUDJpkrV+3Rf3bDaASvli2I3lCId8SY&#10;BdQb8x2/YKmNAxs3WlI0jn/8aT/FQ6Lwgj5mC+X9viHGZcxnC/ECMh4MPhirg2E33ZVDR6d4ObzK&#10;Jg5wNAezZtc9YuwXKQtcZBVylRLNHMyrOKgFz4bSi0UOwrh5ijf23qsEnaqdGvLQPxL7UZkRir51&#10;h6mDvJ4LdIjNqvSLTXTLNqv3WMWxzhjV3P3xWUlvwa//Oer4+M1/AgAA//8DAFBLAwQUAAYACAAA&#10;ACEAifeAb94AAAAJAQAADwAAAGRycy9kb3ducmV2LnhtbEyPT0vDQBDF74LfYRnBi6SbCv4hZlNq&#10;wR48SK0ieJtkp0kwOxuzmzR+e6cnPQ1v3uPNb/LV7Do10RBazwaWixQUceVty7WB97en5B5UiMgW&#10;O89k4IcCrIrzsxwz64/8StM+1kpKOGRooImxz7QOVUMOw8L3xOId/OAwihxqbQc8Srnr9HWa3mqH&#10;LcuFBnvaNFR97Udn4HE71frjeTe5crc5vHy7cf25vTLm8mJeP4CKNMe/MJzwBR0KYSr9yDaozkCy&#10;TO+EPYojQwLJzUmXomWhi1z//6D4BQAA//8DAFBLAQItABQABgAIAAAAIQC2gziS/gAAAOEBAAAT&#10;AAAAAAAAAAAAAAAAAAAAAABbQ29udGVudF9UeXBlc10ueG1sUEsBAi0AFAAGAAgAAAAhADj9If/W&#10;AAAAlAEAAAsAAAAAAAAAAAAAAAAALwEAAF9yZWxzLy5yZWxzUEsBAi0AFAAGAAgAAAAhAPb9N0aB&#10;AgAARAUAAA4AAAAAAAAAAAAAAAAALgIAAGRycy9lMm9Eb2MueG1sUEsBAi0AFAAGAAgAAAAhAIn3&#10;gG/eAAAACQEAAA8AAAAAAAAAAAAAAAAA2wQAAGRycy9kb3ducmV2LnhtbFBLBQYAAAAABAAEAPMA&#10;AADmBQAAAAA=&#10;" fillcolor="black" strokeweight=".5pt">
                <v:fill opacity="0"/>
                <v:stroke opacity="0" joinstyle="round"/>
                <v:textbox style="mso-fit-shape-to-text:t" inset="0,0,0,0">
                  <w:txbxContent>
                    <w:p w14:paraId="32F50475" w14:textId="77777777" w:rsidR="00135CFE" w:rsidRPr="00557932" w:rsidRDefault="00135CFE" w:rsidP="00135CFE">
                      <w:pPr>
                        <w:jc w:val="right"/>
                        <w:rPr>
                          <w:color w:val="000000"/>
                          <w:sz w:val="20"/>
                          <w:rtl/>
                        </w:rPr>
                      </w:pP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>./.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35CFE">
        <w:rPr>
          <w:b/>
          <w:bCs/>
          <w:rtl/>
        </w:rPr>
        <w:br w:type="page"/>
      </w:r>
    </w:p>
    <w:p w14:paraId="3B92BE05" w14:textId="5041BD46" w:rsidR="00135CFE" w:rsidRPr="00135CFE" w:rsidRDefault="00135CFE" w:rsidP="00135CFE">
      <w:pPr>
        <w:pStyle w:val="BodyText"/>
        <w:rPr>
          <w:b/>
          <w:u w:val="single"/>
          <w:rtl/>
        </w:rPr>
      </w:pPr>
      <w:r w:rsidRPr="00135CFE">
        <w:rPr>
          <w:rFonts w:hint="cs"/>
          <w:b/>
          <w:bCs/>
          <w:u w:val="single"/>
          <w:rtl/>
        </w:rPr>
        <w:lastRenderedPageBreak/>
        <w:t>الثلاثاء 15 أبريل 2025:  تسخير التقنيات الناشئة للملكية الفكرية</w:t>
      </w:r>
    </w:p>
    <w:p w14:paraId="0790A9A0" w14:textId="77777777" w:rsidR="00135CFE" w:rsidRPr="00135CFE" w:rsidRDefault="00135CFE" w:rsidP="00100D7E">
      <w:pPr>
        <w:pStyle w:val="BodyText"/>
        <w:ind w:left="2275" w:hanging="2275"/>
        <w:rPr>
          <w:b/>
          <w:bCs/>
          <w:rtl/>
        </w:rPr>
      </w:pPr>
      <w:r w:rsidRPr="00135CFE">
        <w:rPr>
          <w:rFonts w:hint="cs"/>
          <w:rtl/>
        </w:rPr>
        <w:t>09.30 – 10.00</w:t>
      </w:r>
      <w:r w:rsidRPr="00135CFE">
        <w:rPr>
          <w:rFonts w:hint="cs"/>
          <w:rtl/>
        </w:rPr>
        <w:tab/>
      </w:r>
      <w:r w:rsidRPr="00135CFE">
        <w:rPr>
          <w:rFonts w:hint="cs"/>
          <w:b/>
          <w:bCs/>
          <w:rtl/>
        </w:rPr>
        <w:t>الكلمة الرئيسية 2:  تأثير التقنيات الناشئة في إعادة تشكيل أعمال الملكية الفكرية وخدماتها</w:t>
      </w:r>
    </w:p>
    <w:p w14:paraId="53C81080" w14:textId="77777777" w:rsidR="00135CFE" w:rsidRPr="00135CFE" w:rsidRDefault="00135CFE" w:rsidP="00100D7E">
      <w:pPr>
        <w:pStyle w:val="BodyText"/>
        <w:ind w:left="2275" w:hanging="2275"/>
        <w:rPr>
          <w:b/>
          <w:bCs/>
          <w:rtl/>
        </w:rPr>
      </w:pPr>
      <w:r w:rsidRPr="00135CFE">
        <w:rPr>
          <w:rFonts w:hint="cs"/>
          <w:rtl/>
        </w:rPr>
        <w:t>10.00 – 12.30</w:t>
      </w:r>
      <w:r w:rsidRPr="00135CFE">
        <w:rPr>
          <w:rFonts w:hint="cs"/>
          <w:rtl/>
        </w:rPr>
        <w:tab/>
      </w:r>
      <w:r w:rsidRPr="00135CFE">
        <w:rPr>
          <w:rFonts w:hint="cs"/>
          <w:b/>
          <w:bCs/>
          <w:rtl/>
        </w:rPr>
        <w:t>الجلسة 2:  التقنيات الناشئة والمشهد التجاري للملكية الفكرية</w:t>
      </w:r>
      <w:r w:rsidRPr="00135CFE">
        <w:rPr>
          <w:rFonts w:hint="cs"/>
          <w:rtl/>
        </w:rPr>
        <w:t xml:space="preserve"> </w:t>
      </w:r>
    </w:p>
    <w:p w14:paraId="3D2DF33D" w14:textId="77777777" w:rsidR="00135CFE" w:rsidRPr="00135CFE" w:rsidRDefault="00135CFE" w:rsidP="00135CFE">
      <w:pPr>
        <w:pStyle w:val="BodyText"/>
        <w:numPr>
          <w:ilvl w:val="0"/>
          <w:numId w:val="19"/>
        </w:numPr>
        <w:spacing w:after="0"/>
        <w:ind w:left="2621"/>
        <w:rPr>
          <w:rtl/>
        </w:rPr>
      </w:pPr>
      <w:r w:rsidRPr="00135CFE">
        <w:rPr>
          <w:rFonts w:hint="cs"/>
          <w:rtl/>
        </w:rPr>
        <w:t>تأثير التقنيات الناشئة في النظم الإيكولوجية للملكية الفكرية</w:t>
      </w:r>
    </w:p>
    <w:p w14:paraId="26D944DA" w14:textId="77777777" w:rsidR="00135CFE" w:rsidRPr="00135CFE" w:rsidRDefault="00135CFE" w:rsidP="00135CFE">
      <w:pPr>
        <w:pStyle w:val="BodyText"/>
        <w:numPr>
          <w:ilvl w:val="0"/>
          <w:numId w:val="19"/>
        </w:numPr>
        <w:spacing w:after="0"/>
        <w:ind w:left="2621"/>
        <w:rPr>
          <w:rtl/>
        </w:rPr>
      </w:pPr>
      <w:r w:rsidRPr="00135CFE">
        <w:rPr>
          <w:rFonts w:hint="cs"/>
          <w:rtl/>
        </w:rPr>
        <w:t>أدوات الذكاء الاصطناعي لفائدة أعمال الملكية الفكرية</w:t>
      </w:r>
    </w:p>
    <w:p w14:paraId="783322ED" w14:textId="77777777" w:rsidR="00135CFE" w:rsidRPr="00135CFE" w:rsidRDefault="00135CFE" w:rsidP="00135CFE">
      <w:pPr>
        <w:pStyle w:val="BodyText"/>
        <w:numPr>
          <w:ilvl w:val="0"/>
          <w:numId w:val="17"/>
        </w:numPr>
        <w:rPr>
          <w:rtl/>
        </w:rPr>
      </w:pPr>
      <w:r w:rsidRPr="00135CFE">
        <w:rPr>
          <w:rFonts w:hint="cs"/>
          <w:rtl/>
        </w:rPr>
        <w:t>التقنيات الناشئة لمكاتب الملكية الفكرية الصغيرة: نُهج مصممة خصيصاً لتمكين مكاتب الملكية الفكرية الأصغر حجماً في العصر الرقمي</w:t>
      </w:r>
    </w:p>
    <w:p w14:paraId="5CCFE617" w14:textId="481ADBCC" w:rsidR="00135CFE" w:rsidRPr="00135CFE" w:rsidRDefault="00135CFE" w:rsidP="00100D7E">
      <w:pPr>
        <w:pStyle w:val="BodyText"/>
        <w:ind w:left="2275" w:hanging="2275"/>
        <w:rPr>
          <w:bCs/>
          <w:rtl/>
        </w:rPr>
      </w:pPr>
      <w:r w:rsidRPr="00135CFE">
        <w:rPr>
          <w:rFonts w:hint="cs"/>
          <w:rtl/>
        </w:rPr>
        <w:t>12.30 – 14.30</w:t>
      </w:r>
      <w:r w:rsidRPr="00135CFE">
        <w:rPr>
          <w:rFonts w:hint="cs"/>
          <w:rtl/>
        </w:rPr>
        <w:tab/>
        <w:t>استراحة الغداء</w:t>
      </w:r>
    </w:p>
    <w:p w14:paraId="2EBAF445" w14:textId="77777777" w:rsidR="00135CFE" w:rsidRPr="00135CFE" w:rsidRDefault="00135CFE" w:rsidP="00100D7E">
      <w:pPr>
        <w:pStyle w:val="BodyText"/>
        <w:ind w:left="2275" w:hanging="2275"/>
        <w:rPr>
          <w:b/>
          <w:bCs/>
          <w:rtl/>
        </w:rPr>
      </w:pPr>
      <w:r w:rsidRPr="00135CFE">
        <w:rPr>
          <w:rFonts w:hint="cs"/>
          <w:rtl/>
        </w:rPr>
        <w:t>14.30 – 16.20</w:t>
      </w:r>
      <w:r w:rsidRPr="00135CFE">
        <w:rPr>
          <w:rFonts w:hint="cs"/>
          <w:b/>
          <w:bCs/>
          <w:rtl/>
        </w:rPr>
        <w:tab/>
        <w:t>الجلسة 2 (تكملة):  التقنيات الناشئة والمشهد التجاري للملكية الفكرية</w:t>
      </w:r>
      <w:r w:rsidRPr="00135CFE">
        <w:rPr>
          <w:rFonts w:hint="cs"/>
          <w:rtl/>
        </w:rPr>
        <w:t xml:space="preserve"> </w:t>
      </w:r>
    </w:p>
    <w:p w14:paraId="5539D4D4" w14:textId="77777777" w:rsidR="00135CFE" w:rsidRPr="00135CFE" w:rsidRDefault="00135CFE" w:rsidP="00100D7E">
      <w:pPr>
        <w:pStyle w:val="BodyText"/>
        <w:ind w:left="2275" w:hanging="2275"/>
        <w:rPr>
          <w:rtl/>
        </w:rPr>
      </w:pPr>
      <w:r w:rsidRPr="00135CFE">
        <w:rPr>
          <w:rFonts w:hint="cs"/>
          <w:rtl/>
        </w:rPr>
        <w:t>16.20 – 17.20</w:t>
      </w:r>
      <w:r w:rsidRPr="00135CFE">
        <w:rPr>
          <w:rFonts w:hint="cs"/>
          <w:rtl/>
        </w:rPr>
        <w:tab/>
      </w:r>
      <w:r w:rsidRPr="00135CFE">
        <w:rPr>
          <w:rFonts w:hint="cs"/>
          <w:b/>
          <w:bCs/>
          <w:rtl/>
        </w:rPr>
        <w:t>مناقشة 2:  توسيع نطاق التعاون في مجال التقنيات الناشئة لشركات الملكية الفكرية</w:t>
      </w:r>
    </w:p>
    <w:p w14:paraId="26A6BA16" w14:textId="41B22D0B" w:rsidR="00135CFE" w:rsidRPr="00135CFE" w:rsidRDefault="00135CFE" w:rsidP="00100D7E">
      <w:pPr>
        <w:pStyle w:val="BodyText"/>
        <w:ind w:left="2275" w:hanging="2275"/>
        <w:rPr>
          <w:b/>
          <w:rtl/>
        </w:rPr>
      </w:pPr>
      <w:r w:rsidRPr="00135CFE">
        <w:rPr>
          <w:rFonts w:hint="cs"/>
          <w:rtl/>
        </w:rPr>
        <w:t>17.20 – 18.00</w:t>
      </w:r>
      <w:r w:rsidRPr="00135CFE">
        <w:rPr>
          <w:rFonts w:hint="cs"/>
          <w:rtl/>
        </w:rPr>
        <w:tab/>
      </w:r>
      <w:r w:rsidRPr="00135CFE">
        <w:rPr>
          <w:rFonts w:hint="cs"/>
          <w:b/>
          <w:bCs/>
          <w:rtl/>
        </w:rPr>
        <w:t>اختتام اليوم 2</w:t>
      </w:r>
    </w:p>
    <w:p w14:paraId="653D9523" w14:textId="77777777" w:rsidR="00135CFE" w:rsidRPr="00135CFE" w:rsidRDefault="00135CFE" w:rsidP="00135CFE">
      <w:pPr>
        <w:pStyle w:val="BodyText"/>
        <w:rPr>
          <w:bCs/>
          <w:u w:val="single"/>
        </w:rPr>
      </w:pPr>
    </w:p>
    <w:p w14:paraId="068F53EF" w14:textId="77777777" w:rsidR="00135CFE" w:rsidRPr="00135CFE" w:rsidRDefault="00135CFE" w:rsidP="00135CFE">
      <w:pPr>
        <w:pStyle w:val="BodyText"/>
        <w:rPr>
          <w:b/>
          <w:u w:val="single"/>
          <w:rtl/>
        </w:rPr>
      </w:pPr>
      <w:r w:rsidRPr="00135CFE">
        <w:rPr>
          <w:rFonts w:hint="cs"/>
          <w:b/>
          <w:bCs/>
          <w:u w:val="single"/>
          <w:rtl/>
        </w:rPr>
        <w:t>الأربعاء 16 أبريل 2025: تعزيز التعاون والمواءمة العالميين</w:t>
      </w:r>
    </w:p>
    <w:p w14:paraId="4393A0BC" w14:textId="77777777" w:rsidR="00135CFE" w:rsidRPr="00135CFE" w:rsidRDefault="00135CFE" w:rsidP="00100D7E">
      <w:pPr>
        <w:pStyle w:val="BodyText"/>
        <w:ind w:left="2275" w:hanging="2275"/>
        <w:rPr>
          <w:b/>
          <w:rtl/>
        </w:rPr>
      </w:pPr>
      <w:r w:rsidRPr="00135CFE">
        <w:rPr>
          <w:rFonts w:hint="cs"/>
          <w:rtl/>
        </w:rPr>
        <w:t>09.30 – 12.30</w:t>
      </w:r>
      <w:r w:rsidRPr="00135CFE">
        <w:rPr>
          <w:rFonts w:hint="cs"/>
          <w:rtl/>
        </w:rPr>
        <w:tab/>
      </w:r>
      <w:r w:rsidRPr="00135CFE">
        <w:rPr>
          <w:rFonts w:hint="cs"/>
          <w:b/>
          <w:bCs/>
          <w:rtl/>
        </w:rPr>
        <w:t>الجلسة 3:  نظم معلومات الملكية الفكرية العالمية والتعاون الرقمي</w:t>
      </w:r>
    </w:p>
    <w:p w14:paraId="118A2CE2" w14:textId="77777777" w:rsidR="00135CFE" w:rsidRPr="00135CFE" w:rsidRDefault="00135CFE" w:rsidP="00100D7E">
      <w:pPr>
        <w:pStyle w:val="BodyText"/>
        <w:numPr>
          <w:ilvl w:val="0"/>
          <w:numId w:val="19"/>
        </w:numPr>
        <w:spacing w:after="0"/>
        <w:ind w:left="2621"/>
        <w:rPr>
          <w:rtl/>
        </w:rPr>
      </w:pPr>
      <w:r w:rsidRPr="00135CFE">
        <w:rPr>
          <w:rFonts w:hint="cs"/>
          <w:rtl/>
        </w:rPr>
        <w:t>زيادة تنسيق ورقمنة نظم معلومات الملكية الفكرية باستخدام معايير الويبو</w:t>
      </w:r>
    </w:p>
    <w:p w14:paraId="7CE892BE" w14:textId="77777777" w:rsidR="00135CFE" w:rsidRPr="00135CFE" w:rsidRDefault="00135CFE" w:rsidP="00100D7E">
      <w:pPr>
        <w:pStyle w:val="BodyText"/>
        <w:numPr>
          <w:ilvl w:val="0"/>
          <w:numId w:val="19"/>
        </w:numPr>
        <w:spacing w:after="0"/>
        <w:ind w:left="2621"/>
        <w:rPr>
          <w:rtl/>
        </w:rPr>
      </w:pPr>
      <w:r w:rsidRPr="00135CFE">
        <w:rPr>
          <w:rFonts w:hint="cs"/>
          <w:rtl/>
        </w:rPr>
        <w:t>منصات عالمية لتبادل بيانات الملكية الفكرية ومشاركتها</w:t>
      </w:r>
    </w:p>
    <w:p w14:paraId="01528F85" w14:textId="77777777" w:rsidR="00135CFE" w:rsidRPr="00135CFE" w:rsidRDefault="00135CFE" w:rsidP="00100D7E">
      <w:pPr>
        <w:pStyle w:val="BodyText"/>
        <w:numPr>
          <w:ilvl w:val="0"/>
          <w:numId w:val="19"/>
        </w:numPr>
        <w:spacing w:after="0"/>
        <w:ind w:left="2621"/>
        <w:rPr>
          <w:rtl/>
        </w:rPr>
      </w:pPr>
      <w:r w:rsidRPr="00135CFE">
        <w:rPr>
          <w:rFonts w:hint="cs"/>
          <w:rtl/>
        </w:rPr>
        <w:t>تحديث خدمات معلومات الملكية الفكرية العالمية</w:t>
      </w:r>
    </w:p>
    <w:p w14:paraId="5758849B" w14:textId="77777777" w:rsidR="00135CFE" w:rsidRPr="00135CFE" w:rsidRDefault="00135CFE" w:rsidP="00100D7E">
      <w:pPr>
        <w:pStyle w:val="BodyText"/>
        <w:numPr>
          <w:ilvl w:val="0"/>
          <w:numId w:val="19"/>
        </w:numPr>
        <w:spacing w:after="0"/>
        <w:ind w:left="2621"/>
        <w:rPr>
          <w:rtl/>
        </w:rPr>
      </w:pPr>
      <w:r w:rsidRPr="00135CFE">
        <w:rPr>
          <w:rFonts w:hint="cs"/>
          <w:rtl/>
        </w:rPr>
        <w:t>مشاريع تكنولوجيا المعلومات والاتصالات والتعاون عبر الحدود: فرص الشراكات المتعددة الأطراف ومشاركة الموارد</w:t>
      </w:r>
    </w:p>
    <w:p w14:paraId="79E41D5A" w14:textId="77777777" w:rsidR="00135CFE" w:rsidRPr="00135CFE" w:rsidRDefault="00135CFE" w:rsidP="00135CFE">
      <w:pPr>
        <w:pStyle w:val="BodyText"/>
        <w:numPr>
          <w:ilvl w:val="0"/>
          <w:numId w:val="19"/>
        </w:numPr>
        <w:rPr>
          <w:rtl/>
        </w:rPr>
      </w:pPr>
      <w:r w:rsidRPr="00135CFE">
        <w:rPr>
          <w:rFonts w:hint="cs"/>
          <w:rtl/>
        </w:rPr>
        <w:t>سد الفجوة الرقمية</w:t>
      </w:r>
    </w:p>
    <w:p w14:paraId="3F46F257" w14:textId="28149378" w:rsidR="00135CFE" w:rsidRPr="00135CFE" w:rsidRDefault="00135CFE" w:rsidP="00100D7E">
      <w:pPr>
        <w:pStyle w:val="BodyText"/>
        <w:ind w:left="2275" w:hanging="2275"/>
        <w:rPr>
          <w:bCs/>
          <w:rtl/>
        </w:rPr>
      </w:pPr>
      <w:r w:rsidRPr="00135CFE">
        <w:rPr>
          <w:rFonts w:hint="cs"/>
          <w:rtl/>
        </w:rPr>
        <w:t xml:space="preserve">12.30 </w:t>
      </w:r>
      <w:r w:rsidR="00100D7E" w:rsidRPr="00135CFE">
        <w:rPr>
          <w:rFonts w:hint="cs"/>
          <w:rtl/>
        </w:rPr>
        <w:t xml:space="preserve">– </w:t>
      </w:r>
      <w:r w:rsidRPr="00135CFE">
        <w:rPr>
          <w:rFonts w:hint="cs"/>
          <w:rtl/>
        </w:rPr>
        <w:t>14.30</w:t>
      </w:r>
      <w:r w:rsidRPr="00135CFE">
        <w:rPr>
          <w:rFonts w:hint="cs"/>
          <w:rtl/>
        </w:rPr>
        <w:tab/>
        <w:t>استراحة الغداء</w:t>
      </w:r>
    </w:p>
    <w:p w14:paraId="1FCBDC22" w14:textId="77777777" w:rsidR="00135CFE" w:rsidRPr="00135CFE" w:rsidRDefault="00135CFE" w:rsidP="00100D7E">
      <w:pPr>
        <w:pStyle w:val="BodyText"/>
        <w:ind w:left="2275" w:hanging="2275"/>
        <w:rPr>
          <w:b/>
          <w:rtl/>
        </w:rPr>
      </w:pPr>
      <w:r w:rsidRPr="00135CFE">
        <w:rPr>
          <w:rFonts w:hint="cs"/>
          <w:rtl/>
        </w:rPr>
        <w:t>14.30 – 15.30</w:t>
      </w:r>
      <w:r w:rsidRPr="00135CFE">
        <w:rPr>
          <w:rFonts w:hint="cs"/>
          <w:b/>
          <w:bCs/>
          <w:rtl/>
        </w:rPr>
        <w:tab/>
        <w:t>الجلسة 3 (تكملة):  نظم معلومات الملكية الفكرية العالمية والتعاون الرقمي</w:t>
      </w:r>
    </w:p>
    <w:p w14:paraId="6AC8C6BC" w14:textId="77777777" w:rsidR="00135CFE" w:rsidRPr="00135CFE" w:rsidRDefault="00135CFE" w:rsidP="00100D7E">
      <w:pPr>
        <w:pStyle w:val="BodyText"/>
        <w:ind w:left="2275" w:hanging="2275"/>
        <w:rPr>
          <w:rtl/>
        </w:rPr>
      </w:pPr>
      <w:r w:rsidRPr="00135CFE">
        <w:rPr>
          <w:rFonts w:hint="cs"/>
          <w:rtl/>
        </w:rPr>
        <w:t>15.30 – 16.30</w:t>
      </w:r>
      <w:r w:rsidRPr="00135CFE">
        <w:rPr>
          <w:rFonts w:hint="cs"/>
          <w:rtl/>
        </w:rPr>
        <w:tab/>
      </w:r>
      <w:r w:rsidRPr="00135CFE">
        <w:rPr>
          <w:rFonts w:hint="cs"/>
          <w:b/>
          <w:bCs/>
          <w:rtl/>
        </w:rPr>
        <w:t>مناقشة 3:  تعزيز التعاون الرقمي عبر الدول الأعضاء</w:t>
      </w:r>
    </w:p>
    <w:p w14:paraId="337D17F4" w14:textId="386A1DF0" w:rsidR="00135CFE" w:rsidRPr="00135CFE" w:rsidRDefault="00135CFE" w:rsidP="00100D7E">
      <w:pPr>
        <w:pStyle w:val="BodyText"/>
        <w:ind w:left="2275" w:hanging="2275"/>
        <w:rPr>
          <w:b/>
          <w:bCs/>
          <w:rtl/>
        </w:rPr>
      </w:pPr>
      <w:r w:rsidRPr="00135CFE">
        <w:rPr>
          <w:rFonts w:hint="cs"/>
          <w:rtl/>
        </w:rPr>
        <w:t xml:space="preserve">16.30 </w:t>
      </w:r>
      <w:r w:rsidR="00100D7E" w:rsidRPr="00135CFE">
        <w:rPr>
          <w:rFonts w:hint="cs"/>
          <w:rtl/>
        </w:rPr>
        <w:t xml:space="preserve">– </w:t>
      </w:r>
      <w:r w:rsidRPr="00135CFE">
        <w:rPr>
          <w:rFonts w:hint="cs"/>
          <w:rtl/>
        </w:rPr>
        <w:t>17.20</w:t>
      </w:r>
      <w:r w:rsidRPr="00135CFE">
        <w:rPr>
          <w:rFonts w:hint="cs"/>
          <w:rtl/>
        </w:rPr>
        <w:tab/>
      </w:r>
      <w:r w:rsidRPr="00135CFE">
        <w:rPr>
          <w:rFonts w:hint="cs"/>
          <w:b/>
          <w:bCs/>
          <w:rtl/>
        </w:rPr>
        <w:t>الخطوات القادمة:  الإجراءات الرئيسية التي يتعين على مكاتب الملكية الفكرية والويبو اتخاذها</w:t>
      </w:r>
    </w:p>
    <w:p w14:paraId="610CB6A4" w14:textId="1109E737" w:rsidR="00135CFE" w:rsidRPr="00135CFE" w:rsidRDefault="00135CFE" w:rsidP="00100D7E">
      <w:pPr>
        <w:pStyle w:val="BodyText"/>
        <w:ind w:left="2275" w:hanging="2275"/>
        <w:rPr>
          <w:b/>
          <w:rtl/>
        </w:rPr>
      </w:pPr>
      <w:r w:rsidRPr="00135CFE">
        <w:rPr>
          <w:rFonts w:hint="cs"/>
          <w:rtl/>
        </w:rPr>
        <w:t>17.20 – 17.30</w:t>
      </w:r>
      <w:r w:rsidRPr="00135CFE">
        <w:rPr>
          <w:rFonts w:hint="cs"/>
          <w:rtl/>
        </w:rPr>
        <w:tab/>
      </w:r>
      <w:r w:rsidRPr="00135CFE">
        <w:rPr>
          <w:rFonts w:hint="cs"/>
          <w:b/>
          <w:bCs/>
          <w:rtl/>
        </w:rPr>
        <w:t>ملاحظات ختامية</w:t>
      </w:r>
    </w:p>
    <w:bookmarkEnd w:id="5"/>
    <w:p w14:paraId="08A33876" w14:textId="77777777" w:rsidR="00943B6A" w:rsidRPr="00D8439E" w:rsidRDefault="00943B6A" w:rsidP="00943B6A">
      <w:pPr>
        <w:pStyle w:val="Endofdocument-Annex"/>
        <w:rPr>
          <w:rtl/>
        </w:rPr>
      </w:pPr>
      <w:r>
        <w:rPr>
          <w:rFonts w:hint="cs"/>
          <w:rtl/>
        </w:rPr>
        <w:t>[نهاية الوثيقة]</w:t>
      </w:r>
    </w:p>
    <w:sectPr w:rsidR="00943B6A" w:rsidRPr="00D8439E" w:rsidSect="00CC3E2D">
      <w:headerReference w:type="defaul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EC90B" w14:textId="77777777" w:rsidR="005A776B" w:rsidRDefault="005A776B">
      <w:r>
        <w:separator/>
      </w:r>
    </w:p>
  </w:endnote>
  <w:endnote w:type="continuationSeparator" w:id="0">
    <w:p w14:paraId="62EF2F69" w14:textId="77777777" w:rsidR="005A776B" w:rsidRDefault="005A776B" w:rsidP="003B38C1">
      <w:r>
        <w:separator/>
      </w:r>
    </w:p>
    <w:p w14:paraId="0CFAC7BE" w14:textId="77777777" w:rsidR="005A776B" w:rsidRPr="003B38C1" w:rsidRDefault="005A776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5E10A7D" w14:textId="77777777" w:rsidR="005A776B" w:rsidRPr="003B38C1" w:rsidRDefault="005A776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13087" w14:textId="77777777" w:rsidR="005A776B" w:rsidRDefault="005A776B">
      <w:r>
        <w:separator/>
      </w:r>
    </w:p>
  </w:footnote>
  <w:footnote w:type="continuationSeparator" w:id="0">
    <w:p w14:paraId="275C2E87" w14:textId="77777777" w:rsidR="005A776B" w:rsidRDefault="005A776B" w:rsidP="008B60B2">
      <w:r>
        <w:separator/>
      </w:r>
    </w:p>
    <w:p w14:paraId="1671A785" w14:textId="77777777" w:rsidR="005A776B" w:rsidRPr="00ED77FB" w:rsidRDefault="005A776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EC075EC" w14:textId="77777777" w:rsidR="005A776B" w:rsidRPr="00ED77FB" w:rsidRDefault="005A776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935D7" w14:textId="77777777" w:rsidR="00753B79" w:rsidRDefault="00753B79" w:rsidP="00753B79">
    <w:pPr>
      <w:jc w:val="right"/>
    </w:pPr>
    <w:r>
      <w:t>WILD/1/1 Prov.</w:t>
    </w:r>
  </w:p>
  <w:p w14:paraId="7B46C4F6" w14:textId="77777777" w:rsidR="00D07C78" w:rsidRDefault="00D07C78" w:rsidP="00210D5F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A703A0">
      <w:rPr>
        <w:noProof/>
      </w:rPr>
      <w:t>4</w:t>
    </w:r>
    <w:r>
      <w:fldChar w:fldCharType="end"/>
    </w:r>
  </w:p>
  <w:p w14:paraId="64FF1204" w14:textId="77777777" w:rsidR="00D07C78" w:rsidRDefault="00D07C78" w:rsidP="00210D5F">
    <w:pPr>
      <w:bidi w:val="0"/>
    </w:pPr>
  </w:p>
  <w:p w14:paraId="28631F03" w14:textId="77777777" w:rsidR="00D07C78" w:rsidRDefault="00D07C78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 w15:restartNumberingAfterBreak="0">
    <w:nsid w:val="137B13DC"/>
    <w:multiLevelType w:val="hybridMultilevel"/>
    <w:tmpl w:val="A56A7164"/>
    <w:lvl w:ilvl="0" w:tplc="6F3A76D6">
      <w:start w:val="1"/>
      <w:numFmt w:val="arabicAbjad"/>
      <w:pStyle w:val="ListParagraph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23325B3B"/>
    <w:multiLevelType w:val="hybridMultilevel"/>
    <w:tmpl w:val="22509E22"/>
    <w:lvl w:ilvl="0" w:tplc="040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F71EC3C8">
      <w:numFmt w:val="bullet"/>
      <w:lvlText w:val="•"/>
      <w:lvlJc w:val="left"/>
      <w:pPr>
        <w:ind w:left="3345" w:hanging="360"/>
      </w:pPr>
      <w:rPr>
        <w:rFonts w:ascii="Arial" w:eastAsia="Malgun Gothic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4" w15:restartNumberingAfterBreak="0">
    <w:nsid w:val="3CF707A2"/>
    <w:multiLevelType w:val="hybridMultilevel"/>
    <w:tmpl w:val="183E6666"/>
    <w:lvl w:ilvl="0" w:tplc="040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5" w15:restartNumberingAfterBreak="0">
    <w:nsid w:val="47B70C2C"/>
    <w:multiLevelType w:val="hybridMultilevel"/>
    <w:tmpl w:val="C10EA76E"/>
    <w:lvl w:ilvl="0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AE43010">
      <w:numFmt w:val="bullet"/>
      <w:lvlText w:val="•"/>
      <w:lvlJc w:val="left"/>
      <w:pPr>
        <w:ind w:left="3348" w:hanging="360"/>
      </w:pPr>
      <w:rPr>
        <w:rFonts w:ascii="Arial" w:eastAsia="Malgun Gothic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6" w15:restartNumberingAfterBreak="0">
    <w:nsid w:val="49A57C80"/>
    <w:multiLevelType w:val="hybridMultilevel"/>
    <w:tmpl w:val="8302458A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 w16cid:durableId="1689942921">
    <w:abstractNumId w:val="7"/>
  </w:num>
  <w:num w:numId="2" w16cid:durableId="441920480">
    <w:abstractNumId w:val="0"/>
  </w:num>
  <w:num w:numId="3" w16cid:durableId="1850176673">
    <w:abstractNumId w:val="2"/>
  </w:num>
  <w:num w:numId="4" w16cid:durableId="2107647081">
    <w:abstractNumId w:val="8"/>
  </w:num>
  <w:num w:numId="5" w16cid:durableId="114569756">
    <w:abstractNumId w:val="1"/>
  </w:num>
  <w:num w:numId="6" w16cid:durableId="2019889674">
    <w:abstractNumId w:val="1"/>
    <w:lvlOverride w:ilvl="0">
      <w:startOverride w:val="1"/>
    </w:lvlOverride>
  </w:num>
  <w:num w:numId="7" w16cid:durableId="1200893741">
    <w:abstractNumId w:val="1"/>
    <w:lvlOverride w:ilvl="0">
      <w:startOverride w:val="1"/>
    </w:lvlOverride>
  </w:num>
  <w:num w:numId="8" w16cid:durableId="850296747">
    <w:abstractNumId w:val="1"/>
    <w:lvlOverride w:ilvl="0">
      <w:startOverride w:val="1"/>
    </w:lvlOverride>
  </w:num>
  <w:num w:numId="9" w16cid:durableId="475755672">
    <w:abstractNumId w:val="1"/>
    <w:lvlOverride w:ilvl="0">
      <w:startOverride w:val="1"/>
    </w:lvlOverride>
  </w:num>
  <w:num w:numId="10" w16cid:durableId="90470468">
    <w:abstractNumId w:val="1"/>
    <w:lvlOverride w:ilvl="0">
      <w:startOverride w:val="1"/>
    </w:lvlOverride>
  </w:num>
  <w:num w:numId="11" w16cid:durableId="392046539">
    <w:abstractNumId w:val="1"/>
  </w:num>
  <w:num w:numId="12" w16cid:durableId="1268585383">
    <w:abstractNumId w:val="6"/>
  </w:num>
  <w:num w:numId="13" w16cid:durableId="402148171">
    <w:abstractNumId w:val="1"/>
  </w:num>
  <w:num w:numId="14" w16cid:durableId="276566343">
    <w:abstractNumId w:val="8"/>
  </w:num>
  <w:num w:numId="15" w16cid:durableId="1854227908">
    <w:abstractNumId w:val="1"/>
  </w:num>
  <w:num w:numId="16" w16cid:durableId="99570287">
    <w:abstractNumId w:val="8"/>
  </w:num>
  <w:num w:numId="17" w16cid:durableId="1083114066">
    <w:abstractNumId w:val="4"/>
  </w:num>
  <w:num w:numId="18" w16cid:durableId="2039619277">
    <w:abstractNumId w:val="5"/>
  </w:num>
  <w:num w:numId="19" w16cid:durableId="1520586374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FB0"/>
    <w:rsid w:val="00041A0A"/>
    <w:rsid w:val="00043CAA"/>
    <w:rsid w:val="00056816"/>
    <w:rsid w:val="00075432"/>
    <w:rsid w:val="00090A19"/>
    <w:rsid w:val="000910E5"/>
    <w:rsid w:val="000968ED"/>
    <w:rsid w:val="000A3D97"/>
    <w:rsid w:val="000B5B36"/>
    <w:rsid w:val="000D3DAB"/>
    <w:rsid w:val="000D42A9"/>
    <w:rsid w:val="000F5E56"/>
    <w:rsid w:val="00100D7E"/>
    <w:rsid w:val="00117603"/>
    <w:rsid w:val="00135CFE"/>
    <w:rsid w:val="001362EE"/>
    <w:rsid w:val="001406E1"/>
    <w:rsid w:val="00140F22"/>
    <w:rsid w:val="00155D8A"/>
    <w:rsid w:val="001647D5"/>
    <w:rsid w:val="00167832"/>
    <w:rsid w:val="00167F09"/>
    <w:rsid w:val="00176FD1"/>
    <w:rsid w:val="001832A6"/>
    <w:rsid w:val="0019592A"/>
    <w:rsid w:val="001D4107"/>
    <w:rsid w:val="00203D24"/>
    <w:rsid w:val="00210D5F"/>
    <w:rsid w:val="0021217E"/>
    <w:rsid w:val="00222782"/>
    <w:rsid w:val="002326AB"/>
    <w:rsid w:val="00243430"/>
    <w:rsid w:val="00250149"/>
    <w:rsid w:val="00262607"/>
    <w:rsid w:val="002634C4"/>
    <w:rsid w:val="00265354"/>
    <w:rsid w:val="00273181"/>
    <w:rsid w:val="002928D3"/>
    <w:rsid w:val="002A3714"/>
    <w:rsid w:val="002A7B3A"/>
    <w:rsid w:val="002F1FE6"/>
    <w:rsid w:val="002F4E68"/>
    <w:rsid w:val="00303282"/>
    <w:rsid w:val="00305719"/>
    <w:rsid w:val="00312F7F"/>
    <w:rsid w:val="00321316"/>
    <w:rsid w:val="00321EB3"/>
    <w:rsid w:val="00327E12"/>
    <w:rsid w:val="003452A8"/>
    <w:rsid w:val="00361450"/>
    <w:rsid w:val="003673CF"/>
    <w:rsid w:val="00376168"/>
    <w:rsid w:val="003845C1"/>
    <w:rsid w:val="003848F1"/>
    <w:rsid w:val="003A6F89"/>
    <w:rsid w:val="003B1954"/>
    <w:rsid w:val="003B355C"/>
    <w:rsid w:val="003B3581"/>
    <w:rsid w:val="003B38C1"/>
    <w:rsid w:val="003C17A1"/>
    <w:rsid w:val="003C34E9"/>
    <w:rsid w:val="003F20F4"/>
    <w:rsid w:val="003F45CE"/>
    <w:rsid w:val="0041782F"/>
    <w:rsid w:val="00423E3E"/>
    <w:rsid w:val="00427AF4"/>
    <w:rsid w:val="004434C3"/>
    <w:rsid w:val="00445346"/>
    <w:rsid w:val="0045246E"/>
    <w:rsid w:val="00452F85"/>
    <w:rsid w:val="00461B51"/>
    <w:rsid w:val="004647DA"/>
    <w:rsid w:val="00474062"/>
    <w:rsid w:val="00477D6B"/>
    <w:rsid w:val="00481FA9"/>
    <w:rsid w:val="0048522D"/>
    <w:rsid w:val="004908C8"/>
    <w:rsid w:val="004D29A8"/>
    <w:rsid w:val="004D2D45"/>
    <w:rsid w:val="004D4E75"/>
    <w:rsid w:val="004E2190"/>
    <w:rsid w:val="004F2DEB"/>
    <w:rsid w:val="0050171F"/>
    <w:rsid w:val="005019FF"/>
    <w:rsid w:val="0050470A"/>
    <w:rsid w:val="00520830"/>
    <w:rsid w:val="0053057A"/>
    <w:rsid w:val="00556076"/>
    <w:rsid w:val="00560A29"/>
    <w:rsid w:val="005740C5"/>
    <w:rsid w:val="0059409E"/>
    <w:rsid w:val="005A776B"/>
    <w:rsid w:val="005B2C79"/>
    <w:rsid w:val="005B453D"/>
    <w:rsid w:val="005C5B64"/>
    <w:rsid w:val="005C6649"/>
    <w:rsid w:val="005E7B89"/>
    <w:rsid w:val="005F0828"/>
    <w:rsid w:val="005F2529"/>
    <w:rsid w:val="00600D30"/>
    <w:rsid w:val="00605827"/>
    <w:rsid w:val="006346DC"/>
    <w:rsid w:val="00646050"/>
    <w:rsid w:val="006713CA"/>
    <w:rsid w:val="00676C5C"/>
    <w:rsid w:val="006A516B"/>
    <w:rsid w:val="006B5C12"/>
    <w:rsid w:val="006D27D2"/>
    <w:rsid w:val="006D7AAB"/>
    <w:rsid w:val="006D7C7A"/>
    <w:rsid w:val="006E724C"/>
    <w:rsid w:val="006F641A"/>
    <w:rsid w:val="0070778E"/>
    <w:rsid w:val="00714F25"/>
    <w:rsid w:val="00720EFD"/>
    <w:rsid w:val="00750C1A"/>
    <w:rsid w:val="00753B79"/>
    <w:rsid w:val="0075631E"/>
    <w:rsid w:val="007641CE"/>
    <w:rsid w:val="00765699"/>
    <w:rsid w:val="007854AF"/>
    <w:rsid w:val="0079149A"/>
    <w:rsid w:val="00793A7C"/>
    <w:rsid w:val="007969D1"/>
    <w:rsid w:val="007A0E2A"/>
    <w:rsid w:val="007A398A"/>
    <w:rsid w:val="007C1935"/>
    <w:rsid w:val="007C4902"/>
    <w:rsid w:val="007D1613"/>
    <w:rsid w:val="007E4889"/>
    <w:rsid w:val="007E4C0E"/>
    <w:rsid w:val="00820911"/>
    <w:rsid w:val="008243C0"/>
    <w:rsid w:val="00890F37"/>
    <w:rsid w:val="008A134B"/>
    <w:rsid w:val="008A39DA"/>
    <w:rsid w:val="008A5C4D"/>
    <w:rsid w:val="008B2CC1"/>
    <w:rsid w:val="008B60B2"/>
    <w:rsid w:val="008D1B10"/>
    <w:rsid w:val="009070C4"/>
    <w:rsid w:val="0090731E"/>
    <w:rsid w:val="00916EE2"/>
    <w:rsid w:val="0093527D"/>
    <w:rsid w:val="009366BA"/>
    <w:rsid w:val="00942569"/>
    <w:rsid w:val="00943B6A"/>
    <w:rsid w:val="0094554E"/>
    <w:rsid w:val="00947238"/>
    <w:rsid w:val="009476FE"/>
    <w:rsid w:val="00957F02"/>
    <w:rsid w:val="00963D44"/>
    <w:rsid w:val="00966A22"/>
    <w:rsid w:val="0096722F"/>
    <w:rsid w:val="00980843"/>
    <w:rsid w:val="0099406E"/>
    <w:rsid w:val="009949D6"/>
    <w:rsid w:val="009B0855"/>
    <w:rsid w:val="009B48A1"/>
    <w:rsid w:val="009B51CF"/>
    <w:rsid w:val="009C2651"/>
    <w:rsid w:val="009E1721"/>
    <w:rsid w:val="009E2791"/>
    <w:rsid w:val="009E3F6F"/>
    <w:rsid w:val="009F3AD4"/>
    <w:rsid w:val="009F3FB0"/>
    <w:rsid w:val="009F499F"/>
    <w:rsid w:val="00A225D4"/>
    <w:rsid w:val="00A33241"/>
    <w:rsid w:val="00A37342"/>
    <w:rsid w:val="00A42DAF"/>
    <w:rsid w:val="00A448AB"/>
    <w:rsid w:val="00A45BD8"/>
    <w:rsid w:val="00A61D32"/>
    <w:rsid w:val="00A703A0"/>
    <w:rsid w:val="00A82FF2"/>
    <w:rsid w:val="00A869B7"/>
    <w:rsid w:val="00A90F0A"/>
    <w:rsid w:val="00AA589B"/>
    <w:rsid w:val="00AB4792"/>
    <w:rsid w:val="00AC205C"/>
    <w:rsid w:val="00AC20E9"/>
    <w:rsid w:val="00AD30FC"/>
    <w:rsid w:val="00AD3F8E"/>
    <w:rsid w:val="00AD5F3C"/>
    <w:rsid w:val="00AD75F1"/>
    <w:rsid w:val="00AF0A6B"/>
    <w:rsid w:val="00B05A69"/>
    <w:rsid w:val="00B20A80"/>
    <w:rsid w:val="00B26A4F"/>
    <w:rsid w:val="00B30749"/>
    <w:rsid w:val="00B42CA9"/>
    <w:rsid w:val="00B51FF7"/>
    <w:rsid w:val="00B53F5C"/>
    <w:rsid w:val="00B75281"/>
    <w:rsid w:val="00B86A18"/>
    <w:rsid w:val="00B92F1F"/>
    <w:rsid w:val="00B953D5"/>
    <w:rsid w:val="00B9734B"/>
    <w:rsid w:val="00BA30E2"/>
    <w:rsid w:val="00BB781F"/>
    <w:rsid w:val="00BC6536"/>
    <w:rsid w:val="00C11BFE"/>
    <w:rsid w:val="00C16A60"/>
    <w:rsid w:val="00C3436A"/>
    <w:rsid w:val="00C5068F"/>
    <w:rsid w:val="00C60E4B"/>
    <w:rsid w:val="00C73194"/>
    <w:rsid w:val="00C7328B"/>
    <w:rsid w:val="00C770F5"/>
    <w:rsid w:val="00C86D74"/>
    <w:rsid w:val="00C87DB1"/>
    <w:rsid w:val="00C91553"/>
    <w:rsid w:val="00C925E7"/>
    <w:rsid w:val="00CB3DBA"/>
    <w:rsid w:val="00CC3E2D"/>
    <w:rsid w:val="00CD04F1"/>
    <w:rsid w:val="00CE19F8"/>
    <w:rsid w:val="00CF681A"/>
    <w:rsid w:val="00D07C78"/>
    <w:rsid w:val="00D3079F"/>
    <w:rsid w:val="00D340D1"/>
    <w:rsid w:val="00D45252"/>
    <w:rsid w:val="00D512F3"/>
    <w:rsid w:val="00D60B2C"/>
    <w:rsid w:val="00D67EAE"/>
    <w:rsid w:val="00D71B4D"/>
    <w:rsid w:val="00D80943"/>
    <w:rsid w:val="00D90B96"/>
    <w:rsid w:val="00D91D8B"/>
    <w:rsid w:val="00D93D55"/>
    <w:rsid w:val="00DC17E3"/>
    <w:rsid w:val="00DD7B7F"/>
    <w:rsid w:val="00E15015"/>
    <w:rsid w:val="00E15F75"/>
    <w:rsid w:val="00E17738"/>
    <w:rsid w:val="00E2006D"/>
    <w:rsid w:val="00E23ECB"/>
    <w:rsid w:val="00E319DF"/>
    <w:rsid w:val="00E335FE"/>
    <w:rsid w:val="00E52632"/>
    <w:rsid w:val="00E66CC5"/>
    <w:rsid w:val="00E91C3A"/>
    <w:rsid w:val="00EA2B00"/>
    <w:rsid w:val="00EA37DB"/>
    <w:rsid w:val="00EA7D6E"/>
    <w:rsid w:val="00EB2F76"/>
    <w:rsid w:val="00EC4E49"/>
    <w:rsid w:val="00ED6EB7"/>
    <w:rsid w:val="00ED77FB"/>
    <w:rsid w:val="00EE307E"/>
    <w:rsid w:val="00EE45FA"/>
    <w:rsid w:val="00F043DE"/>
    <w:rsid w:val="00F10E7C"/>
    <w:rsid w:val="00F1217E"/>
    <w:rsid w:val="00F248CE"/>
    <w:rsid w:val="00F42225"/>
    <w:rsid w:val="00F5208F"/>
    <w:rsid w:val="00F66152"/>
    <w:rsid w:val="00F71DEE"/>
    <w:rsid w:val="00F73B33"/>
    <w:rsid w:val="00F76CB4"/>
    <w:rsid w:val="00F90C07"/>
    <w:rsid w:val="00F9165B"/>
    <w:rsid w:val="00FA17DA"/>
    <w:rsid w:val="00FA6CAF"/>
    <w:rsid w:val="00FC482F"/>
    <w:rsid w:val="00FD0B86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B34722"/>
  <w15:docId w15:val="{ACC96AB2-A52A-4F62-A571-9E830526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41A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4"/>
      </w:numPr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4D29A8"/>
    <w:rPr>
      <w:rFonts w:ascii="Arial" w:eastAsia="SimSun" w:hAnsi="Arial" w:cs="Calibri"/>
      <w:sz w:val="22"/>
      <w:szCs w:val="22"/>
      <w:lang w:val="en-US" w:eastAsia="zh-CN"/>
    </w:rPr>
  </w:style>
  <w:style w:type="paragraph" w:styleId="ListParagraph">
    <w:name w:val="List Paragraph"/>
    <w:basedOn w:val="BodyText"/>
    <w:uiPriority w:val="34"/>
    <w:qFormat/>
    <w:rsid w:val="009949D6"/>
    <w:pPr>
      <w:numPr>
        <w:numId w:val="5"/>
      </w:numPr>
    </w:pPr>
  </w:style>
  <w:style w:type="paragraph" w:customStyle="1" w:styleId="Endofdocument">
    <w:name w:val="End of document"/>
    <w:basedOn w:val="Normal"/>
    <w:rsid w:val="00943B6A"/>
    <w:pPr>
      <w:bidi w:val="0"/>
      <w:spacing w:line="260" w:lineRule="atLeast"/>
      <w:ind w:left="5534"/>
    </w:pPr>
    <w:rPr>
      <w:rFonts w:eastAsia="Times New Roman" w:cs="Times New Roman"/>
      <w:sz w:val="20"/>
      <w:szCs w:val="2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0BF19-F204-4F88-B0C1-89933E9E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WILD/1/Prov, Draft Agenda, First Session, April 14 to 16, 205</vt:lpstr>
    </vt:vector>
  </TitlesOfParts>
  <Company>WIPO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WILD/1/Prov, Draft Agenda, First Session, April 14 to 16, 205</dc:title>
  <dc:subject>WILD</dc:subject>
  <dc:creator>WIPO</dc:creator>
  <cp:keywords>WILD</cp:keywords>
  <dc:description>Arabic version</dc:description>
  <cp:lastModifiedBy>MURATAJ Erjola</cp:lastModifiedBy>
  <cp:revision>8</cp:revision>
  <cp:lastPrinted>2024-12-20T17:05:00Z</cp:lastPrinted>
  <dcterms:created xsi:type="dcterms:W3CDTF">2024-12-20T17:05:00Z</dcterms:created>
  <dcterms:modified xsi:type="dcterms:W3CDTF">2024-12-20T22:03:00Z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fb579b81-4821-48d9-a92c-679b3f27fe89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2023-10-03T09:42:48Z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985a1b2b-23de-4c91-afe2-d7cd76cc92a9</vt:lpwstr>
  </property>
  <property fmtid="{D5CDD505-2E9C-101B-9397-08002B2CF9AE}" pid="14" name="MSIP_Label_20773ee6-353b-4fb9-a59d-0b94c8c67bea_ContentBits">
    <vt:lpwstr>0</vt:lpwstr>
  </property>
</Properties>
</file>