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1576" w14:textId="77777777" w:rsidR="00696705" w:rsidRDefault="00696705" w:rsidP="00C63026">
      <w:pPr>
        <w:pStyle w:val="Heading1"/>
        <w:keepNext w:val="0"/>
        <w:widowControl w:val="0"/>
        <w:kinsoku w:val="0"/>
        <w:spacing w:before="0" w:after="340"/>
        <w:jc w:val="center"/>
        <w:rPr>
          <w:bCs w:val="0"/>
          <w:caps w:val="0"/>
          <w:kern w:val="0"/>
          <w:sz w:val="20"/>
          <w:szCs w:val="17"/>
        </w:rPr>
      </w:pPr>
      <w:bookmarkStart w:id="0" w:name="_Toc532458472"/>
    </w:p>
    <w:p w14:paraId="126F2D94" w14:textId="792BF3E5" w:rsidR="00C63026" w:rsidRPr="007B3934" w:rsidRDefault="008A189B" w:rsidP="00C63026">
      <w:pPr>
        <w:pStyle w:val="Heading1"/>
        <w:keepNext w:val="0"/>
        <w:widowControl w:val="0"/>
        <w:kinsoku w:val="0"/>
        <w:spacing w:before="0" w:after="340"/>
        <w:jc w:val="center"/>
        <w:rPr>
          <w:bCs w:val="0"/>
          <w:caps w:val="0"/>
          <w:kern w:val="0"/>
          <w:sz w:val="20"/>
          <w:szCs w:val="17"/>
        </w:rPr>
      </w:pPr>
      <w:bookmarkStart w:id="1" w:name="_GoBack"/>
      <w:bookmarkEnd w:id="1"/>
      <w:r w:rsidRPr="007B3934">
        <w:rPr>
          <w:bCs w:val="0"/>
          <w:caps w:val="0"/>
          <w:kern w:val="0"/>
          <w:sz w:val="20"/>
          <w:szCs w:val="17"/>
        </w:rPr>
        <w:t>ANNEX II</w:t>
      </w:r>
      <w:bookmarkEnd w:id="0"/>
      <w:r w:rsidR="00F11F73">
        <w:rPr>
          <w:bCs w:val="0"/>
          <w:caps w:val="0"/>
          <w:kern w:val="0"/>
          <w:sz w:val="20"/>
          <w:szCs w:val="17"/>
        </w:rPr>
        <w:t xml:space="preserve"> of ST.87</w:t>
      </w:r>
    </w:p>
    <w:p w14:paraId="33E26FAF" w14:textId="79457D14" w:rsidR="008A189B" w:rsidRDefault="00C63026" w:rsidP="00C63026">
      <w:pPr>
        <w:widowControl w:val="0"/>
        <w:kinsoku w:val="0"/>
        <w:spacing w:after="340"/>
        <w:ind w:right="11"/>
        <w:jc w:val="center"/>
        <w:rPr>
          <w:rFonts w:eastAsia="Batang"/>
          <w:szCs w:val="17"/>
          <w:lang w:eastAsia="en-US"/>
        </w:rPr>
      </w:pPr>
      <w:r w:rsidRPr="007B3934">
        <w:rPr>
          <w:rFonts w:eastAsia="Batang"/>
          <w:szCs w:val="17"/>
          <w:lang w:eastAsia="en-US"/>
        </w:rPr>
        <w:t>SUPPLEMENTARY EVENT DATA</w:t>
      </w:r>
    </w:p>
    <w:p w14:paraId="06263A6B" w14:textId="77777777" w:rsidR="007909E4" w:rsidRDefault="007909E4" w:rsidP="007909E4">
      <w:pPr>
        <w:spacing w:after="340"/>
        <w:jc w:val="center"/>
        <w:rPr>
          <w:rFonts w:eastAsia="Times New Roman" w:cs="Times New Roman"/>
          <w:i/>
          <w:lang w:eastAsia="en-US"/>
        </w:rPr>
      </w:pPr>
      <w:r>
        <w:rPr>
          <w:rFonts w:eastAsia="Times New Roman" w:cs="Times New Roman"/>
          <w:i/>
          <w:lang w:eastAsia="en-US"/>
        </w:rPr>
        <w:t>Adopted by the Committee on WIPO Standards (CWS)</w:t>
      </w:r>
      <w:r>
        <w:rPr>
          <w:rFonts w:eastAsia="Times New Roman" w:cs="Times New Roman"/>
          <w:i/>
          <w:lang w:eastAsia="en-US"/>
        </w:rPr>
        <w:br/>
        <w:t>at its sixth session on October 19, 2018</w:t>
      </w:r>
    </w:p>
    <w:p w14:paraId="6AEF074E" w14:textId="79534CA8" w:rsidR="00E40648" w:rsidRPr="00215EEF" w:rsidRDefault="00316BB2" w:rsidP="003E350F">
      <w:pPr>
        <w:pStyle w:val="ListParagraph"/>
        <w:numPr>
          <w:ilvl w:val="0"/>
          <w:numId w:val="5"/>
        </w:numPr>
        <w:spacing w:after="220"/>
        <w:ind w:left="0" w:firstLine="0"/>
        <w:contextualSpacing w:val="0"/>
        <w:jc w:val="both"/>
        <w:rPr>
          <w:szCs w:val="17"/>
        </w:rPr>
      </w:pPr>
      <w:r w:rsidRPr="007B3934">
        <w:rPr>
          <w:szCs w:val="17"/>
        </w:rPr>
        <w:t>E</w:t>
      </w:r>
      <w:r w:rsidR="008A189B" w:rsidRPr="007B3934">
        <w:rPr>
          <w:szCs w:val="17"/>
        </w:rPr>
        <w:t xml:space="preserve">ach status event code may be accompanied by </w:t>
      </w:r>
      <w:r w:rsidR="003E39E7" w:rsidRPr="007B3934">
        <w:rPr>
          <w:szCs w:val="17"/>
        </w:rPr>
        <w:t>supplementary event data.  There is supplementary event data that is specific to events in a particular category and there is common supplementary event data which is common to all events.</w:t>
      </w:r>
      <w:r w:rsidR="00FF07F6" w:rsidRPr="007B3934">
        <w:rPr>
          <w:szCs w:val="17"/>
        </w:rPr>
        <w:t xml:space="preserve"> </w:t>
      </w:r>
      <w:r w:rsidR="003E39E7" w:rsidRPr="007B3934">
        <w:rPr>
          <w:szCs w:val="17"/>
        </w:rPr>
        <w:t xml:space="preserve"> T</w:t>
      </w:r>
      <w:r w:rsidR="008A189B" w:rsidRPr="007B3934">
        <w:rPr>
          <w:szCs w:val="17"/>
        </w:rPr>
        <w:t xml:space="preserve">he common </w:t>
      </w:r>
      <w:r w:rsidRPr="007B3934">
        <w:rPr>
          <w:szCs w:val="17"/>
        </w:rPr>
        <w:t>s</w:t>
      </w:r>
      <w:r w:rsidR="008A20A9" w:rsidRPr="007B3934">
        <w:rPr>
          <w:szCs w:val="17"/>
        </w:rPr>
        <w:t>upplementary event data</w:t>
      </w:r>
      <w:r w:rsidR="008A189B" w:rsidRPr="007B3934">
        <w:rPr>
          <w:szCs w:val="17"/>
        </w:rPr>
        <w:t xml:space="preserve"> in</w:t>
      </w:r>
      <w:r w:rsidR="003E39E7" w:rsidRPr="007B3934">
        <w:rPr>
          <w:szCs w:val="17"/>
        </w:rPr>
        <w:t>cludes</w:t>
      </w:r>
      <w:r w:rsidR="008A189B" w:rsidRPr="007B3934">
        <w:rPr>
          <w:szCs w:val="17"/>
        </w:rPr>
        <w:t xml:space="preserve"> (</w:t>
      </w:r>
      <w:r w:rsidR="00E15E1C" w:rsidRPr="007B3934">
        <w:rPr>
          <w:szCs w:val="17"/>
        </w:rPr>
        <w:t>1</w:t>
      </w:r>
      <w:r w:rsidR="008A189B" w:rsidRPr="007B3934">
        <w:rPr>
          <w:szCs w:val="17"/>
        </w:rPr>
        <w:t>) the effective country or region, (</w:t>
      </w:r>
      <w:r w:rsidR="00E15E1C" w:rsidRPr="007B3934">
        <w:rPr>
          <w:szCs w:val="17"/>
        </w:rPr>
        <w:t>2</w:t>
      </w:r>
      <w:r w:rsidR="008A189B" w:rsidRPr="007B3934">
        <w:rPr>
          <w:szCs w:val="17"/>
        </w:rPr>
        <w:t xml:space="preserve">) the gazette issue number, </w:t>
      </w:r>
      <w:r w:rsidR="008A189B" w:rsidRPr="005A4448">
        <w:rPr>
          <w:strike/>
          <w:color w:val="FFFFFF"/>
          <w:szCs w:val="17"/>
          <w:shd w:val="clear" w:color="auto" w:fill="800080"/>
        </w:rPr>
        <w:t xml:space="preserve">and </w:t>
      </w:r>
      <w:r w:rsidR="008A189B" w:rsidRPr="007B3934">
        <w:rPr>
          <w:szCs w:val="17"/>
        </w:rPr>
        <w:t>(</w:t>
      </w:r>
      <w:r w:rsidR="00E15E1C" w:rsidRPr="007B3934">
        <w:rPr>
          <w:szCs w:val="17"/>
        </w:rPr>
        <w:t>3</w:t>
      </w:r>
      <w:r w:rsidR="008A189B" w:rsidRPr="007B3934">
        <w:rPr>
          <w:szCs w:val="17"/>
        </w:rPr>
        <w:t xml:space="preserve">) comment (i.e. </w:t>
      </w:r>
      <w:r w:rsidR="00FF07F6" w:rsidRPr="007B3934">
        <w:rPr>
          <w:szCs w:val="17"/>
        </w:rPr>
        <w:t xml:space="preserve"> </w:t>
      </w:r>
      <w:r w:rsidR="008A189B" w:rsidRPr="007B3934">
        <w:rPr>
          <w:szCs w:val="17"/>
        </w:rPr>
        <w:t>free text)</w:t>
      </w:r>
      <w:r w:rsidR="00E40648" w:rsidRPr="005A4448">
        <w:rPr>
          <w:color w:val="000000"/>
          <w:szCs w:val="17"/>
          <w:u w:val="single"/>
          <w:shd w:val="clear" w:color="auto" w:fill="FFFF00"/>
        </w:rPr>
        <w:t>, (4) a prior relevant event date, and (5) a relevant rule</w:t>
      </w:r>
      <w:r w:rsidR="008A189B" w:rsidRPr="007B3934">
        <w:rPr>
          <w:szCs w:val="17"/>
        </w:rPr>
        <w:t>.  The “effective country or region”, is the country or region where the event has legal effect</w:t>
      </w:r>
      <w:r w:rsidR="005F0FBC" w:rsidRPr="007B3934">
        <w:rPr>
          <w:szCs w:val="17"/>
        </w:rPr>
        <w:t>, which</w:t>
      </w:r>
      <w:r w:rsidR="008A189B" w:rsidRPr="007B3934">
        <w:rPr>
          <w:szCs w:val="17"/>
        </w:rPr>
        <w:t xml:space="preserve"> is particularly relevant for regional IPOs where the effect of an event, such as discontinuation due to non-payment of renewal fees, only has </w:t>
      </w:r>
      <w:r w:rsidR="008219C8" w:rsidRPr="007B3934">
        <w:rPr>
          <w:szCs w:val="17"/>
        </w:rPr>
        <w:t>e</w:t>
      </w:r>
      <w:r w:rsidR="008A189B" w:rsidRPr="007B3934">
        <w:rPr>
          <w:szCs w:val="17"/>
        </w:rPr>
        <w:t>ffect in some of the countries where the IP right is active.  The “gazette issue number” is the issue of the national</w:t>
      </w:r>
      <w:r w:rsidR="0019609E" w:rsidRPr="007B3934">
        <w:rPr>
          <w:szCs w:val="17"/>
        </w:rPr>
        <w:t>/regional</w:t>
      </w:r>
      <w:r w:rsidR="008A189B" w:rsidRPr="007B3934">
        <w:rPr>
          <w:szCs w:val="17"/>
        </w:rPr>
        <w:t xml:space="preserve"> gazette where the particulars of the national</w:t>
      </w:r>
      <w:r w:rsidR="0019609E" w:rsidRPr="007B3934">
        <w:rPr>
          <w:szCs w:val="17"/>
        </w:rPr>
        <w:t>/regional</w:t>
      </w:r>
      <w:r w:rsidR="00321B16" w:rsidRPr="007B3934">
        <w:rPr>
          <w:szCs w:val="17"/>
        </w:rPr>
        <w:t>/international</w:t>
      </w:r>
      <w:r w:rsidR="008A189B" w:rsidRPr="007B3934">
        <w:rPr>
          <w:szCs w:val="17"/>
        </w:rPr>
        <w:t xml:space="preserve"> event are made public.  IPOs will be able to provide additional associated data which is not sp</w:t>
      </w:r>
      <w:r w:rsidR="00FF07F6" w:rsidRPr="007B3934">
        <w:rPr>
          <w:szCs w:val="17"/>
        </w:rPr>
        <w:t>ecified in the “comment” entry.</w:t>
      </w:r>
      <w:r w:rsidR="00E40648" w:rsidRPr="005A4448">
        <w:rPr>
          <w:color w:val="000000"/>
          <w:szCs w:val="17"/>
          <w:u w:val="single"/>
          <w:shd w:val="clear" w:color="auto" w:fill="FFFF00"/>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4484ABB3" w14:textId="1A02F2A3" w:rsidR="00E40648" w:rsidRPr="007B3934" w:rsidRDefault="00E40648" w:rsidP="003E350F">
      <w:pPr>
        <w:pStyle w:val="ListParagraph"/>
        <w:numPr>
          <w:ilvl w:val="0"/>
          <w:numId w:val="5"/>
        </w:numPr>
        <w:ind w:left="0" w:hanging="3"/>
        <w:jc w:val="both"/>
        <w:rPr>
          <w:szCs w:val="17"/>
        </w:rPr>
      </w:pPr>
      <w:r w:rsidRPr="005A4448">
        <w:rPr>
          <w:color w:val="000000"/>
          <w:szCs w:val="17"/>
          <w:u w:val="single"/>
          <w:shd w:val="clear" w:color="auto" w:fill="FFFF00"/>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195F2DA2" w14:textId="77777777" w:rsidTr="005A4448">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lastRenderedPageBreak/>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7B3934" w:rsidRDefault="008A189B" w:rsidP="002E0A4C">
            <w:pPr>
              <w:spacing w:before="120" w:after="120"/>
              <w:rPr>
                <w:rFonts w:eastAsia="Times New Roman"/>
                <w:b/>
                <w:bCs/>
                <w:color w:val="000000"/>
                <w:szCs w:val="17"/>
                <w:lang w:eastAsia="en-US"/>
              </w:rPr>
            </w:pPr>
            <w:r w:rsidRPr="007B3934">
              <w:rPr>
                <w:rFonts w:eastAsia="Times New Roman"/>
                <w:b/>
                <w:bCs/>
                <w:color w:val="000000"/>
                <w:szCs w:val="17"/>
                <w:lang w:eastAsia="en-US"/>
              </w:rPr>
              <w:t xml:space="preserve">Category </w:t>
            </w:r>
            <w:r w:rsidR="002E0A4C" w:rsidRPr="007B3934">
              <w:rPr>
                <w:rFonts w:eastAsia="Times New Roman"/>
                <w:b/>
                <w:bCs/>
                <w:color w:val="000000"/>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7B3934" w:rsidRDefault="002E0A4C" w:rsidP="002E0A4C">
            <w:pPr>
              <w:spacing w:before="120" w:after="120"/>
              <w:rPr>
                <w:rFonts w:eastAsia="Times New Roman"/>
                <w:bCs/>
                <w:color w:val="000000"/>
                <w:szCs w:val="17"/>
                <w:lang w:eastAsia="en-US"/>
              </w:rPr>
            </w:pPr>
            <w:r w:rsidRPr="007B3934">
              <w:rPr>
                <w:rFonts w:eastAsia="Times New Roman"/>
                <w:b/>
                <w:bCs/>
                <w:color w:val="000000"/>
                <w:szCs w:val="17"/>
                <w:lang w:eastAsia="en-US"/>
              </w:rPr>
              <w:t>Category</w:t>
            </w:r>
            <w:r w:rsidR="008A189B" w:rsidRPr="007B3934">
              <w:rPr>
                <w:rFonts w:eastAsia="Times New Roman"/>
                <w:b/>
                <w:bCs/>
                <w:color w:val="000000"/>
                <w:szCs w:val="17"/>
                <w:lang w:eastAsia="en-US"/>
              </w:rPr>
              <w:t xml:space="preserve"> </w:t>
            </w:r>
            <w:r w:rsidRPr="007B3934">
              <w:rPr>
                <w:rFonts w:eastAsia="Times New Roman"/>
                <w:b/>
                <w:bCs/>
                <w:color w:val="000000"/>
                <w:szCs w:val="17"/>
                <w:lang w:eastAsia="en-US"/>
              </w:rPr>
              <w:t>D</w:t>
            </w:r>
            <w:r w:rsidR="008A189B" w:rsidRPr="007B3934">
              <w:rPr>
                <w:rFonts w:eastAsia="Times New Roman"/>
                <w:b/>
                <w:bCs/>
                <w:color w:val="000000"/>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7B3934" w:rsidRDefault="008A20A9" w:rsidP="005406AB">
            <w:pPr>
              <w:spacing w:before="120" w:after="120"/>
              <w:rPr>
                <w:rFonts w:eastAsia="Times New Roman"/>
                <w:b/>
                <w:bCs/>
                <w:color w:val="000000"/>
                <w:szCs w:val="17"/>
                <w:lang w:eastAsia="en-US"/>
              </w:rPr>
            </w:pPr>
            <w:r w:rsidRPr="007B3934">
              <w:rPr>
                <w:rFonts w:eastAsia="Times New Roman"/>
                <w:b/>
                <w:bCs/>
                <w:color w:val="000000"/>
                <w:szCs w:val="17"/>
                <w:lang w:eastAsia="en-US"/>
              </w:rPr>
              <w:t>Supplementary event data</w:t>
            </w:r>
          </w:p>
        </w:tc>
      </w:tr>
      <w:tr w:rsidR="00E40648" w:rsidRPr="005A4448" w14:paraId="44459E71" w14:textId="77777777" w:rsidTr="005A4448">
        <w:trPr>
          <w:cantSplit/>
          <w:trHeight w:val="556"/>
          <w:tblHeader/>
        </w:trPr>
        <w:tc>
          <w:tcPr>
            <w:tcW w:w="1101" w:type="dxa"/>
            <w:tcBorders>
              <w:top w:val="single" w:sz="4" w:space="0" w:color="auto"/>
              <w:left w:val="single" w:sz="4" w:space="0" w:color="auto"/>
              <w:bottom w:val="single" w:sz="4" w:space="0" w:color="auto"/>
              <w:right w:val="single" w:sz="4" w:space="0" w:color="auto"/>
            </w:tcBorders>
            <w:shd w:val="clear" w:color="auto" w:fill="FFFF00"/>
          </w:tcPr>
          <w:p w14:paraId="7E273B6A" w14:textId="25F83689" w:rsidR="00E40648" w:rsidRPr="005A4448" w:rsidRDefault="00E40648" w:rsidP="00E40648">
            <w:pPr>
              <w:spacing w:before="120" w:after="120"/>
              <w:rPr>
                <w:rFonts w:eastAsia="Times New Roman"/>
                <w:color w:val="000000"/>
                <w:szCs w:val="17"/>
                <w:u w:val="single"/>
                <w:lang w:eastAsia="en-US"/>
              </w:rPr>
            </w:pPr>
            <w:r w:rsidRPr="005A4448">
              <w:rPr>
                <w:rFonts w:eastAsia="Times New Roman"/>
                <w:color w:val="000000"/>
                <w:szCs w:val="17"/>
                <w:u w:val="single"/>
                <w:lang w:eastAsia="en-US"/>
              </w:rPr>
              <w:t>n/a</w:t>
            </w:r>
          </w:p>
        </w:tc>
        <w:tc>
          <w:tcPr>
            <w:tcW w:w="1701" w:type="dxa"/>
            <w:tcBorders>
              <w:top w:val="single" w:sz="4" w:space="0" w:color="auto"/>
              <w:left w:val="nil"/>
              <w:bottom w:val="single" w:sz="4" w:space="0" w:color="auto"/>
              <w:right w:val="single" w:sz="4" w:space="0" w:color="auto"/>
            </w:tcBorders>
            <w:shd w:val="clear" w:color="auto" w:fill="FFFF00"/>
          </w:tcPr>
          <w:p w14:paraId="421F5A07" w14:textId="52ACC0BC" w:rsidR="00E40648" w:rsidRPr="005A4448" w:rsidRDefault="00E40648" w:rsidP="00E40648">
            <w:pPr>
              <w:spacing w:before="120" w:after="200"/>
              <w:rPr>
                <w:rFonts w:eastAsia="Times New Roman"/>
                <w:color w:val="000000"/>
                <w:szCs w:val="17"/>
                <w:u w:val="single"/>
                <w:lang w:eastAsia="en-US"/>
              </w:rPr>
            </w:pPr>
            <w:r w:rsidRPr="005A4448">
              <w:rPr>
                <w:color w:val="000000"/>
                <w:szCs w:val="17"/>
                <w:u w:val="single"/>
              </w:rPr>
              <w:t>All categories</w:t>
            </w:r>
          </w:p>
        </w:tc>
        <w:tc>
          <w:tcPr>
            <w:tcW w:w="3685" w:type="dxa"/>
            <w:tcBorders>
              <w:top w:val="single" w:sz="4" w:space="0" w:color="auto"/>
              <w:left w:val="nil"/>
              <w:bottom w:val="single" w:sz="4" w:space="0" w:color="auto"/>
              <w:right w:val="single" w:sz="4" w:space="0" w:color="auto"/>
            </w:tcBorders>
            <w:shd w:val="clear" w:color="auto" w:fill="FFFF00"/>
          </w:tcPr>
          <w:p w14:paraId="47CD9695" w14:textId="138740A3" w:rsidR="00E40648" w:rsidRPr="005A4448" w:rsidRDefault="00E40648" w:rsidP="00E40648">
            <w:pPr>
              <w:spacing w:before="120" w:after="120"/>
              <w:rPr>
                <w:color w:val="000000"/>
                <w:szCs w:val="17"/>
                <w:u w:val="single"/>
              </w:rPr>
            </w:pPr>
            <w:r w:rsidRPr="005A4448">
              <w:rPr>
                <w:color w:val="000000"/>
                <w:szCs w:val="17"/>
                <w:u w:val="single"/>
              </w:rPr>
              <w:t>This shows common data elements that may be used in any category.</w:t>
            </w:r>
          </w:p>
        </w:tc>
        <w:tc>
          <w:tcPr>
            <w:tcW w:w="2977" w:type="dxa"/>
            <w:tcBorders>
              <w:top w:val="single" w:sz="4" w:space="0" w:color="auto"/>
              <w:left w:val="nil"/>
              <w:bottom w:val="single" w:sz="4" w:space="0" w:color="auto"/>
              <w:right w:val="single" w:sz="4" w:space="0" w:color="auto"/>
            </w:tcBorders>
            <w:shd w:val="clear" w:color="auto" w:fill="FFFF00"/>
          </w:tcPr>
          <w:p w14:paraId="7D12F4BE"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Effective country or region</w:t>
            </w:r>
          </w:p>
          <w:p w14:paraId="5B441881"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Gazette issue number</w:t>
            </w:r>
          </w:p>
          <w:p w14:paraId="5E6CF3E3" w14:textId="77777777" w:rsidR="00E40648" w:rsidRPr="005A4448"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Comment (i.e. free text) </w:t>
            </w:r>
          </w:p>
          <w:p w14:paraId="019FC37A" w14:textId="77777777" w:rsid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5A4448">
              <w:rPr>
                <w:rFonts w:eastAsia="Times New Roman"/>
                <w:color w:val="000000"/>
                <w:szCs w:val="17"/>
                <w:u w:val="single"/>
                <w:lang w:eastAsia="en-US"/>
              </w:rPr>
              <w:t>Prior Relevant Event Date</w:t>
            </w:r>
          </w:p>
          <w:p w14:paraId="3516BC61" w14:textId="6F6144F8" w:rsidR="00E40648" w:rsidRPr="00002641" w:rsidRDefault="00E40648" w:rsidP="003E350F">
            <w:pPr>
              <w:pStyle w:val="ListParagraph"/>
              <w:numPr>
                <w:ilvl w:val="0"/>
                <w:numId w:val="25"/>
              </w:numPr>
              <w:spacing w:before="120" w:after="200"/>
              <w:contextualSpacing w:val="0"/>
              <w:rPr>
                <w:rFonts w:eastAsia="Times New Roman"/>
                <w:color w:val="000000"/>
                <w:szCs w:val="17"/>
                <w:u w:val="single"/>
                <w:lang w:eastAsia="en-US"/>
              </w:rPr>
            </w:pPr>
            <w:r w:rsidRPr="00002641">
              <w:rPr>
                <w:rFonts w:eastAsia="Times New Roman"/>
                <w:color w:val="000000"/>
                <w:szCs w:val="17"/>
                <w:u w:val="single"/>
                <w:lang w:eastAsia="en-US"/>
              </w:rPr>
              <w:t>Relevant Rule (e.g. rule number)</w:t>
            </w:r>
          </w:p>
        </w:tc>
      </w:tr>
      <w:tr w:rsidR="00E40648" w:rsidRPr="007B3934"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1729CFF" w:rsidR="00E40648" w:rsidRPr="007B3934" w:rsidRDefault="00E40648" w:rsidP="00E40648">
            <w:pPr>
              <w:spacing w:before="120" w:after="120"/>
              <w:rPr>
                <w:rFonts w:eastAsia="Times New Roman"/>
                <w:color w:val="000000"/>
                <w:szCs w:val="17"/>
                <w:lang w:eastAsia="en-US"/>
              </w:rPr>
            </w:pPr>
            <w:r w:rsidRPr="007B3934">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or an application for conversion.  </w:t>
            </w:r>
          </w:p>
        </w:tc>
        <w:tc>
          <w:tcPr>
            <w:tcW w:w="2977" w:type="dxa"/>
            <w:tcBorders>
              <w:top w:val="nil"/>
              <w:left w:val="nil"/>
              <w:bottom w:val="single" w:sz="4" w:space="0" w:color="auto"/>
              <w:right w:val="single" w:sz="4" w:space="0" w:color="auto"/>
            </w:tcBorders>
            <w:shd w:val="clear" w:color="auto" w:fill="auto"/>
            <w:hideMark/>
          </w:tcPr>
          <w:p w14:paraId="2D26BC7F" w14:textId="0E1C67A7" w:rsidR="00E40648" w:rsidRPr="005A4448" w:rsidRDefault="00E40648" w:rsidP="003E350F">
            <w:pPr>
              <w:pStyle w:val="ListParagraph"/>
              <w:numPr>
                <w:ilvl w:val="3"/>
                <w:numId w:val="4"/>
              </w:numPr>
              <w:shd w:val="clear" w:color="auto" w:fill="800080"/>
              <w:spacing w:before="120" w:after="200"/>
              <w:ind w:left="330" w:hanging="330"/>
              <w:contextualSpacing w:val="0"/>
              <w:rPr>
                <w:rFonts w:eastAsia="Times New Roman"/>
                <w:strike/>
                <w:color w:val="FFFFFF"/>
                <w:szCs w:val="17"/>
                <w:lang w:eastAsia="en-US"/>
              </w:rPr>
            </w:pPr>
            <w:r w:rsidRPr="005A4448">
              <w:rPr>
                <w:strike/>
                <w:color w:val="FFFFFF"/>
                <w:szCs w:val="17"/>
              </w:rPr>
              <w:t>Effective Country or Region</w:t>
            </w:r>
          </w:p>
          <w:p w14:paraId="7C83199E" w14:textId="76591282"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 xml:space="preserve">Gazette Issue Number, </w:t>
            </w:r>
          </w:p>
          <w:p w14:paraId="1A49798F" w14:textId="664A0B54" w:rsidR="00E40648" w:rsidRPr="005A4448" w:rsidRDefault="00E40648" w:rsidP="003E350F">
            <w:pPr>
              <w:pStyle w:val="ListParagraph"/>
              <w:numPr>
                <w:ilvl w:val="3"/>
                <w:numId w:val="4"/>
              </w:numPr>
              <w:shd w:val="clear" w:color="auto" w:fill="800080"/>
              <w:spacing w:before="120" w:after="200"/>
              <w:ind w:left="330" w:hanging="330"/>
              <w:contextualSpacing w:val="0"/>
              <w:rPr>
                <w:strike/>
                <w:color w:val="FFFFFF"/>
                <w:szCs w:val="17"/>
              </w:rPr>
            </w:pPr>
            <w:r w:rsidRPr="005A4448">
              <w:rPr>
                <w:strike/>
                <w:color w:val="FFFFFF"/>
                <w:szCs w:val="17"/>
              </w:rPr>
              <w:t>Comment (i.e.  free text)</w:t>
            </w:r>
          </w:p>
          <w:p w14:paraId="343119F2" w14:textId="02362784" w:rsidR="00E40648" w:rsidRPr="005A4448" w:rsidRDefault="00E40648" w:rsidP="003E350F">
            <w:pPr>
              <w:pStyle w:val="ListParagraph"/>
              <w:numPr>
                <w:ilvl w:val="0"/>
                <w:numId w:val="26"/>
              </w:numPr>
              <w:spacing w:before="120" w:after="200"/>
              <w:contextualSpacing w:val="0"/>
              <w:rPr>
                <w:szCs w:val="17"/>
                <w:lang w:val="fr-CH"/>
              </w:rPr>
            </w:pPr>
            <w:r w:rsidRPr="005A4448">
              <w:rPr>
                <w:szCs w:val="17"/>
                <w:lang w:val="fr-CH"/>
              </w:rPr>
              <w:t>Related Document Identification (e.g.  parent document ID)</w:t>
            </w:r>
          </w:p>
          <w:p w14:paraId="2753C7A8"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Priority Date</w:t>
            </w:r>
          </w:p>
          <w:p w14:paraId="4FE55192" w14:textId="39B3FC6C" w:rsidR="00E40648" w:rsidRPr="00C605CA" w:rsidRDefault="00E40648" w:rsidP="003E350F">
            <w:pPr>
              <w:pStyle w:val="ListParagraph"/>
              <w:numPr>
                <w:ilvl w:val="0"/>
                <w:numId w:val="26"/>
              </w:numPr>
              <w:spacing w:before="120" w:after="200"/>
              <w:contextualSpacing w:val="0"/>
              <w:rPr>
                <w:szCs w:val="17"/>
              </w:rPr>
            </w:pPr>
            <w:r w:rsidRPr="00C605CA">
              <w:rPr>
                <w:szCs w:val="17"/>
              </w:rPr>
              <w:t>International Application Filing Date</w:t>
            </w:r>
          </w:p>
          <w:p w14:paraId="185DF097"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Regional Filing Date</w:t>
            </w:r>
          </w:p>
          <w:p w14:paraId="42AE9329" w14:textId="77777777" w:rsidR="00E40648" w:rsidRPr="00C605CA" w:rsidRDefault="00E40648" w:rsidP="003E350F">
            <w:pPr>
              <w:pStyle w:val="ListParagraph"/>
              <w:numPr>
                <w:ilvl w:val="0"/>
                <w:numId w:val="26"/>
              </w:numPr>
              <w:spacing w:before="120" w:after="200"/>
              <w:contextualSpacing w:val="0"/>
              <w:rPr>
                <w:szCs w:val="17"/>
              </w:rPr>
            </w:pPr>
            <w:r w:rsidRPr="00C605CA">
              <w:rPr>
                <w:szCs w:val="17"/>
              </w:rPr>
              <w:t>Name of Applicants</w:t>
            </w:r>
          </w:p>
          <w:p w14:paraId="617AFD90" w14:textId="1C998E2A" w:rsidR="00E40648" w:rsidRPr="007B3934" w:rsidRDefault="00E40648" w:rsidP="003E350F">
            <w:pPr>
              <w:pStyle w:val="ListParagraph"/>
              <w:numPr>
                <w:ilvl w:val="0"/>
                <w:numId w:val="26"/>
              </w:numPr>
              <w:spacing w:before="120" w:after="200"/>
              <w:contextualSpacing w:val="0"/>
              <w:rPr>
                <w:rFonts w:eastAsia="Times New Roman"/>
                <w:color w:val="000000"/>
                <w:szCs w:val="17"/>
                <w:lang w:eastAsia="en-US"/>
              </w:rPr>
            </w:pPr>
            <w:r w:rsidRPr="00C605CA">
              <w:rPr>
                <w:szCs w:val="17"/>
              </w:rPr>
              <w:t>Div</w:t>
            </w:r>
            <w:r w:rsidRPr="00631569">
              <w:rPr>
                <w:szCs w:val="17"/>
              </w:rPr>
              <w:t>ided</w:t>
            </w:r>
            <w:r w:rsidRPr="007B3934">
              <w:rPr>
                <w:rFonts w:eastAsia="Times New Roman"/>
                <w:color w:val="000000"/>
                <w:szCs w:val="17"/>
                <w:lang w:eastAsia="en-US"/>
              </w:rPr>
              <w:t xml:space="preserve"> Applications</w:t>
            </w:r>
          </w:p>
        </w:tc>
      </w:tr>
      <w:tr w:rsidR="00E40648" w:rsidRPr="007B3934"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E40648" w:rsidRPr="007B3934" w:rsidRDefault="00E40648" w:rsidP="00E40648">
            <w:pPr>
              <w:spacing w:before="120" w:after="120"/>
              <w:rPr>
                <w:rFonts w:eastAsia="Times New Roman"/>
                <w:color w:val="000000"/>
                <w:szCs w:val="17"/>
                <w:lang w:eastAsia="en-US"/>
              </w:rPr>
            </w:pPr>
            <w:r w:rsidRPr="007B3934">
              <w:rPr>
                <w:rFonts w:eastAsia="Times New Roman"/>
                <w:color w:val="000000"/>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06B24F6B" w:rsidR="00E40648" w:rsidRPr="007B3934" w:rsidRDefault="00E40648" w:rsidP="00E40648">
            <w:pPr>
              <w:spacing w:before="120" w:after="120"/>
              <w:rPr>
                <w:rFonts w:eastAsia="Times New Roman"/>
                <w:color w:val="000000"/>
                <w:szCs w:val="17"/>
                <w:lang w:eastAsia="en-US"/>
              </w:rPr>
            </w:pPr>
            <w:r w:rsidRPr="007B3934">
              <w:rPr>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7024BB1C" w14:textId="0B5F15A2" w:rsidR="00930978" w:rsidRPr="005A4448" w:rsidRDefault="00930978" w:rsidP="003E350F">
            <w:pPr>
              <w:pStyle w:val="ListParagraph"/>
              <w:numPr>
                <w:ilvl w:val="0"/>
                <w:numId w:val="6"/>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p>
          <w:p w14:paraId="1DBDB05C" w14:textId="31038C28" w:rsidR="00E40648" w:rsidRPr="005A4448" w:rsidRDefault="00E40648"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A540D7B" w14:textId="77777777" w:rsidR="00002641" w:rsidRDefault="00002641" w:rsidP="003E350F">
            <w:pPr>
              <w:pStyle w:val="ListParagraph"/>
              <w:numPr>
                <w:ilvl w:val="0"/>
                <w:numId w:val="6"/>
              </w:numPr>
              <w:shd w:val="clear" w:color="auto" w:fill="800080"/>
              <w:spacing w:before="120" w:after="200"/>
              <w:ind w:left="459" w:hanging="425"/>
              <w:contextualSpacing w:val="0"/>
              <w:rPr>
                <w:rFonts w:eastAsia="Times New Roman"/>
                <w:strike/>
                <w:color w:val="FFFFFF"/>
                <w:szCs w:val="17"/>
                <w:lang w:eastAsia="en-US"/>
              </w:rPr>
            </w:pPr>
            <w:r>
              <w:rPr>
                <w:rFonts w:eastAsia="Times New Roman"/>
                <w:strike/>
                <w:color w:val="FFFFFF"/>
                <w:szCs w:val="17"/>
                <w:lang w:eastAsia="en-US"/>
              </w:rPr>
              <w:t>Gazette Issue Number,</w:t>
            </w:r>
          </w:p>
          <w:p w14:paraId="53D1EDC2" w14:textId="602BC5E7" w:rsidR="00E40648" w:rsidRPr="00002641" w:rsidRDefault="00E40648" w:rsidP="00002641">
            <w:pPr>
              <w:shd w:val="clear" w:color="auto" w:fill="800080"/>
              <w:spacing w:before="120" w:after="200"/>
              <w:ind w:left="34"/>
              <w:rPr>
                <w:rFonts w:eastAsia="Times New Roman"/>
                <w:strike/>
                <w:color w:val="FFFFFF"/>
                <w:szCs w:val="17"/>
                <w:lang w:eastAsia="en-US"/>
              </w:rPr>
            </w:pPr>
            <w:r w:rsidRPr="00002641">
              <w:rPr>
                <w:rFonts w:eastAsia="Times New Roman"/>
                <w:strike/>
                <w:color w:val="FFFFFF"/>
                <w:szCs w:val="17"/>
                <w:lang w:eastAsia="en-US"/>
              </w:rPr>
              <w:t>Comment</w:t>
            </w:r>
            <w:r w:rsidRPr="00002641">
              <w:rPr>
                <w:strike/>
                <w:color w:val="FFFFFF"/>
                <w:szCs w:val="17"/>
              </w:rPr>
              <w:t xml:space="preserve"> (i.e.  free text)</w:t>
            </w:r>
          </w:p>
        </w:tc>
      </w:tr>
    </w:tbl>
    <w:p w14:paraId="30D22D62"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414"/>
        <w:gridCol w:w="3972"/>
        <w:gridCol w:w="2977"/>
      </w:tblGrid>
      <w:tr w:rsidR="008A189B" w:rsidRPr="007B3934" w14:paraId="0E7F8EAA" w14:textId="77777777" w:rsidTr="009D524D">
        <w:trPr>
          <w:cantSplit/>
          <w:trHeight w:val="1785"/>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37DAB32" w14:textId="4F209A7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C </w:t>
            </w:r>
          </w:p>
        </w:tc>
        <w:tc>
          <w:tcPr>
            <w:tcW w:w="1414" w:type="dxa"/>
            <w:tcBorders>
              <w:top w:val="single" w:sz="4" w:space="0" w:color="auto"/>
              <w:left w:val="nil"/>
              <w:bottom w:val="single" w:sz="4" w:space="0" w:color="auto"/>
              <w:right w:val="single" w:sz="4" w:space="0" w:color="auto"/>
            </w:tcBorders>
            <w:shd w:val="clear" w:color="auto" w:fill="auto"/>
            <w:hideMark/>
          </w:tcPr>
          <w:p w14:paraId="171D8FBB"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Application revival </w:t>
            </w:r>
          </w:p>
        </w:tc>
        <w:tc>
          <w:tcPr>
            <w:tcW w:w="3972" w:type="dxa"/>
            <w:tcBorders>
              <w:top w:val="single" w:sz="4" w:space="0" w:color="auto"/>
              <w:left w:val="nil"/>
              <w:bottom w:val="single" w:sz="4" w:space="0" w:color="auto"/>
              <w:right w:val="single" w:sz="4" w:space="0" w:color="auto"/>
            </w:tcBorders>
            <w:shd w:val="clear" w:color="auto" w:fill="auto"/>
            <w:hideMark/>
          </w:tcPr>
          <w:p w14:paraId="641FC85B" w14:textId="2F62F503"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26A92A51" w14:textId="0834BEA9" w:rsidR="00B77686" w:rsidRPr="005A4448" w:rsidRDefault="00B77686" w:rsidP="003E350F">
            <w:pPr>
              <w:pStyle w:val="ListParagraph"/>
              <w:numPr>
                <w:ilvl w:val="0"/>
                <w:numId w:val="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14AD56" w14:textId="41EA892A"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777C946" w14:textId="04A4003B" w:rsidR="00B77686" w:rsidRPr="005A4448" w:rsidRDefault="00B77686" w:rsidP="003E350F">
            <w:pPr>
              <w:pStyle w:val="ListParagraph"/>
              <w:numPr>
                <w:ilvl w:val="0"/>
                <w:numId w:val="7"/>
              </w:numPr>
              <w:shd w:val="clear" w:color="auto" w:fill="800080"/>
              <w:spacing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79B45AF" w14:textId="77777777" w:rsidR="00930978" w:rsidRPr="005A4448" w:rsidRDefault="008A189B" w:rsidP="003E350F">
            <w:pPr>
              <w:pStyle w:val="ListParagraph"/>
              <w:numPr>
                <w:ilvl w:val="0"/>
                <w:numId w:val="27"/>
              </w:numPr>
              <w:spacing w:after="200"/>
              <w:ind w:left="459" w:hanging="425"/>
              <w:contextualSpacing w:val="0"/>
              <w:rPr>
                <w:rFonts w:eastAsia="Times New Roman"/>
                <w:color w:val="000000"/>
                <w:szCs w:val="17"/>
                <w:u w:val="single"/>
                <w:lang w:eastAsia="en-US"/>
              </w:rPr>
            </w:pPr>
            <w:r w:rsidRPr="00002641">
              <w:rPr>
                <w:rFonts w:eastAsia="Times New Roman"/>
                <w:color w:val="000000"/>
                <w:szCs w:val="17"/>
                <w:lang w:eastAsia="en-US"/>
              </w:rPr>
              <w:t>Discontinuation</w:t>
            </w:r>
            <w:r w:rsidRPr="007B3934">
              <w:rPr>
                <w:rFonts w:eastAsia="Times New Roman"/>
                <w:color w:val="000000"/>
                <w:szCs w:val="17"/>
                <w:lang w:eastAsia="en-US"/>
              </w:rPr>
              <w:t xml:space="preserve"> Date</w:t>
            </w:r>
          </w:p>
          <w:p w14:paraId="4656F320" w14:textId="77777777" w:rsidR="00930978" w:rsidRPr="005A444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Reason Not In Force </w:t>
            </w:r>
          </w:p>
          <w:p w14:paraId="5B0CA0BE" w14:textId="00DD56C8" w:rsidR="00930978" w:rsidRPr="00930978" w:rsidRDefault="00930978" w:rsidP="003E350F">
            <w:pPr>
              <w:pStyle w:val="ListParagraph"/>
              <w:numPr>
                <w:ilvl w:val="0"/>
                <w:numId w:val="27"/>
              </w:numPr>
              <w:shd w:val="clear" w:color="000000" w:fill="FFFF00"/>
              <w:spacing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Prior Use Rights Indicator</w:t>
            </w:r>
          </w:p>
        </w:tc>
      </w:tr>
      <w:tr w:rsidR="008A189B" w:rsidRPr="007B3934" w14:paraId="7972D943" w14:textId="77777777" w:rsidTr="002C095D">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 </w:t>
            </w:r>
          </w:p>
        </w:tc>
        <w:tc>
          <w:tcPr>
            <w:tcW w:w="1414" w:type="dxa"/>
            <w:tcBorders>
              <w:top w:val="nil"/>
              <w:left w:val="nil"/>
              <w:bottom w:val="single" w:sz="4" w:space="0" w:color="auto"/>
              <w:right w:val="single" w:sz="4" w:space="0" w:color="auto"/>
            </w:tcBorders>
            <w:shd w:val="clear" w:color="auto" w:fill="auto"/>
            <w:hideMark/>
          </w:tcPr>
          <w:p w14:paraId="23A15AD5" w14:textId="76CCB9B7" w:rsidR="008A189B" w:rsidRPr="007B3934" w:rsidRDefault="008A189B" w:rsidP="00E92429">
            <w:pPr>
              <w:spacing w:before="120" w:after="120"/>
              <w:rPr>
                <w:rFonts w:eastAsia="Times New Roman"/>
                <w:color w:val="000000"/>
                <w:szCs w:val="17"/>
                <w:lang w:eastAsia="en-US"/>
              </w:rPr>
            </w:pPr>
            <w:r w:rsidRPr="007B3934">
              <w:rPr>
                <w:rFonts w:eastAsia="Times New Roman"/>
                <w:color w:val="000000"/>
                <w:szCs w:val="17"/>
                <w:lang w:eastAsia="en-US"/>
              </w:rPr>
              <w:t xml:space="preserve">Search and examination </w:t>
            </w:r>
          </w:p>
        </w:tc>
        <w:tc>
          <w:tcPr>
            <w:tcW w:w="3972" w:type="dxa"/>
            <w:tcBorders>
              <w:top w:val="nil"/>
              <w:left w:val="nil"/>
              <w:bottom w:val="single" w:sz="4" w:space="0" w:color="auto"/>
              <w:right w:val="single" w:sz="4" w:space="0" w:color="auto"/>
            </w:tcBorders>
            <w:shd w:val="clear" w:color="auto" w:fill="auto"/>
            <w:hideMark/>
          </w:tcPr>
          <w:p w14:paraId="00265D26" w14:textId="06E71389" w:rsidR="008A189B" w:rsidRPr="007B3934" w:rsidRDefault="00582DA8" w:rsidP="003D2665">
            <w:pPr>
              <w:spacing w:before="120" w:after="120"/>
              <w:rPr>
                <w:rFonts w:eastAsia="Times New Roman"/>
                <w:color w:val="000000"/>
                <w:szCs w:val="17"/>
                <w:lang w:eastAsia="en-US"/>
              </w:rPr>
            </w:pPr>
            <w:r w:rsidRPr="007B3934">
              <w:rPr>
                <w:szCs w:val="17"/>
              </w:rPr>
              <w:t>This category is a group of events related to the examination proceeding and prior art searches</w:t>
            </w:r>
            <w:r w:rsidR="00E1334F" w:rsidRPr="007B3934">
              <w:rPr>
                <w:szCs w:val="17"/>
              </w:rPr>
              <w:t xml:space="preserve"> that occur before registration of an industrial design</w:t>
            </w:r>
            <w:r w:rsidR="003D2665" w:rsidRPr="007B3934">
              <w:rPr>
                <w:szCs w:val="17"/>
              </w:rPr>
              <w:t xml:space="preserve"> and/or the grant of an IP right</w:t>
            </w:r>
            <w:r w:rsidRPr="007B3934">
              <w:rPr>
                <w:szCs w:val="17"/>
              </w:rPr>
              <w: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4EC73B54"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F3A7259" w14:textId="05EDF9C3"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307693A4" w14:textId="1FE9BDA2" w:rsidR="00B77686" w:rsidRPr="005A4448" w:rsidRDefault="00B77686" w:rsidP="003E350F">
            <w:pPr>
              <w:pStyle w:val="ListParagraph"/>
              <w:numPr>
                <w:ilvl w:val="0"/>
                <w:numId w:val="8"/>
              </w:numPr>
              <w:shd w:val="clear" w:color="auto" w:fill="800080"/>
              <w:spacing w:before="120" w:after="200"/>
              <w:ind w:left="420"/>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6A70B08" w14:textId="033F12B3"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Search Category </w:t>
            </w:r>
            <w:r w:rsidRPr="005A4448">
              <w:rPr>
                <w:rFonts w:eastAsia="Times New Roman"/>
                <w:strike/>
                <w:color w:val="FFFFFF"/>
                <w:szCs w:val="17"/>
                <w:shd w:val="clear" w:color="auto" w:fill="800080"/>
                <w:lang w:eastAsia="en-US"/>
              </w:rPr>
              <w:t xml:space="preserve">(e.g. </w:t>
            </w:r>
            <w:r w:rsidR="00FF07F6" w:rsidRPr="005A4448">
              <w:rPr>
                <w:rFonts w:eastAsia="Times New Roman"/>
                <w:strike/>
                <w:color w:val="FFFFFF"/>
                <w:szCs w:val="17"/>
                <w:shd w:val="clear" w:color="auto" w:fill="800080"/>
                <w:lang w:eastAsia="en-US"/>
              </w:rPr>
              <w:t xml:space="preserve"> </w:t>
            </w:r>
            <w:r w:rsidRPr="005A4448">
              <w:rPr>
                <w:rFonts w:eastAsia="Times New Roman"/>
                <w:strike/>
                <w:color w:val="FFFFFF"/>
                <w:szCs w:val="17"/>
                <w:shd w:val="clear" w:color="auto" w:fill="800080"/>
                <w:lang w:eastAsia="en-US"/>
              </w:rPr>
              <w:t>first, further invention, additional search due to shift in scope of claims)</w:t>
            </w:r>
          </w:p>
          <w:p w14:paraId="2DB14840" w14:textId="00415FC6" w:rsidR="008A189B" w:rsidRPr="007B3934" w:rsidRDefault="008A189B" w:rsidP="003E350F">
            <w:pPr>
              <w:pStyle w:val="ListParagraph"/>
              <w:numPr>
                <w:ilvl w:val="0"/>
                <w:numId w:val="28"/>
              </w:numPr>
              <w:spacing w:before="120" w:after="200"/>
              <w:ind w:left="420"/>
              <w:contextualSpacing w:val="0"/>
              <w:rPr>
                <w:rFonts w:eastAsia="Times New Roman"/>
                <w:color w:val="000000"/>
                <w:szCs w:val="17"/>
                <w:lang w:eastAsia="en-US"/>
              </w:rPr>
            </w:pPr>
            <w:r w:rsidRPr="007B3934">
              <w:rPr>
                <w:rFonts w:eastAsia="Times New Roman"/>
                <w:color w:val="000000"/>
                <w:szCs w:val="17"/>
                <w:lang w:eastAsia="en-US"/>
              </w:rPr>
              <w:t xml:space="preserve">Requester of Search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61A3F51E" w14:textId="77777777" w:rsidR="008A189B" w:rsidRPr="005A4448" w:rsidRDefault="008A189B" w:rsidP="003E350F">
            <w:pPr>
              <w:pStyle w:val="ListParagraph"/>
              <w:numPr>
                <w:ilvl w:val="0"/>
                <w:numId w:val="28"/>
              </w:numPr>
              <w:spacing w:before="120" w:after="200"/>
              <w:ind w:left="420"/>
              <w:contextualSpacing w:val="0"/>
              <w:rPr>
                <w:rFonts w:eastAsia="Times New Roman"/>
                <w:color w:val="000000"/>
                <w:szCs w:val="17"/>
                <w:u w:val="single"/>
                <w:lang w:eastAsia="en-US"/>
              </w:rPr>
            </w:pPr>
            <w:r w:rsidRPr="007B3934">
              <w:rPr>
                <w:rFonts w:eastAsia="Times New Roman"/>
                <w:color w:val="000000"/>
                <w:szCs w:val="17"/>
                <w:lang w:eastAsia="en-US"/>
              </w:rPr>
              <w:t xml:space="preserve">Requester of Examination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applicant, third party, or independently by the IPO)</w:t>
            </w:r>
          </w:p>
          <w:p w14:paraId="0B77F0E7"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Publication Data</w:t>
            </w:r>
          </w:p>
          <w:p w14:paraId="13617496"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Priority Data</w:t>
            </w:r>
          </w:p>
          <w:p w14:paraId="1CC2477B" w14:textId="77777777" w:rsidR="00531623" w:rsidRPr="005A4448"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u w:val="single"/>
                <w:lang w:eastAsia="en-US"/>
              </w:rPr>
            </w:pPr>
            <w:r w:rsidRPr="005A4448">
              <w:rPr>
                <w:rFonts w:eastAsia="Times New Roman"/>
                <w:color w:val="000000"/>
                <w:szCs w:val="17"/>
                <w:u w:val="single"/>
                <w:lang w:eastAsia="en-US"/>
              </w:rPr>
              <w:t>Related Documents Data (e.g. regional filing data, international filing data)</w:t>
            </w:r>
          </w:p>
          <w:p w14:paraId="3DD041A3" w14:textId="643CFADF" w:rsidR="00531623" w:rsidRPr="007B3934" w:rsidRDefault="00531623" w:rsidP="003E350F">
            <w:pPr>
              <w:pStyle w:val="ListParagraph"/>
              <w:numPr>
                <w:ilvl w:val="0"/>
                <w:numId w:val="28"/>
              </w:numPr>
              <w:shd w:val="clear" w:color="auto" w:fill="FFFF00"/>
              <w:spacing w:before="120" w:after="200"/>
              <w:ind w:left="420"/>
              <w:contextualSpacing w:val="0"/>
              <w:rPr>
                <w:rFonts w:eastAsia="Times New Roman"/>
                <w:color w:val="000000"/>
                <w:szCs w:val="17"/>
                <w:lang w:eastAsia="en-US"/>
              </w:rPr>
            </w:pPr>
            <w:r w:rsidRPr="005A4448">
              <w:rPr>
                <w:rFonts w:eastAsia="Times New Roman"/>
                <w:color w:val="000000"/>
                <w:szCs w:val="17"/>
                <w:u w:val="single"/>
                <w:lang w:eastAsia="en-US"/>
              </w:rPr>
              <w:t>Applicant Data</w:t>
            </w:r>
          </w:p>
        </w:tc>
      </w:tr>
      <w:tr w:rsidR="008A189B" w:rsidRPr="007B3934" w14:paraId="59C81ED8" w14:textId="77777777" w:rsidTr="002C095D">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83E61C2" w14:textId="45B527CE" w:rsidR="008A189B" w:rsidRPr="007B3934" w:rsidRDefault="001D3089" w:rsidP="002E0A4C">
            <w:pPr>
              <w:spacing w:before="120" w:after="120"/>
              <w:rPr>
                <w:rFonts w:eastAsia="Times New Roman"/>
                <w:color w:val="000000"/>
                <w:szCs w:val="17"/>
                <w:lang w:eastAsia="en-US"/>
              </w:rPr>
            </w:pPr>
            <w:r w:rsidRPr="007B3934">
              <w:rPr>
                <w:rFonts w:eastAsia="Times New Roman"/>
                <w:color w:val="000000"/>
                <w:szCs w:val="17"/>
                <w:lang w:eastAsia="en-US"/>
              </w:rPr>
              <w:t>Pre-registration</w:t>
            </w:r>
            <w:r w:rsidR="008A189B" w:rsidRPr="007B3934">
              <w:rPr>
                <w:rFonts w:eastAsia="Times New Roman"/>
                <w:color w:val="000000"/>
                <w:szCs w:val="17"/>
                <w:lang w:eastAsia="en-US"/>
              </w:rPr>
              <w:t xml:space="preserve"> review request </w:t>
            </w:r>
          </w:p>
        </w:tc>
        <w:tc>
          <w:tcPr>
            <w:tcW w:w="3972" w:type="dxa"/>
            <w:tcBorders>
              <w:top w:val="nil"/>
              <w:left w:val="nil"/>
              <w:bottom w:val="single" w:sz="4" w:space="0" w:color="auto"/>
              <w:right w:val="single" w:sz="4" w:space="0" w:color="auto"/>
            </w:tcBorders>
            <w:shd w:val="clear" w:color="auto" w:fill="auto"/>
            <w:hideMark/>
          </w:tcPr>
          <w:p w14:paraId="7BB5CEC5" w14:textId="3BC1B8DB"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123654E7" w14:textId="2029D4D1"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693CEA4" w14:textId="52DFD2D2"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D96991F" w14:textId="17434E5E" w:rsidR="00B77686" w:rsidRPr="005A4448" w:rsidRDefault="00B77686" w:rsidP="003E350F">
            <w:pPr>
              <w:pStyle w:val="ListParagraph"/>
              <w:numPr>
                <w:ilvl w:val="0"/>
                <w:numId w:val="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4CA9F9B1" w14:textId="5308F4F3" w:rsidR="008A189B" w:rsidRPr="007B3934" w:rsidRDefault="008A189B"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Details of Court/Tribunal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name of court, tribunal, IPO body) </w:t>
            </w:r>
          </w:p>
          <w:p w14:paraId="474E07B7" w14:textId="77777777" w:rsidR="008A189B" w:rsidRPr="007B3934" w:rsidRDefault="001B2ED0" w:rsidP="003E350F">
            <w:pPr>
              <w:pStyle w:val="ListParagraph"/>
              <w:numPr>
                <w:ilvl w:val="0"/>
                <w:numId w:val="2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 </w:t>
            </w:r>
          </w:p>
          <w:p w14:paraId="50DEC7B1" w14:textId="77777777" w:rsidR="00531623" w:rsidRPr="005A4448" w:rsidRDefault="008A189B" w:rsidP="003E350F">
            <w:pPr>
              <w:pStyle w:val="ListParagraph"/>
              <w:numPr>
                <w:ilvl w:val="0"/>
                <w:numId w:val="29"/>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br w:type="page"/>
              <w:t xml:space="preserve">Representative's Name(s) &amp; Contact Details </w:t>
            </w:r>
            <w:r w:rsidRPr="007B3934">
              <w:rPr>
                <w:rFonts w:eastAsia="Times New Roman"/>
                <w:color w:val="000000"/>
                <w:szCs w:val="17"/>
                <w:lang w:eastAsia="en-US"/>
              </w:rPr>
              <w:br w:type="page"/>
            </w:r>
          </w:p>
          <w:p w14:paraId="45D0AF0D" w14:textId="7EF9D149" w:rsidR="00531623" w:rsidRPr="005A4448" w:rsidRDefault="00531623" w:rsidP="003E350F">
            <w:pPr>
              <w:pStyle w:val="ListParagraph"/>
              <w:numPr>
                <w:ilvl w:val="0"/>
                <w:numId w:val="29"/>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Review Procedure Data (e.g. opposition date, reference, language)</w:t>
            </w:r>
          </w:p>
          <w:p w14:paraId="41A45E72" w14:textId="47824386" w:rsidR="00531623" w:rsidRPr="00531623" w:rsidRDefault="00531623" w:rsidP="00531623">
            <w:pPr>
              <w:spacing w:before="120" w:after="200"/>
              <w:rPr>
                <w:rFonts w:eastAsia="Times New Roman"/>
                <w:color w:val="000000"/>
                <w:szCs w:val="17"/>
                <w:lang w:eastAsia="en-US"/>
              </w:rPr>
            </w:pPr>
          </w:p>
        </w:tc>
      </w:tr>
    </w:tbl>
    <w:p w14:paraId="3EC9F904"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55AC4F9" w14:textId="77777777" w:rsidTr="009D524D">
        <w:trPr>
          <w:cantSplit/>
          <w:trHeight w:val="153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D541FBB" w14:textId="675B90A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F </w:t>
            </w:r>
          </w:p>
        </w:tc>
        <w:tc>
          <w:tcPr>
            <w:tcW w:w="1701" w:type="dxa"/>
            <w:tcBorders>
              <w:top w:val="single" w:sz="4" w:space="0" w:color="auto"/>
              <w:left w:val="nil"/>
              <w:bottom w:val="single" w:sz="4" w:space="0" w:color="auto"/>
              <w:right w:val="single" w:sz="4" w:space="0" w:color="auto"/>
            </w:tcBorders>
            <w:shd w:val="clear" w:color="auto" w:fill="auto"/>
            <w:hideMark/>
          </w:tcPr>
          <w:p w14:paraId="4F522BEA" w14:textId="571A1EAC" w:rsidR="008A189B" w:rsidRPr="007B3934" w:rsidRDefault="00163D92" w:rsidP="002E0A4C">
            <w:pPr>
              <w:spacing w:before="120" w:after="120"/>
              <w:rPr>
                <w:rFonts w:eastAsia="Times New Roman"/>
                <w:color w:val="000000"/>
                <w:szCs w:val="17"/>
                <w:lang w:eastAsia="en-US"/>
              </w:rPr>
            </w:pPr>
            <w:r w:rsidRPr="00163D92">
              <w:rPr>
                <w:rFonts w:eastAsia="Times New Roman"/>
                <w:color w:val="000000"/>
                <w:szCs w:val="17"/>
                <w:lang w:eastAsia="en-US"/>
              </w:rPr>
              <w:t>Industrial design registration</w:t>
            </w:r>
            <w:r w:rsidRPr="00163D92" w:rsidDel="00163D92">
              <w:rPr>
                <w:rFonts w:eastAsia="Times New Roman"/>
                <w:color w:val="000000"/>
                <w:szCs w:val="17"/>
                <w:lang w:eastAsia="en-US"/>
              </w:rPr>
              <w:t xml:space="preserve"> </w:t>
            </w:r>
          </w:p>
        </w:tc>
        <w:tc>
          <w:tcPr>
            <w:tcW w:w="3685" w:type="dxa"/>
            <w:tcBorders>
              <w:top w:val="single" w:sz="4" w:space="0" w:color="auto"/>
              <w:left w:val="nil"/>
              <w:bottom w:val="single" w:sz="4" w:space="0" w:color="auto"/>
              <w:right w:val="single" w:sz="4" w:space="0" w:color="auto"/>
            </w:tcBorders>
            <w:shd w:val="clear" w:color="auto" w:fill="auto"/>
            <w:hideMark/>
          </w:tcPr>
          <w:p w14:paraId="1E6B87E7" w14:textId="467222BE" w:rsidR="008A189B" w:rsidRPr="007B3934" w:rsidRDefault="00582DA8" w:rsidP="000D3D9A">
            <w:pPr>
              <w:spacing w:before="120" w:after="120"/>
              <w:rPr>
                <w:rFonts w:eastAsia="Times New Roman"/>
                <w:color w:val="000000"/>
                <w:szCs w:val="17"/>
                <w:lang w:eastAsia="en-US"/>
              </w:rPr>
            </w:pPr>
            <w:r w:rsidRPr="007B3934">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046E312" w14:textId="58B6D813"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CCD83B0" w14:textId="10ACB412"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D4CA6F9" w14:textId="032E7971" w:rsidR="00B77686" w:rsidRPr="005A4448" w:rsidRDefault="00B77686" w:rsidP="003E350F">
            <w:pPr>
              <w:pStyle w:val="ListParagraph"/>
              <w:numPr>
                <w:ilvl w:val="0"/>
                <w:numId w:val="10"/>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24C4B9AF" w14:textId="77777777" w:rsidR="008A189B" w:rsidRPr="007B3934"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Name of Registered Owner</w:t>
            </w:r>
          </w:p>
          <w:p w14:paraId="14B07B1D" w14:textId="77777777" w:rsidR="002C095D" w:rsidRDefault="008A189B"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Reference to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 Decision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court or tribunal order following </w:t>
            </w:r>
            <w:r w:rsidR="001D3089" w:rsidRPr="007B3934">
              <w:rPr>
                <w:rFonts w:eastAsia="Times New Roman"/>
                <w:color w:val="000000"/>
                <w:szCs w:val="17"/>
                <w:lang w:eastAsia="en-US"/>
              </w:rPr>
              <w:t>pre-registration</w:t>
            </w:r>
            <w:r w:rsidRPr="007B3934">
              <w:rPr>
                <w:rFonts w:eastAsia="Times New Roman"/>
                <w:color w:val="000000"/>
                <w:szCs w:val="17"/>
                <w:lang w:eastAsia="en-US"/>
              </w:rPr>
              <w:t xml:space="preserve"> review)</w:t>
            </w:r>
          </w:p>
          <w:p w14:paraId="6225F5FD" w14:textId="60255EBE" w:rsidR="0025039A" w:rsidRPr="002C095D" w:rsidRDefault="0025039A" w:rsidP="003E350F">
            <w:pPr>
              <w:pStyle w:val="ListParagraph"/>
              <w:numPr>
                <w:ilvl w:val="0"/>
                <w:numId w:val="30"/>
              </w:numPr>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shd w:val="clear" w:color="auto" w:fill="FFFF00"/>
                <w:lang w:eastAsia="en-US"/>
              </w:rPr>
              <w:t>Priority Data</w:t>
            </w:r>
          </w:p>
        </w:tc>
      </w:tr>
      <w:tr w:rsidR="008A189B" w:rsidRPr="007B3934"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7DBCC21A" w:rsidR="008A189B" w:rsidRPr="007B3934" w:rsidRDefault="00582DA8" w:rsidP="0000695D">
            <w:pPr>
              <w:spacing w:before="120" w:after="120"/>
              <w:rPr>
                <w:szCs w:val="17"/>
              </w:rPr>
            </w:pPr>
            <w:r w:rsidRPr="007B3934">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nil"/>
              <w:left w:val="nil"/>
              <w:bottom w:val="single" w:sz="4" w:space="0" w:color="auto"/>
              <w:right w:val="single" w:sz="4" w:space="0" w:color="auto"/>
            </w:tcBorders>
            <w:shd w:val="clear" w:color="auto" w:fill="auto"/>
            <w:hideMark/>
          </w:tcPr>
          <w:p w14:paraId="2685473A" w14:textId="7EF7E8B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1078365" w14:textId="29A39B81"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7387379E" w14:textId="6B7AA5E7" w:rsidR="00B77686" w:rsidRPr="005A4448" w:rsidRDefault="00B77686" w:rsidP="003E350F">
            <w:pPr>
              <w:pStyle w:val="ListParagraph"/>
              <w:numPr>
                <w:ilvl w:val="0"/>
                <w:numId w:val="1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2EB6149" w14:textId="4545623D" w:rsidR="008A189B" w:rsidRPr="005A4448" w:rsidRDefault="0025039A" w:rsidP="003E350F">
            <w:pPr>
              <w:pStyle w:val="ListParagraph"/>
              <w:numPr>
                <w:ilvl w:val="0"/>
                <w:numId w:val="31"/>
              </w:numPr>
              <w:shd w:val="clear" w:color="auto" w:fill="FFFF00"/>
              <w:spacing w:before="120" w:after="200"/>
              <w:ind w:left="459" w:hanging="425"/>
              <w:contextualSpacing w:val="0"/>
              <w:rPr>
                <w:rFonts w:eastAsia="Times New Roman"/>
                <w:i/>
                <w:color w:val="000000"/>
                <w:szCs w:val="17"/>
                <w:lang w:eastAsia="en-US"/>
              </w:rPr>
            </w:pPr>
            <w:r w:rsidRPr="005A4448">
              <w:rPr>
                <w:rFonts w:eastAsia="Times New Roman"/>
                <w:color w:val="000000"/>
                <w:szCs w:val="17"/>
                <w:u w:val="single"/>
                <w:shd w:val="clear" w:color="auto" w:fill="FFFF00"/>
                <w:lang w:eastAsia="en-US"/>
              </w:rPr>
              <w:t>Legal</w:t>
            </w:r>
            <w:r w:rsidRPr="005A4448">
              <w:rPr>
                <w:rFonts w:eastAsia="Times New Roman"/>
                <w:i/>
                <w:color w:val="000000"/>
                <w:szCs w:val="17"/>
                <w:u w:val="single"/>
                <w:shd w:val="clear" w:color="auto" w:fill="FFFF00"/>
                <w:lang w:eastAsia="en-US"/>
              </w:rPr>
              <w:t xml:space="preserve"> Effect Start Time</w:t>
            </w:r>
            <w:r w:rsidR="008A189B" w:rsidRPr="005A4448">
              <w:rPr>
                <w:rFonts w:eastAsia="Times New Roman"/>
                <w:i/>
                <w:strike/>
                <w:color w:val="FFFFFF"/>
                <w:szCs w:val="17"/>
                <w:shd w:val="clear" w:color="auto" w:fill="800080"/>
                <w:lang w:eastAsia="en-US"/>
              </w:rPr>
              <w:t>Ex tunc</w:t>
            </w:r>
            <w:r w:rsidR="008A189B" w:rsidRPr="005A4448">
              <w:rPr>
                <w:rFonts w:eastAsia="Times New Roman"/>
                <w:strike/>
                <w:color w:val="FFFFFF"/>
                <w:szCs w:val="17"/>
                <w:shd w:val="clear" w:color="auto" w:fill="800080"/>
                <w:lang w:eastAsia="en-US"/>
              </w:rPr>
              <w:t xml:space="preserve"> or </w:t>
            </w:r>
            <w:r w:rsidR="008A189B" w:rsidRPr="005A4448">
              <w:rPr>
                <w:rFonts w:eastAsia="Times New Roman"/>
                <w:i/>
                <w:strike/>
                <w:color w:val="FFFFFF"/>
                <w:szCs w:val="17"/>
                <w:shd w:val="clear" w:color="auto" w:fill="800080"/>
                <w:lang w:eastAsia="en-US"/>
              </w:rPr>
              <w:t>Ex nunc</w:t>
            </w:r>
            <w:r w:rsidR="008A189B" w:rsidRPr="005A4448">
              <w:rPr>
                <w:rFonts w:eastAsia="Times New Roman"/>
                <w:strike/>
                <w:color w:val="FFFFFF"/>
                <w:szCs w:val="17"/>
                <w:shd w:val="clear" w:color="auto" w:fill="800080"/>
                <w:lang w:eastAsia="en-US"/>
              </w:rPr>
              <w:t xml:space="preserve"> Indicator</w:t>
            </w:r>
          </w:p>
          <w:p w14:paraId="3EF03E4C" w14:textId="77777777" w:rsidR="008A189B" w:rsidRPr="005A4448" w:rsidRDefault="008A189B" w:rsidP="003E350F">
            <w:pPr>
              <w:pStyle w:val="ListParagraph"/>
              <w:numPr>
                <w:ilvl w:val="0"/>
                <w:numId w:val="31"/>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Decision Authority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national court, tribunal, IPO)</w:t>
            </w:r>
          </w:p>
          <w:p w14:paraId="7821E8E1" w14:textId="5CF6BB83" w:rsidR="002C095D" w:rsidRPr="007B3934" w:rsidRDefault="002C095D" w:rsidP="003E350F">
            <w:pPr>
              <w:pStyle w:val="ListParagraph"/>
              <w:numPr>
                <w:ilvl w:val="0"/>
                <w:numId w:val="31"/>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Reason Not In Force</w:t>
            </w:r>
          </w:p>
        </w:tc>
      </w:tr>
      <w:tr w:rsidR="008A189B" w:rsidRPr="007B3934" w14:paraId="68C570BE" w14:textId="77777777" w:rsidTr="00C41686">
        <w:trPr>
          <w:cantSplit/>
          <w:trHeight w:val="268"/>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IP right re</w:t>
            </w:r>
            <w:r w:rsidR="00FE1BFA" w:rsidRPr="007B3934">
              <w:rPr>
                <w:rFonts w:eastAsia="Times New Roman"/>
                <w:color w:val="000000"/>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3B6B7960"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A03F968" w14:textId="5C68A80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843D160" w14:textId="0086EF30"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CB4E0D3" w14:textId="75D6BC57" w:rsidR="00B77686" w:rsidRPr="005A4448" w:rsidRDefault="00B77686" w:rsidP="003E350F">
            <w:pPr>
              <w:pStyle w:val="ListParagraph"/>
              <w:numPr>
                <w:ilvl w:val="0"/>
                <w:numId w:val="1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7CBA7D3" w14:textId="69901DE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Reinstatement Reason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following payment of fee)</w:t>
            </w:r>
          </w:p>
          <w:p w14:paraId="762BABB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Cessation Date</w:t>
            </w:r>
          </w:p>
          <w:p w14:paraId="30813B1C" w14:textId="77777777" w:rsidR="008A189B" w:rsidRPr="007B3934" w:rsidRDefault="008A189B" w:rsidP="003E350F">
            <w:pPr>
              <w:pStyle w:val="ListParagraph"/>
              <w:numPr>
                <w:ilvl w:val="0"/>
                <w:numId w:val="32"/>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Expiry Date</w:t>
            </w:r>
          </w:p>
        </w:tc>
      </w:tr>
      <w:tr w:rsidR="008A189B" w:rsidRPr="007B3934" w14:paraId="7363EDB1" w14:textId="77777777" w:rsidTr="009D524D">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19A913B6" w:rsidR="008A189B" w:rsidRPr="007B3934" w:rsidRDefault="00582DA8" w:rsidP="00E21ADA">
            <w:pPr>
              <w:spacing w:before="120" w:after="120"/>
              <w:rPr>
                <w:rFonts w:eastAsia="Times New Roman"/>
                <w:color w:val="000000"/>
                <w:szCs w:val="17"/>
                <w:lang w:eastAsia="en-US"/>
              </w:rPr>
            </w:pPr>
            <w:r w:rsidRPr="007B3934">
              <w:rPr>
                <w:szCs w:val="17"/>
              </w:rPr>
              <w:t xml:space="preserve">This category is a group of events related to a request for a review </w:t>
            </w:r>
            <w:r w:rsidR="0034737C" w:rsidRPr="007B3934">
              <w:rPr>
                <w:szCs w:val="17"/>
              </w:rPr>
              <w:t>after registration of an industrial design and/or the grant of an IP right</w:t>
            </w:r>
            <w:r w:rsidRPr="007B3934">
              <w:rPr>
                <w:szCs w:val="17"/>
              </w:rPr>
              <w:t xml:space="preserve">.  It includes, for example, a request for a post-registration opposition, </w:t>
            </w:r>
            <w:r w:rsidR="0034737C" w:rsidRPr="007B3934">
              <w:rPr>
                <w:szCs w:val="17"/>
              </w:rPr>
              <w:t xml:space="preserve">post-registration </w:t>
            </w:r>
            <w:r w:rsidRPr="007B3934">
              <w:rPr>
                <w:szCs w:val="17"/>
              </w:rPr>
              <w:t>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0FF4666C" w14:textId="23EE1D1D"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4CF17879" w14:textId="204CB8C2"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4FAB4FF" w14:textId="730B1EA7" w:rsidR="00B77686" w:rsidRPr="005A4448" w:rsidRDefault="00B77686" w:rsidP="003E350F">
            <w:pPr>
              <w:pStyle w:val="ListParagraph"/>
              <w:numPr>
                <w:ilvl w:val="0"/>
                <w:numId w:val="13"/>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022F341" w14:textId="77777777" w:rsidR="008A189B" w:rsidRPr="007B3934" w:rsidRDefault="001B2ED0" w:rsidP="003E350F">
            <w:pPr>
              <w:pStyle w:val="ListParagraph"/>
              <w:numPr>
                <w:ilvl w:val="0"/>
                <w:numId w:val="33"/>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Party</w:t>
            </w:r>
            <w:r w:rsidR="008A189B" w:rsidRPr="007B3934">
              <w:rPr>
                <w:rFonts w:eastAsia="Times New Roman"/>
                <w:color w:val="000000"/>
                <w:szCs w:val="17"/>
                <w:lang w:eastAsia="en-US"/>
              </w:rPr>
              <w:t xml:space="preserve"> Name(s)</w:t>
            </w:r>
            <w:r w:rsidR="008A189B" w:rsidRPr="007B3934">
              <w:rPr>
                <w:rFonts w:eastAsia="Times New Roman"/>
                <w:color w:val="000000"/>
                <w:szCs w:val="17"/>
                <w:lang w:eastAsia="en-US"/>
              </w:rPr>
              <w:br w:type="page"/>
              <w:t xml:space="preserve"> </w:t>
            </w:r>
          </w:p>
          <w:p w14:paraId="7704CCBF" w14:textId="77777777" w:rsidR="008A189B" w:rsidRPr="005A4448" w:rsidRDefault="008A189B" w:rsidP="003E350F">
            <w:pPr>
              <w:pStyle w:val="ListParagraph"/>
              <w:numPr>
                <w:ilvl w:val="0"/>
                <w:numId w:val="33"/>
              </w:numPr>
              <w:spacing w:before="120" w:after="200"/>
              <w:ind w:left="459" w:hanging="425"/>
              <w:contextualSpacing w:val="0"/>
              <w:rPr>
                <w:rFonts w:eastAsia="Times New Roman"/>
                <w:color w:val="000000"/>
                <w:szCs w:val="17"/>
                <w:u w:val="single"/>
                <w:lang w:eastAsia="en-US"/>
              </w:rPr>
            </w:pPr>
            <w:r w:rsidRPr="007B3934">
              <w:rPr>
                <w:rFonts w:eastAsia="Times New Roman"/>
                <w:color w:val="000000"/>
                <w:szCs w:val="17"/>
                <w:lang w:eastAsia="en-US"/>
              </w:rPr>
              <w:t xml:space="preserve">Representative's Name(s) &amp; Contact Details </w:t>
            </w:r>
          </w:p>
          <w:p w14:paraId="6474E437" w14:textId="15E4B00B" w:rsidR="00D277C9" w:rsidRPr="007B3934" w:rsidRDefault="00D277C9" w:rsidP="003E350F">
            <w:pPr>
              <w:pStyle w:val="ListParagraph"/>
              <w:numPr>
                <w:ilvl w:val="0"/>
                <w:numId w:val="33"/>
              </w:numPr>
              <w:shd w:val="clear" w:color="auto" w:fill="FFFF00"/>
              <w:spacing w:before="120" w:after="200"/>
              <w:ind w:left="459" w:hanging="425"/>
              <w:contextualSpacing w:val="0"/>
              <w:rPr>
                <w:rFonts w:eastAsia="Times New Roman"/>
                <w:color w:val="000000"/>
                <w:szCs w:val="17"/>
                <w:lang w:eastAsia="en-US"/>
              </w:rPr>
            </w:pPr>
            <w:r w:rsidRPr="005A4448">
              <w:rPr>
                <w:rFonts w:eastAsia="Times New Roman"/>
                <w:color w:val="000000"/>
                <w:szCs w:val="17"/>
                <w:u w:val="single"/>
                <w:lang w:eastAsia="en-US"/>
              </w:rPr>
              <w:t>Review Procedure Details (e.g. opposition date, reference, language)</w:t>
            </w:r>
          </w:p>
        </w:tc>
      </w:tr>
      <w:tr w:rsidR="008A189B" w:rsidRPr="007B3934" w14:paraId="66324E27" w14:textId="77777777" w:rsidTr="009D524D">
        <w:trPr>
          <w:cantSplit/>
          <w:trHeight w:val="413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BA285BA"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04F1161A" w14:textId="38D7B84B"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2FE99BA5" w14:textId="1CF13051" w:rsidR="008A189B" w:rsidRPr="007B3934" w:rsidRDefault="00582DA8" w:rsidP="00ED19F5">
            <w:pPr>
              <w:spacing w:before="120" w:after="120"/>
              <w:rPr>
                <w:szCs w:val="17"/>
              </w:rPr>
            </w:pPr>
            <w:r w:rsidRPr="007B3934">
              <w:rPr>
                <w:szCs w:val="17"/>
              </w:rPr>
              <w:t xml:space="preserve">This category is a group of events related to the maintenance of a granted IP right in full or amended form.  It includes, for example, an IP right being maintained in full or amended form following a </w:t>
            </w:r>
            <w:r w:rsidR="00ED19F5" w:rsidRPr="007B3934">
              <w:rPr>
                <w:szCs w:val="17"/>
              </w:rPr>
              <w:t>full</w:t>
            </w:r>
            <w:r w:rsidRPr="007B3934">
              <w:rPr>
                <w:szCs w:val="17"/>
              </w:rPr>
              <w:t xml:space="preserve"> or </w:t>
            </w:r>
            <w:r w:rsidR="00ED19F5" w:rsidRPr="007B3934">
              <w:rPr>
                <w:szCs w:val="17"/>
              </w:rPr>
              <w:t>partial</w:t>
            </w:r>
            <w:r w:rsidRPr="007B3934">
              <w:rPr>
                <w:szCs w:val="17"/>
              </w:rPr>
              <w:t xml:space="preserve"> renewal, an appeal, an IP right review or the inadmissibility, rejection or withdrawal of a request for an IP right review.  The events in this category may occur in the registration stage or 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15047499" w14:textId="7DF331C5"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1887F0EC" w14:textId="449F0229"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0477DC" w14:textId="3CE306B8" w:rsidR="00B77686" w:rsidRPr="005A4448" w:rsidRDefault="00B77686" w:rsidP="003E350F">
            <w:pPr>
              <w:pStyle w:val="ListParagraph"/>
              <w:numPr>
                <w:ilvl w:val="0"/>
                <w:numId w:val="14"/>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ABA63E1" w14:textId="11BD1954"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IP Right Review Details (i.e.</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information about the IP right review, including court order details for example)</w:t>
            </w:r>
          </w:p>
          <w:p w14:paraId="0949FB4C" w14:textId="77777777" w:rsidR="008A189B" w:rsidRPr="007B3934" w:rsidRDefault="008A189B"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Decision Authority Category (e.g.</w:t>
            </w:r>
            <w:r w:rsidR="00FF07F6" w:rsidRPr="007B3934">
              <w:rPr>
                <w:rFonts w:eastAsia="Times New Roman"/>
                <w:color w:val="000000"/>
                <w:szCs w:val="17"/>
                <w:lang w:eastAsia="en-US"/>
              </w:rPr>
              <w:t xml:space="preserve"> </w:t>
            </w:r>
            <w:r w:rsidRPr="007B3934">
              <w:rPr>
                <w:rFonts w:eastAsia="Times New Roman"/>
                <w:color w:val="000000"/>
                <w:szCs w:val="17"/>
                <w:lang w:eastAsia="en-US"/>
              </w:rPr>
              <w:t xml:space="preserve"> court, tribunal, IPO)</w:t>
            </w:r>
          </w:p>
          <w:p w14:paraId="6592440F" w14:textId="77777777" w:rsidR="005B68A2" w:rsidRPr="007B3934" w:rsidRDefault="005B68A2"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Renewal Details (e.g. length of renewal)</w:t>
            </w:r>
          </w:p>
          <w:p w14:paraId="1D01B966" w14:textId="7D3FE9F5" w:rsidR="00005303" w:rsidRPr="007B3934" w:rsidRDefault="00005303" w:rsidP="003E350F">
            <w:pPr>
              <w:pStyle w:val="ListParagraph"/>
              <w:numPr>
                <w:ilvl w:val="0"/>
                <w:numId w:val="34"/>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Post-registration Examination Certificate Number</w:t>
            </w:r>
          </w:p>
        </w:tc>
      </w:tr>
      <w:tr w:rsidR="008A189B" w:rsidRPr="007B3934"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7B3934" w:rsidRDefault="0000695D" w:rsidP="0000695D">
            <w:pPr>
              <w:spacing w:before="120" w:after="120"/>
              <w:rPr>
                <w:rFonts w:eastAsia="Times New Roman"/>
                <w:color w:val="000000"/>
                <w:szCs w:val="17"/>
                <w:lang w:eastAsia="en-US"/>
              </w:rPr>
            </w:pPr>
            <w:r w:rsidRPr="007B3934">
              <w:rPr>
                <w:rFonts w:eastAsia="Times New Roman"/>
                <w:color w:val="000000"/>
                <w:szCs w:val="17"/>
                <w:lang w:eastAsia="en-US"/>
              </w:rPr>
              <w:t>T</w:t>
            </w:r>
            <w:r w:rsidR="008A189B" w:rsidRPr="007B3934">
              <w:rPr>
                <w:rFonts w:eastAsia="Times New Roman"/>
                <w:color w:val="000000"/>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1248FAA5" w:rsidR="008A189B" w:rsidRPr="007B3934" w:rsidRDefault="00582DA8" w:rsidP="0000695D">
            <w:pPr>
              <w:spacing w:before="120" w:after="120"/>
              <w:rPr>
                <w:rFonts w:eastAsia="Times New Roman"/>
                <w:color w:val="000000"/>
                <w:szCs w:val="17"/>
                <w:lang w:eastAsia="en-US"/>
              </w:rPr>
            </w:pPr>
            <w:r w:rsidRPr="007B3934">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5EC0B24C" w14:textId="77777777" w:rsidR="00D277C9" w:rsidRPr="005A4448" w:rsidRDefault="00D277C9" w:rsidP="003E350F">
            <w:pPr>
              <w:pStyle w:val="ListParagraph"/>
              <w:numPr>
                <w:ilvl w:val="0"/>
                <w:numId w:val="21"/>
              </w:numPr>
              <w:shd w:val="clear" w:color="auto" w:fill="FFFF00"/>
              <w:spacing w:before="120" w:after="200"/>
              <w:ind w:left="459" w:hanging="425"/>
              <w:contextualSpacing w:val="0"/>
              <w:rPr>
                <w:rFonts w:eastAsia="Times New Roman"/>
                <w:color w:val="000000"/>
                <w:szCs w:val="17"/>
                <w:u w:val="single"/>
                <w:lang w:eastAsia="en-US"/>
              </w:rPr>
            </w:pPr>
            <w:r w:rsidRPr="005A4448">
              <w:rPr>
                <w:rFonts w:eastAsia="Times New Roman"/>
                <w:color w:val="000000"/>
                <w:szCs w:val="17"/>
                <w:u w:val="single"/>
                <w:lang w:eastAsia="en-US"/>
              </w:rPr>
              <w:t>Reason Not in Force</w:t>
            </w:r>
            <w:r w:rsidRPr="005A4448" w:rsidDel="00E40648">
              <w:rPr>
                <w:rFonts w:eastAsia="Times New Roman"/>
                <w:color w:val="000000"/>
                <w:szCs w:val="17"/>
                <w:u w:val="single"/>
                <w:lang w:eastAsia="en-US"/>
              </w:rPr>
              <w:t xml:space="preserve"> </w:t>
            </w:r>
          </w:p>
          <w:p w14:paraId="184D91BB" w14:textId="5F3DBE77"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0B9C83F8" w14:textId="0F2158A1" w:rsidR="00B77686" w:rsidRPr="005A4448" w:rsidRDefault="00B77686" w:rsidP="003E350F">
            <w:pPr>
              <w:pStyle w:val="ListParagraph"/>
              <w:numPr>
                <w:ilvl w:val="0"/>
                <w:numId w:val="21"/>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94366BF" w14:textId="4802F8F5" w:rsidR="008A189B" w:rsidRPr="002C095D" w:rsidRDefault="00B77686" w:rsidP="005A4448">
            <w:pPr>
              <w:shd w:val="clear" w:color="auto" w:fill="800080"/>
              <w:spacing w:before="120" w:after="200"/>
              <w:ind w:left="34"/>
              <w:rPr>
                <w:rFonts w:eastAsia="Times New Roman"/>
                <w:color w:val="000000"/>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tc>
      </w:tr>
      <w:tr w:rsidR="008A189B" w:rsidRPr="007B3934" w14:paraId="6B8CB9E7" w14:textId="77777777" w:rsidTr="001F3AC0">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7B3934" w:rsidRDefault="008A189B" w:rsidP="00CB01EF">
            <w:pPr>
              <w:spacing w:before="120" w:after="120"/>
              <w:rPr>
                <w:rFonts w:eastAsia="Times New Roman"/>
                <w:color w:val="000000"/>
                <w:szCs w:val="17"/>
                <w:lang w:eastAsia="en-US"/>
              </w:rPr>
            </w:pPr>
            <w:r w:rsidRPr="007B3934">
              <w:rPr>
                <w:rFonts w:eastAsia="Times New Roman"/>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D0682EB"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67CFA8E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D4A63D" w14:textId="104CF5EB"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1B288A1" w14:textId="230680F1" w:rsidR="00B77686" w:rsidRPr="005A4448" w:rsidRDefault="00B77686" w:rsidP="003E350F">
            <w:pPr>
              <w:pStyle w:val="ListParagraph"/>
              <w:numPr>
                <w:ilvl w:val="0"/>
                <w:numId w:val="15"/>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5F10EF82"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Publication identification</w:t>
            </w:r>
          </w:p>
          <w:p w14:paraId="3878825B" w14:textId="69C40B4F"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Modified Part of Document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bibliographic information, priority claim, specification, claims, drawings)</w:t>
            </w:r>
          </w:p>
          <w:p w14:paraId="2F4FC169" w14:textId="20F2CFE8"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Modification Category (e.g. </w:t>
            </w:r>
            <w:r w:rsidR="00FF07F6" w:rsidRPr="007B3934">
              <w:rPr>
                <w:rFonts w:eastAsia="Times New Roman"/>
                <w:color w:val="000000"/>
                <w:szCs w:val="17"/>
                <w:lang w:eastAsia="en-US"/>
              </w:rPr>
              <w:t xml:space="preserve"> </w:t>
            </w:r>
            <w:r w:rsidRPr="007B3934">
              <w:rPr>
                <w:rFonts w:eastAsia="Times New Roman"/>
                <w:color w:val="000000"/>
                <w:szCs w:val="17"/>
                <w:lang w:eastAsia="en-US"/>
              </w:rPr>
              <w:t>amendment or correction)</w:t>
            </w:r>
          </w:p>
          <w:p w14:paraId="33F1AE3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22BDEF29" w14:textId="77777777" w:rsidR="008A189B" w:rsidRPr="007B3934" w:rsidRDefault="008A189B" w:rsidP="003E350F">
            <w:pPr>
              <w:pStyle w:val="ListParagraph"/>
              <w:numPr>
                <w:ilvl w:val="0"/>
                <w:numId w:val="35"/>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r w:rsidR="008A189B" w:rsidRPr="007B3934" w14:paraId="20B85F9F" w14:textId="77777777" w:rsidTr="001F3AC0">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C4D41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097C40"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F093CC" w14:textId="0C5787FE"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D87D819" w14:textId="792EB7AC"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ADF08C6" w14:textId="670A9BDB"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2479A391" w14:textId="14F6EA61" w:rsidR="00B77686" w:rsidRPr="005A4448" w:rsidRDefault="00B77686" w:rsidP="003E350F">
            <w:pPr>
              <w:pStyle w:val="ListParagraph"/>
              <w:numPr>
                <w:ilvl w:val="0"/>
                <w:numId w:val="16"/>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FF07F6"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0449DD38" w14:textId="08C33365" w:rsidR="0056509F" w:rsidRPr="0056509F" w:rsidRDefault="008A189B" w:rsidP="00E2740C">
            <w:pPr>
              <w:pStyle w:val="ListParagraph"/>
              <w:numPr>
                <w:ilvl w:val="0"/>
                <w:numId w:val="36"/>
              </w:numPr>
              <w:spacing w:before="120" w:after="200"/>
              <w:ind w:left="475" w:hanging="446"/>
              <w:contextualSpacing w:val="0"/>
              <w:rPr>
                <w:rFonts w:eastAsia="Times New Roman"/>
                <w:color w:val="000000"/>
                <w:szCs w:val="17"/>
                <w:lang w:eastAsia="en-US"/>
              </w:rPr>
            </w:pPr>
            <w:r w:rsidRPr="0056509F">
              <w:rPr>
                <w:rFonts w:eastAsia="Times New Roman"/>
                <w:color w:val="000000"/>
                <w:szCs w:val="17"/>
                <w:lang w:eastAsia="en-US"/>
              </w:rPr>
              <w:t>Publication Identification</w:t>
            </w:r>
          </w:p>
        </w:tc>
      </w:tr>
    </w:tbl>
    <w:p w14:paraId="3618590C" w14:textId="77777777" w:rsidR="001F3AC0" w:rsidRDefault="001F3AC0">
      <w:r>
        <w:br w:type="page"/>
      </w:r>
    </w:p>
    <w:tbl>
      <w:tblPr>
        <w:tblpPr w:leftFromText="180" w:rightFromText="180" w:vertAnchor="text" w:horzAnchor="margin" w:tblpX="108" w:tblpY="28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3685"/>
        <w:gridCol w:w="2977"/>
      </w:tblGrid>
      <w:tr w:rsidR="008A189B" w:rsidRPr="007B3934" w14:paraId="5A50348C" w14:textId="77777777" w:rsidTr="009D524D">
        <w:trPr>
          <w:cantSplit/>
          <w:trHeight w:val="2295"/>
          <w:tblHeader/>
        </w:trPr>
        <w:tc>
          <w:tcPr>
            <w:tcW w:w="1101" w:type="dxa"/>
            <w:shd w:val="clear" w:color="auto" w:fill="auto"/>
            <w:hideMark/>
          </w:tcPr>
          <w:p w14:paraId="5C392C07" w14:textId="67C9719C"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R </w:t>
            </w:r>
          </w:p>
        </w:tc>
        <w:tc>
          <w:tcPr>
            <w:tcW w:w="1701" w:type="dxa"/>
            <w:shd w:val="clear" w:color="auto" w:fill="auto"/>
            <w:hideMark/>
          </w:tcPr>
          <w:p w14:paraId="185AFD8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Party data change </w:t>
            </w:r>
          </w:p>
        </w:tc>
        <w:tc>
          <w:tcPr>
            <w:tcW w:w="3685" w:type="dxa"/>
            <w:shd w:val="clear" w:color="auto" w:fill="auto"/>
            <w:hideMark/>
          </w:tcPr>
          <w:p w14:paraId="43114085" w14:textId="77777777" w:rsidR="00582DA8" w:rsidRPr="007B3934" w:rsidRDefault="00582DA8" w:rsidP="00582DA8">
            <w:pPr>
              <w:spacing w:before="120" w:after="120"/>
              <w:rPr>
                <w:b/>
                <w:szCs w:val="17"/>
              </w:rPr>
            </w:pPr>
            <w:r w:rsidRPr="007B3934">
              <w:rPr>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5BC2C74" w14:textId="147E0EFA" w:rsidR="008A189B" w:rsidRPr="007B3934" w:rsidRDefault="008A189B" w:rsidP="00465133">
            <w:pPr>
              <w:spacing w:before="120" w:after="120"/>
              <w:rPr>
                <w:rFonts w:eastAsia="Times New Roman"/>
                <w:color w:val="000000"/>
                <w:szCs w:val="17"/>
                <w:lang w:eastAsia="en-US"/>
              </w:rPr>
            </w:pPr>
          </w:p>
        </w:tc>
        <w:tc>
          <w:tcPr>
            <w:tcW w:w="2977" w:type="dxa"/>
            <w:shd w:val="clear" w:color="auto" w:fill="auto"/>
            <w:hideMark/>
          </w:tcPr>
          <w:p w14:paraId="2830CBEF" w14:textId="736EB2EA"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3C0B09C7" w14:textId="44627B06"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50AE73EB" w14:textId="2D820AA5" w:rsidR="00B77686" w:rsidRPr="005A4448" w:rsidRDefault="00B77686" w:rsidP="003E350F">
            <w:pPr>
              <w:pStyle w:val="ListParagraph"/>
              <w:numPr>
                <w:ilvl w:val="0"/>
                <w:numId w:val="17"/>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14C0622" w14:textId="7A5F623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Party Data Change Category (e.g. </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owner change, </w:t>
            </w:r>
            <w:r w:rsidR="00465133" w:rsidRPr="007B3934">
              <w:rPr>
                <w:rFonts w:eastAsia="Times New Roman"/>
                <w:color w:val="000000"/>
                <w:szCs w:val="17"/>
                <w:lang w:eastAsia="en-US"/>
              </w:rPr>
              <w:t xml:space="preserve">creator </w:t>
            </w:r>
            <w:r w:rsidRPr="007B3934">
              <w:rPr>
                <w:rFonts w:eastAsia="Times New Roman"/>
                <w:color w:val="000000"/>
                <w:szCs w:val="17"/>
                <w:lang w:eastAsia="en-US"/>
              </w:rPr>
              <w:t xml:space="preserve">change, representative change, owner contact information change, </w:t>
            </w:r>
            <w:r w:rsidR="00CB1B10" w:rsidRPr="007B3934">
              <w:rPr>
                <w:rFonts w:eastAsia="Times New Roman"/>
                <w:color w:val="000000"/>
                <w:szCs w:val="17"/>
                <w:lang w:eastAsia="en-US"/>
              </w:rPr>
              <w:t xml:space="preserve">creator </w:t>
            </w:r>
            <w:r w:rsidRPr="007B3934">
              <w:rPr>
                <w:rFonts w:eastAsia="Times New Roman"/>
                <w:color w:val="000000"/>
                <w:szCs w:val="17"/>
                <w:lang w:eastAsia="en-US"/>
              </w:rPr>
              <w:t>contact information change, representative contact information change)</w:t>
            </w:r>
          </w:p>
          <w:p w14:paraId="465C6F3C"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Previous Party Name/Contact Information</w:t>
            </w:r>
          </w:p>
          <w:p w14:paraId="7F8FA959" w14:textId="0D682D65"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Previous Party Country Code </w:t>
            </w:r>
          </w:p>
          <w:p w14:paraId="27CB6DC4" w14:textId="77777777"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New Party Name/Contact Information</w:t>
            </w:r>
          </w:p>
          <w:p w14:paraId="79EB1CC4" w14:textId="60C7821F" w:rsidR="0026761A"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New Party Country Code </w:t>
            </w:r>
          </w:p>
          <w:p w14:paraId="7555C126" w14:textId="6091D13F" w:rsidR="008A189B" w:rsidRPr="007B3934" w:rsidRDefault="008A189B"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val="fr-CH" w:eastAsia="en-US"/>
              </w:rPr>
              <w:t xml:space="preserve">Assignment Document Number (e.g. </w:t>
            </w:r>
            <w:r w:rsidR="00990A54" w:rsidRPr="007B3934">
              <w:rPr>
                <w:rFonts w:eastAsia="Times New Roman"/>
                <w:color w:val="000000"/>
                <w:szCs w:val="17"/>
                <w:lang w:val="fr-CH" w:eastAsia="en-US"/>
              </w:rPr>
              <w:t xml:space="preserve"> </w:t>
            </w:r>
            <w:r w:rsidRPr="007B3934">
              <w:rPr>
                <w:rFonts w:eastAsia="Times New Roman"/>
                <w:color w:val="000000"/>
                <w:szCs w:val="17"/>
                <w:lang w:eastAsia="en-US"/>
              </w:rPr>
              <w:t>number associated with transfer of IP right)</w:t>
            </w:r>
          </w:p>
          <w:p w14:paraId="1BB9C6E8" w14:textId="77777777" w:rsidR="00825424" w:rsidRPr="007B3934" w:rsidRDefault="004F5E19"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Ownership Transfer Date</w:t>
            </w:r>
          </w:p>
          <w:p w14:paraId="23B10D19" w14:textId="4B0631C4" w:rsidR="00FE1BFA" w:rsidRPr="007B3934" w:rsidRDefault="009627C3" w:rsidP="003E350F">
            <w:pPr>
              <w:pStyle w:val="ListParagraph"/>
              <w:numPr>
                <w:ilvl w:val="0"/>
                <w:numId w:val="37"/>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roceedings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bl>
    <w:p w14:paraId="410A500E" w14:textId="77777777" w:rsidR="001F3AC0" w:rsidRDefault="001F3AC0">
      <w:r>
        <w:br w:type="page"/>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7B3934" w14:paraId="6236E017" w14:textId="77777777" w:rsidTr="00A100DD">
        <w:trPr>
          <w:cantSplit/>
          <w:trHeight w:val="414"/>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1FCCF1A" w14:textId="53CB806A"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S </w:t>
            </w:r>
          </w:p>
        </w:tc>
        <w:tc>
          <w:tcPr>
            <w:tcW w:w="1701" w:type="dxa"/>
            <w:tcBorders>
              <w:top w:val="single" w:sz="4" w:space="0" w:color="auto"/>
              <w:left w:val="nil"/>
              <w:bottom w:val="single" w:sz="4" w:space="0" w:color="auto"/>
              <w:right w:val="single" w:sz="4" w:space="0" w:color="auto"/>
            </w:tcBorders>
            <w:shd w:val="clear" w:color="auto" w:fill="auto"/>
            <w:hideMark/>
          </w:tcPr>
          <w:p w14:paraId="6AA1F607" w14:textId="77777777" w:rsidR="008A189B" w:rsidRPr="007B3934" w:rsidRDefault="001B5F88" w:rsidP="002E0A4C">
            <w:pPr>
              <w:spacing w:before="120" w:after="120"/>
              <w:rPr>
                <w:rFonts w:eastAsia="Times New Roman"/>
                <w:color w:val="000000"/>
                <w:szCs w:val="17"/>
                <w:lang w:eastAsia="en-US"/>
              </w:rPr>
            </w:pPr>
            <w:r w:rsidRPr="007B3934">
              <w:rPr>
                <w:rFonts w:eastAsia="Times New Roman"/>
                <w:color w:val="000000"/>
                <w:szCs w:val="17"/>
                <w:lang w:eastAsia="en-US"/>
              </w:rPr>
              <w:t>L</w:t>
            </w:r>
            <w:r w:rsidR="008A189B" w:rsidRPr="007B3934">
              <w:rPr>
                <w:rFonts w:eastAsia="Times New Roman"/>
                <w:color w:val="000000"/>
                <w:szCs w:val="17"/>
                <w:lang w:eastAsia="en-US"/>
              </w:rPr>
              <w:t xml:space="preserve">icensing information </w:t>
            </w:r>
          </w:p>
        </w:tc>
        <w:tc>
          <w:tcPr>
            <w:tcW w:w="3685" w:type="dxa"/>
            <w:tcBorders>
              <w:top w:val="single" w:sz="4" w:space="0" w:color="auto"/>
              <w:left w:val="nil"/>
              <w:bottom w:val="single" w:sz="4" w:space="0" w:color="auto"/>
              <w:right w:val="single" w:sz="4" w:space="0" w:color="auto"/>
            </w:tcBorders>
            <w:shd w:val="clear" w:color="auto" w:fill="auto"/>
            <w:hideMark/>
          </w:tcPr>
          <w:p w14:paraId="626865B9" w14:textId="63AD3EAF" w:rsidR="008A189B" w:rsidRPr="007B3934" w:rsidRDefault="00582DA8" w:rsidP="005406AB">
            <w:pPr>
              <w:spacing w:before="120" w:after="120"/>
              <w:rPr>
                <w:rFonts w:eastAsia="Times New Roman"/>
                <w:color w:val="000000"/>
                <w:szCs w:val="17"/>
                <w:lang w:eastAsia="en-US"/>
              </w:rPr>
            </w:pPr>
            <w:r w:rsidRPr="007B3934">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40798919" w14:textId="789E71FD"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6D79E39" w14:textId="04EF8A04"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46A5817" w14:textId="5CEBB4BC" w:rsidR="00B77686" w:rsidRPr="005A4448" w:rsidRDefault="00B77686"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6A375B2" w14:textId="08086A00"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Registration Number</w:t>
            </w:r>
          </w:p>
          <w:p w14:paraId="7AC6302B" w14:textId="6A9396E6"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License Record Category (e.g.</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initial record, amendment, cancellation)</w:t>
            </w:r>
          </w:p>
          <w:p w14:paraId="74C2738D" w14:textId="4964DED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t xml:space="preserve">License Status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active, inactive, terminated)</w:t>
            </w:r>
          </w:p>
          <w:p w14:paraId="0BCC3FA9" w14:textId="5874DE66" w:rsidR="001B2ED0"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br w:type="page"/>
            </w:r>
            <w:r w:rsidR="001B2ED0" w:rsidRPr="005A4448">
              <w:rPr>
                <w:rFonts w:eastAsia="Times New Roman"/>
                <w:strike/>
                <w:color w:val="FFFFFF"/>
                <w:szCs w:val="17"/>
                <w:lang w:eastAsia="en-US"/>
              </w:rPr>
              <w:t>License</w:t>
            </w:r>
            <w:r w:rsidR="00825424" w:rsidRPr="005A4448">
              <w:rPr>
                <w:rFonts w:eastAsia="Times New Roman"/>
                <w:strike/>
                <w:color w:val="FFFFFF"/>
                <w:szCs w:val="17"/>
                <w:lang w:eastAsia="en-US"/>
              </w:rPr>
              <w:t xml:space="preserve"> </w:t>
            </w:r>
            <w:r w:rsidR="004F5E19" w:rsidRPr="005A4448">
              <w:rPr>
                <w:rFonts w:eastAsia="Times New Roman"/>
                <w:strike/>
                <w:color w:val="FFFFFF"/>
                <w:szCs w:val="17"/>
                <w:lang w:eastAsia="en-US"/>
              </w:rPr>
              <w:t>Start Date</w:t>
            </w:r>
          </w:p>
          <w:p w14:paraId="2E2CE5E1" w14:textId="0EB8C27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Term of License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duration of license) / </w:t>
            </w:r>
            <w:r w:rsidR="004F5E19" w:rsidRPr="005A4448">
              <w:rPr>
                <w:rFonts w:eastAsia="Times New Roman"/>
                <w:strike/>
                <w:color w:val="FFFFFF"/>
                <w:szCs w:val="17"/>
                <w:lang w:eastAsia="en-US"/>
              </w:rPr>
              <w:t>License End Date</w:t>
            </w:r>
          </w:p>
          <w:p w14:paraId="2546608D" w14:textId="4FC0119C"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Name of Licensor(s)</w:t>
            </w:r>
          </w:p>
          <w:p w14:paraId="5A326D56" w14:textId="6FC46F55"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Licensor </w:t>
            </w:r>
          </w:p>
          <w:p w14:paraId="1EED9D09" w14:textId="3AB258D0" w:rsidR="00261711" w:rsidRPr="005A4448" w:rsidRDefault="008A189B" w:rsidP="003E350F">
            <w:pPr>
              <w:pStyle w:val="ListParagraph"/>
              <w:numPr>
                <w:ilvl w:val="0"/>
                <w:numId w:val="18"/>
              </w:numPr>
              <w:shd w:val="clear" w:color="auto" w:fill="800080"/>
              <w:spacing w:before="120" w:after="200"/>
              <w:ind w:left="420" w:hanging="420"/>
              <w:contextualSpacing w:val="0"/>
              <w:rPr>
                <w:rFonts w:eastAsia="Times New Roman"/>
                <w:strike/>
                <w:color w:val="FFFFFF"/>
                <w:szCs w:val="17"/>
                <w:lang w:eastAsia="en-US"/>
              </w:rPr>
            </w:pPr>
            <w:r w:rsidRPr="005A4448">
              <w:rPr>
                <w:rFonts w:eastAsia="Times New Roman"/>
                <w:strike/>
                <w:color w:val="FFFFFF"/>
                <w:szCs w:val="17"/>
                <w:lang w:eastAsia="en-US"/>
              </w:rPr>
              <w:t>Name of Licensee(s)</w:t>
            </w:r>
          </w:p>
          <w:p w14:paraId="2873682B" w14:textId="688FCFDA" w:rsidR="008A189B" w:rsidRPr="005A4448" w:rsidRDefault="008A189B" w:rsidP="003E350F">
            <w:pPr>
              <w:pStyle w:val="ListParagraph"/>
              <w:numPr>
                <w:ilvl w:val="0"/>
                <w:numId w:val="18"/>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Country Code of Licensee </w:t>
            </w:r>
          </w:p>
          <w:p w14:paraId="5A697418" w14:textId="77777777"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 Data (e.g. registration number, record, type, status, start and end dates)</w:t>
            </w:r>
          </w:p>
          <w:p w14:paraId="1A97A4A6" w14:textId="20F6219A"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Licensor Data (e.g. name, contact information, country code)</w:t>
            </w:r>
          </w:p>
          <w:p w14:paraId="4694254F" w14:textId="4A4CA5D0" w:rsidR="00D277C9" w:rsidRPr="005A4448" w:rsidRDefault="00D277C9" w:rsidP="003E350F">
            <w:pPr>
              <w:pStyle w:val="ListParagraph"/>
              <w:numPr>
                <w:ilvl w:val="0"/>
                <w:numId w:val="38"/>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Licensee Data (e.g. name, contact information, country code)</w:t>
            </w:r>
          </w:p>
          <w:p w14:paraId="59C4A8C6" w14:textId="148B3B74"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 xml:space="preserve">Licensing Information Amendment Category (i.e. </w:t>
            </w:r>
            <w:r w:rsidR="00990A54" w:rsidRPr="007B3934">
              <w:rPr>
                <w:rFonts w:eastAsia="Times New Roman"/>
                <w:color w:val="000000"/>
                <w:szCs w:val="17"/>
                <w:lang w:eastAsia="en-US"/>
              </w:rPr>
              <w:t xml:space="preserve"> </w:t>
            </w:r>
            <w:r w:rsidRPr="007B3934">
              <w:rPr>
                <w:rFonts w:eastAsia="Times New Roman"/>
                <w:color w:val="000000"/>
                <w:szCs w:val="17"/>
                <w:lang w:eastAsia="en-US"/>
              </w:rPr>
              <w:t>which terms were amended)</w:t>
            </w:r>
          </w:p>
          <w:p w14:paraId="7B6C4C67" w14:textId="77777777" w:rsidR="008A189B" w:rsidRPr="007B3934" w:rsidRDefault="008A189B"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Territory of License Validity</w:t>
            </w:r>
          </w:p>
          <w:p w14:paraId="503A28AA" w14:textId="6310D12E" w:rsidR="00FE1BFA" w:rsidRPr="007B3934" w:rsidRDefault="009627C3" w:rsidP="003E350F">
            <w:pPr>
              <w:pStyle w:val="ListParagraph"/>
              <w:numPr>
                <w:ilvl w:val="0"/>
                <w:numId w:val="38"/>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L</w:t>
            </w:r>
            <w:r w:rsidR="00FE1BFA" w:rsidRPr="007B3934">
              <w:rPr>
                <w:rFonts w:eastAsia="Times New Roman"/>
                <w:color w:val="000000"/>
                <w:szCs w:val="17"/>
                <w:lang w:eastAsia="en-US"/>
              </w:rPr>
              <w:t xml:space="preserve">egal </w:t>
            </w:r>
            <w:r w:rsidRPr="007B3934">
              <w:rPr>
                <w:rFonts w:eastAsia="Times New Roman"/>
                <w:color w:val="000000"/>
                <w:szCs w:val="17"/>
                <w:lang w:eastAsia="en-US"/>
              </w:rPr>
              <w:t>P</w:t>
            </w:r>
            <w:r w:rsidR="00FE1BFA" w:rsidRPr="007B3934">
              <w:rPr>
                <w:rFonts w:eastAsia="Times New Roman"/>
                <w:color w:val="000000"/>
                <w:szCs w:val="17"/>
                <w:lang w:eastAsia="en-US"/>
              </w:rPr>
              <w:t xml:space="preserve">roceeding </w:t>
            </w:r>
            <w:r w:rsidRPr="007B3934">
              <w:rPr>
                <w:rFonts w:eastAsia="Times New Roman"/>
                <w:color w:val="000000"/>
                <w:szCs w:val="17"/>
                <w:lang w:eastAsia="en-US"/>
              </w:rPr>
              <w:t xml:space="preserve">Details </w:t>
            </w:r>
            <w:r w:rsidR="00FE1BFA" w:rsidRPr="007B3934">
              <w:rPr>
                <w:rFonts w:eastAsia="Times New Roman"/>
                <w:color w:val="000000"/>
                <w:szCs w:val="17"/>
                <w:lang w:eastAsia="en-US"/>
              </w:rPr>
              <w:t>(if applicable)</w:t>
            </w:r>
          </w:p>
        </w:tc>
      </w:tr>
      <w:tr w:rsidR="008A189B" w:rsidRPr="007B3934" w14:paraId="188B28F2" w14:textId="77777777" w:rsidTr="00A100DD">
        <w:trPr>
          <w:cantSplit/>
          <w:trHeight w:val="4696"/>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E3FC67E"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FAEBE72"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0DCCD9D5" w14:textId="49DB3A94" w:rsidR="008A189B" w:rsidRPr="007B3934" w:rsidRDefault="00582DA8" w:rsidP="00990A54">
            <w:pPr>
              <w:spacing w:before="120" w:after="120"/>
              <w:rPr>
                <w:rFonts w:eastAsia="Times New Roman"/>
                <w:color w:val="000000"/>
                <w:szCs w:val="17"/>
                <w:lang w:eastAsia="en-US"/>
              </w:rPr>
            </w:pPr>
            <w:r w:rsidRPr="007B3934">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7B3934">
              <w:rPr>
                <w:szCs w:val="17"/>
              </w:rPr>
              <w:t>suspension</w:t>
            </w:r>
            <w:r w:rsidRPr="007B3934">
              <w:rPr>
                <w:color w:val="222222"/>
                <w:szCs w:val="17"/>
                <w:shd w:val="clear" w:color="auto" w:fill="FFFFFF"/>
              </w:rPr>
              <w:t xml:space="preserve">, stay or interruption of an administrative procedure, or the resumption of a suspended, stayed or interrupted administrative procedure.  </w:t>
            </w:r>
            <w:r w:rsidRPr="007B3934">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5931166C" w14:textId="46BAF356"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48620E1" w14:textId="08FF05DD"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4C1D577D" w14:textId="4E9B795A" w:rsidR="00B77686" w:rsidRPr="005A4448" w:rsidRDefault="00B77686" w:rsidP="003E350F">
            <w:pPr>
              <w:pStyle w:val="ListParagraph"/>
              <w:numPr>
                <w:ilvl w:val="0"/>
                <w:numId w:val="19"/>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Comment (i.e.</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 free text)</w:t>
            </w:r>
          </w:p>
          <w:p w14:paraId="7BACB083" w14:textId="4D795983"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Adjustment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time extension, suspension, stay, resumption, interruption</w:t>
            </w:r>
            <w:r w:rsidR="001B2ED0" w:rsidRPr="007B3934">
              <w:rPr>
                <w:rFonts w:eastAsia="Times New Roman"/>
                <w:color w:val="000000"/>
                <w:szCs w:val="17"/>
                <w:lang w:eastAsia="en-US"/>
              </w:rPr>
              <w:t>, delay in communication services, as-of-right extension granted, IPO disruption, IPO irregularity</w:t>
            </w:r>
            <w:r w:rsidRPr="007B3934">
              <w:rPr>
                <w:rFonts w:eastAsia="Times New Roman"/>
                <w:color w:val="000000"/>
                <w:szCs w:val="17"/>
                <w:lang w:eastAsia="en-US"/>
              </w:rPr>
              <w:t>)</w:t>
            </w:r>
          </w:p>
          <w:p w14:paraId="367A8A2E" w14:textId="436BDCDE"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Reason for Adjustment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natural disaster, IPO delay, court delay, applicant/patentee delay)</w:t>
            </w:r>
          </w:p>
          <w:p w14:paraId="13C570F5" w14:textId="1C05082B" w:rsidR="008A189B" w:rsidRPr="007B3934" w:rsidRDefault="008A189B" w:rsidP="003E350F">
            <w:pPr>
              <w:pStyle w:val="ListParagraph"/>
              <w:numPr>
                <w:ilvl w:val="0"/>
                <w:numId w:val="39"/>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Start and End Date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date at which the adjustment starts and date at which the adjustment ends) </w:t>
            </w:r>
          </w:p>
        </w:tc>
      </w:tr>
      <w:tr w:rsidR="008A189B" w:rsidRPr="007B3934"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7B3934" w:rsidRDefault="008A189B" w:rsidP="002E0A4C">
            <w:pPr>
              <w:spacing w:before="120" w:after="120"/>
              <w:rPr>
                <w:rFonts w:eastAsia="Times New Roman"/>
                <w:color w:val="000000"/>
                <w:szCs w:val="17"/>
                <w:lang w:eastAsia="en-US"/>
              </w:rPr>
            </w:pPr>
            <w:r w:rsidRPr="007B3934">
              <w:rPr>
                <w:rFonts w:eastAsia="Times New Roman"/>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6C5FD999" w:rsidR="008A189B" w:rsidRPr="007B3934" w:rsidRDefault="00582DA8" w:rsidP="00500A32">
            <w:pPr>
              <w:spacing w:before="120" w:after="120"/>
              <w:rPr>
                <w:rFonts w:eastAsia="Times New Roman"/>
                <w:color w:val="000000"/>
                <w:szCs w:val="17"/>
                <w:lang w:eastAsia="en-US"/>
              </w:rPr>
            </w:pPr>
            <w:r w:rsidRPr="007B3934">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0ACE0C7"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B920279" w14:textId="0B6F410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B7BFF6D" w14:textId="0A2AD95F" w:rsidR="00B77686" w:rsidRPr="005A4448" w:rsidRDefault="00B77686"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153C9ED1" w14:textId="78443F68" w:rsidR="008A189B" w:rsidRPr="007B3934" w:rsidRDefault="008A189B" w:rsidP="003E350F">
            <w:pPr>
              <w:pStyle w:val="ListParagraph"/>
              <w:numPr>
                <w:ilvl w:val="0"/>
                <w:numId w:val="40"/>
              </w:numPr>
              <w:spacing w:before="120" w:after="200"/>
              <w:ind w:hanging="502"/>
              <w:contextualSpacing w:val="0"/>
              <w:rPr>
                <w:rFonts w:eastAsia="Times New Roman"/>
                <w:color w:val="000000"/>
                <w:szCs w:val="17"/>
                <w:lang w:eastAsia="en-US"/>
              </w:rPr>
            </w:pPr>
            <w:r w:rsidRPr="007B3934">
              <w:rPr>
                <w:rFonts w:eastAsia="Times New Roman"/>
                <w:color w:val="000000"/>
                <w:szCs w:val="17"/>
                <w:lang w:eastAsia="en-US"/>
              </w:rPr>
              <w:t>Fee Category (e.g.</w:t>
            </w:r>
            <w:r w:rsidR="00990A54" w:rsidRPr="007B3934">
              <w:rPr>
                <w:rFonts w:eastAsia="Times New Roman"/>
                <w:color w:val="000000"/>
                <w:szCs w:val="17"/>
                <w:lang w:eastAsia="en-US"/>
              </w:rPr>
              <w:t xml:space="preserve"> </w:t>
            </w:r>
            <w:r w:rsidRPr="007B3934">
              <w:rPr>
                <w:rFonts w:eastAsia="Times New Roman"/>
                <w:color w:val="000000"/>
                <w:szCs w:val="17"/>
                <w:lang w:eastAsia="en-US"/>
              </w:rPr>
              <w:t xml:space="preserve"> registration fee, maintenance fee, renewal fee, designation fee)</w:t>
            </w:r>
          </w:p>
          <w:p w14:paraId="55353C23" w14:textId="370D8E8F"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Paid to Date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the date up to which the fees have been paid, e.g.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 xml:space="preserve">no renewal fees will be required until that date) </w:t>
            </w:r>
          </w:p>
          <w:p w14:paraId="1914E4FC" w14:textId="0E8EA231" w:rsidR="008A189B" w:rsidRPr="005A4448"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Next Fee Due Date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date at which the next fee becomes due)</w:t>
            </w:r>
          </w:p>
          <w:p w14:paraId="7D423E6B" w14:textId="77777777" w:rsidR="008A189B" w:rsidRPr="0056509F" w:rsidRDefault="008A189B" w:rsidP="003E350F">
            <w:pPr>
              <w:pStyle w:val="ListParagraph"/>
              <w:numPr>
                <w:ilvl w:val="0"/>
                <w:numId w:val="20"/>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Year of Fee Payment</w:t>
            </w:r>
          </w:p>
          <w:p w14:paraId="6D783CEC" w14:textId="77777777" w:rsidR="00D277C9" w:rsidRPr="005A4448"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u w:val="single"/>
                <w:lang w:eastAsia="en-US"/>
              </w:rPr>
            </w:pPr>
            <w:r w:rsidRPr="005A4448">
              <w:rPr>
                <w:rFonts w:eastAsia="Times New Roman"/>
                <w:color w:val="000000"/>
                <w:szCs w:val="17"/>
                <w:u w:val="single"/>
                <w:lang w:eastAsia="en-US"/>
              </w:rPr>
              <w:t xml:space="preserve">Payment Details (e.g. payment status, year of fee payment) </w:t>
            </w:r>
          </w:p>
          <w:p w14:paraId="34746F18" w14:textId="38C61867" w:rsidR="00D277C9" w:rsidRPr="007B3934" w:rsidRDefault="00D277C9" w:rsidP="003E350F">
            <w:pPr>
              <w:pStyle w:val="ListParagraph"/>
              <w:numPr>
                <w:ilvl w:val="0"/>
                <w:numId w:val="40"/>
              </w:numPr>
              <w:shd w:val="clear" w:color="000000" w:fill="FFFF00"/>
              <w:spacing w:before="120" w:after="200"/>
              <w:ind w:hanging="502"/>
              <w:contextualSpacing w:val="0"/>
              <w:rPr>
                <w:rFonts w:eastAsia="Times New Roman"/>
                <w:color w:val="000000"/>
                <w:szCs w:val="17"/>
                <w:lang w:eastAsia="en-US"/>
              </w:rPr>
            </w:pPr>
            <w:r w:rsidRPr="005A4448">
              <w:rPr>
                <w:rFonts w:eastAsia="Times New Roman"/>
                <w:color w:val="000000"/>
                <w:szCs w:val="17"/>
                <w:u w:val="single"/>
                <w:lang w:eastAsia="en-US"/>
              </w:rPr>
              <w:t>Renewal Details (e.g., length of renewal, scope changes, next fee due date)</w:t>
            </w:r>
          </w:p>
        </w:tc>
      </w:tr>
      <w:tr w:rsidR="00FC3BB3" w:rsidRPr="007B3934" w14:paraId="021E72B4" w14:textId="77777777" w:rsidTr="00C605CA">
        <w:trPr>
          <w:cantSplit/>
          <w:trHeight w:val="35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7B3934" w:rsidRDefault="00FC3BB3" w:rsidP="00FC3BB3">
            <w:pPr>
              <w:spacing w:before="120" w:after="120"/>
              <w:rPr>
                <w:rFonts w:eastAsia="Times New Roman"/>
                <w:color w:val="000000"/>
                <w:szCs w:val="17"/>
                <w:lang w:eastAsia="en-US"/>
              </w:rPr>
            </w:pPr>
            <w:r w:rsidRPr="007B3934">
              <w:rPr>
                <w:rFonts w:eastAsia="Times New Roman"/>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4A73B447" w:rsidR="00FC3BB3" w:rsidRPr="007B3934" w:rsidRDefault="00C41686" w:rsidP="00FC3BB3">
            <w:pPr>
              <w:spacing w:before="120" w:after="120"/>
              <w:rPr>
                <w:szCs w:val="17"/>
              </w:rPr>
            </w:pPr>
            <w:r w:rsidRPr="007B3934">
              <w:rPr>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w:t>
            </w:r>
            <w:r w:rsidRPr="007B3934">
              <w:rPr>
                <w:szCs w:val="17"/>
              </w:rPr>
              <w:lastRenderedPageBreak/>
              <w:t>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5412D1FB" w:rsidR="00FC3BB3" w:rsidRPr="005A4448" w:rsidRDefault="00FC3BB3" w:rsidP="003E350F">
            <w:pPr>
              <w:pStyle w:val="ListParagraph"/>
              <w:numPr>
                <w:ilvl w:val="0"/>
                <w:numId w:val="22"/>
              </w:numPr>
              <w:shd w:val="clear" w:color="auto" w:fill="800080"/>
              <w:spacing w:before="120" w:after="200"/>
              <w:ind w:hanging="471"/>
              <w:contextualSpacing w:val="0"/>
              <w:rPr>
                <w:rFonts w:eastAsia="Times New Roman"/>
                <w:strike/>
                <w:color w:val="FFFFFF"/>
                <w:szCs w:val="17"/>
                <w:lang w:eastAsia="en-US"/>
              </w:rPr>
            </w:pPr>
            <w:r w:rsidRPr="005A4448">
              <w:rPr>
                <w:rFonts w:eastAsia="Times New Roman"/>
                <w:strike/>
                <w:color w:val="FFFFFF"/>
                <w:szCs w:val="17"/>
                <w:lang w:eastAsia="en-US"/>
              </w:rPr>
              <w:lastRenderedPageBreak/>
              <w:t>Effective Country or Region</w:t>
            </w:r>
          </w:p>
          <w:p w14:paraId="0E473DD4" w14:textId="4F8A9293"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6670C089" w14:textId="6D09FFD4" w:rsidR="00FC3BB3" w:rsidRPr="005A4448" w:rsidRDefault="00FC3BB3" w:rsidP="003E350F">
            <w:pPr>
              <w:pStyle w:val="ListParagraph"/>
              <w:numPr>
                <w:ilvl w:val="0"/>
                <w:numId w:val="22"/>
              </w:numPr>
              <w:shd w:val="clear" w:color="auto" w:fill="800080"/>
              <w:spacing w:before="120" w:after="200"/>
              <w:ind w:left="459" w:hanging="425"/>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5B665C00"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body</w:t>
            </w:r>
          </w:p>
          <w:p w14:paraId="524F2425" w14:textId="77777777"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 xml:space="preserve">Decision Being Appealed </w:t>
            </w:r>
          </w:p>
          <w:p w14:paraId="16926FC0" w14:textId="500FB930" w:rsidR="00FC3BB3" w:rsidRPr="007B3934" w:rsidRDefault="00FC3BB3" w:rsidP="003E350F">
            <w:pPr>
              <w:pStyle w:val="ListParagraph"/>
              <w:numPr>
                <w:ilvl w:val="0"/>
                <w:numId w:val="41"/>
              </w:numPr>
              <w:spacing w:before="120" w:after="200"/>
              <w:ind w:left="459" w:hanging="425"/>
              <w:contextualSpacing w:val="0"/>
              <w:rPr>
                <w:rFonts w:eastAsia="Times New Roman"/>
                <w:color w:val="000000"/>
                <w:szCs w:val="17"/>
                <w:lang w:eastAsia="en-US"/>
              </w:rPr>
            </w:pPr>
            <w:r w:rsidRPr="007B3934">
              <w:rPr>
                <w:rFonts w:eastAsia="Times New Roman"/>
                <w:color w:val="000000"/>
                <w:szCs w:val="17"/>
                <w:lang w:eastAsia="en-US"/>
              </w:rPr>
              <w:t>Appellate Decision</w:t>
            </w:r>
            <w:r w:rsidR="009627C3" w:rsidRPr="007B3934">
              <w:rPr>
                <w:rFonts w:eastAsia="Times New Roman"/>
                <w:color w:val="000000"/>
                <w:szCs w:val="17"/>
                <w:lang w:eastAsia="en-US"/>
              </w:rPr>
              <w:t xml:space="preserve"> Details</w:t>
            </w:r>
          </w:p>
          <w:p w14:paraId="2C1A2587" w14:textId="18FA9755" w:rsidR="00FC3BB3" w:rsidRPr="007B3934" w:rsidRDefault="00FC3BB3" w:rsidP="003E350F">
            <w:pPr>
              <w:pStyle w:val="ListParagraph"/>
              <w:numPr>
                <w:ilvl w:val="0"/>
                <w:numId w:val="41"/>
              </w:numPr>
              <w:spacing w:before="120" w:after="120"/>
              <w:ind w:left="459" w:hanging="425"/>
              <w:contextualSpacing w:val="0"/>
              <w:rPr>
                <w:rFonts w:eastAsia="Times New Roman"/>
                <w:color w:val="000000"/>
                <w:szCs w:val="17"/>
                <w:lang w:eastAsia="en-US"/>
              </w:rPr>
            </w:pPr>
            <w:r w:rsidRPr="007B3934">
              <w:rPr>
                <w:rFonts w:eastAsia="Times New Roman"/>
                <w:color w:val="000000"/>
                <w:szCs w:val="17"/>
                <w:lang w:eastAsia="en-US"/>
              </w:rPr>
              <w:lastRenderedPageBreak/>
              <w:t>Decision Citation</w:t>
            </w:r>
          </w:p>
        </w:tc>
      </w:tr>
      <w:tr w:rsidR="0074404D" w:rsidRPr="007B3934"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7B3934" w:rsidRDefault="009E1474" w:rsidP="00FC3BB3">
            <w:pPr>
              <w:spacing w:before="120" w:after="120"/>
              <w:rPr>
                <w:rFonts w:eastAsia="Times New Roman"/>
                <w:color w:val="000000"/>
                <w:szCs w:val="17"/>
                <w:lang w:eastAsia="en-US"/>
              </w:rPr>
            </w:pPr>
            <w:r w:rsidRPr="007B3934">
              <w:rPr>
                <w:rFonts w:eastAsia="Times New Roman"/>
                <w:color w:val="000000"/>
                <w:szCs w:val="17"/>
                <w:lang w:eastAsia="en-US"/>
              </w:rPr>
              <w:lastRenderedPageBreak/>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7B3934" w:rsidRDefault="0074404D" w:rsidP="00FC3BB3">
            <w:pPr>
              <w:spacing w:before="120" w:after="120"/>
              <w:rPr>
                <w:rFonts w:eastAsia="Times New Roman"/>
                <w:color w:val="000000"/>
                <w:szCs w:val="17"/>
                <w:lang w:eastAsia="en-US"/>
              </w:rPr>
            </w:pPr>
            <w:r w:rsidRPr="007B3934">
              <w:rPr>
                <w:rFonts w:eastAsia="Times New Roman"/>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5F259084" w:rsidR="0074404D" w:rsidRPr="007B3934" w:rsidRDefault="00C41686" w:rsidP="00FC3BB3">
            <w:pPr>
              <w:spacing w:before="120" w:after="120"/>
              <w:rPr>
                <w:szCs w:val="17"/>
              </w:rPr>
            </w:pPr>
            <w:r w:rsidRPr="007B3934">
              <w:rPr>
                <w:color w:val="222222"/>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w:t>
            </w:r>
            <w:r w:rsidR="00321B16" w:rsidRPr="007B3934">
              <w:rPr>
                <w:color w:val="222222"/>
                <w:szCs w:val="17"/>
                <w:shd w:val="clear" w:color="auto" w:fill="FFFFFF"/>
              </w:rPr>
              <w:t>/international</w:t>
            </w:r>
            <w:r w:rsidRPr="007B3934">
              <w:rPr>
                <w:color w:val="222222"/>
                <w:szCs w:val="17"/>
                <w:shd w:val="clear" w:color="auto" w:fill="FFFFFF"/>
              </w:rPr>
              <w:t xml:space="preserve">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097C1B2C"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7D966D8E" w14:textId="050A9966"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6288050" w14:textId="2A06A967" w:rsidR="0074404D" w:rsidRPr="005A4448" w:rsidRDefault="0074404D" w:rsidP="003E350F">
            <w:pPr>
              <w:pStyle w:val="ListParagraph"/>
              <w:numPr>
                <w:ilvl w:val="0"/>
                <w:numId w:val="23"/>
              </w:numPr>
              <w:shd w:val="clear" w:color="auto" w:fill="800080"/>
              <w:spacing w:before="120" w:after="200"/>
              <w:ind w:hanging="502"/>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63A9CBCD" w14:textId="7EDDE85B" w:rsidR="0056509F" w:rsidRPr="0056509F" w:rsidRDefault="0074404D" w:rsidP="003E350F">
            <w:pPr>
              <w:pStyle w:val="ListParagraph"/>
              <w:numPr>
                <w:ilvl w:val="0"/>
                <w:numId w:val="42"/>
              </w:numPr>
              <w:spacing w:before="120" w:after="120"/>
              <w:ind w:hanging="502"/>
              <w:contextualSpacing w:val="0"/>
              <w:rPr>
                <w:rFonts w:eastAsia="Times New Roman"/>
                <w:color w:val="000000"/>
                <w:szCs w:val="17"/>
                <w:lang w:eastAsia="en-US"/>
              </w:rPr>
            </w:pPr>
            <w:r w:rsidRPr="007B3934">
              <w:rPr>
                <w:rFonts w:eastAsia="Times New Roman"/>
                <w:color w:val="000000"/>
                <w:szCs w:val="17"/>
                <w:lang w:eastAsia="en-US"/>
              </w:rPr>
              <w:t>National/regional</w:t>
            </w:r>
            <w:r w:rsidR="00321B16" w:rsidRPr="007B3934">
              <w:rPr>
                <w:rFonts w:eastAsia="Times New Roman"/>
                <w:color w:val="000000"/>
                <w:szCs w:val="17"/>
                <w:lang w:eastAsia="en-US"/>
              </w:rPr>
              <w:t>/international</w:t>
            </w:r>
            <w:r w:rsidRPr="007B3934">
              <w:rPr>
                <w:rFonts w:eastAsia="Times New Roman"/>
                <w:color w:val="000000"/>
                <w:szCs w:val="17"/>
                <w:lang w:eastAsia="en-US"/>
              </w:rPr>
              <w:t xml:space="preserve"> Event Description</w:t>
            </w:r>
          </w:p>
        </w:tc>
      </w:tr>
      <w:tr w:rsidR="009E1474" w:rsidRPr="007B3934"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7B3934" w:rsidRDefault="009E1474" w:rsidP="009E1474">
            <w:pPr>
              <w:spacing w:before="120" w:after="120"/>
              <w:rPr>
                <w:rFonts w:eastAsia="Times New Roman"/>
                <w:color w:val="000000"/>
                <w:szCs w:val="17"/>
                <w:lang w:eastAsia="en-US"/>
              </w:rPr>
            </w:pPr>
            <w:r w:rsidRPr="007B3934">
              <w:rPr>
                <w:rFonts w:eastAsia="Times New Roman"/>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4F5C4C19" w:rsidR="009E1474" w:rsidRPr="007B3934" w:rsidRDefault="00C41686" w:rsidP="009E1474">
            <w:pPr>
              <w:spacing w:before="120" w:after="120"/>
              <w:rPr>
                <w:rFonts w:eastAsia="Times New Roman"/>
                <w:color w:val="000000"/>
                <w:szCs w:val="17"/>
                <w:lang w:eastAsia="en-US"/>
              </w:rPr>
            </w:pPr>
            <w:r w:rsidRPr="007B3934">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680C760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Effective Country or Region</w:t>
            </w:r>
          </w:p>
          <w:p w14:paraId="2A07E67A" w14:textId="63BE8DAD"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Gazette Issue Number</w:t>
            </w:r>
          </w:p>
          <w:p w14:paraId="036D06B3" w14:textId="623869D5" w:rsidR="009E1474" w:rsidRPr="005A4448" w:rsidRDefault="009E1474" w:rsidP="003E350F">
            <w:pPr>
              <w:pStyle w:val="ListParagraph"/>
              <w:numPr>
                <w:ilvl w:val="0"/>
                <w:numId w:val="24"/>
              </w:numPr>
              <w:shd w:val="clear" w:color="auto" w:fill="800080"/>
              <w:spacing w:before="120" w:after="200"/>
              <w:ind w:left="459" w:hanging="459"/>
              <w:contextualSpacing w:val="0"/>
              <w:rPr>
                <w:rFonts w:eastAsia="Times New Roman"/>
                <w:strike/>
                <w:color w:val="FFFFFF"/>
                <w:szCs w:val="17"/>
                <w:lang w:eastAsia="en-US"/>
              </w:rPr>
            </w:pPr>
            <w:r w:rsidRPr="005A4448">
              <w:rPr>
                <w:rFonts w:eastAsia="Times New Roman"/>
                <w:strike/>
                <w:color w:val="FFFFFF"/>
                <w:szCs w:val="17"/>
                <w:lang w:eastAsia="en-US"/>
              </w:rPr>
              <w:t xml:space="preserve">Comment (i.e. </w:t>
            </w:r>
            <w:r w:rsidR="00990A54" w:rsidRPr="005A4448">
              <w:rPr>
                <w:rFonts w:eastAsia="Times New Roman"/>
                <w:strike/>
                <w:color w:val="FFFFFF"/>
                <w:szCs w:val="17"/>
                <w:lang w:eastAsia="en-US"/>
              </w:rPr>
              <w:t xml:space="preserve"> </w:t>
            </w:r>
            <w:r w:rsidRPr="005A4448">
              <w:rPr>
                <w:rFonts w:eastAsia="Times New Roman"/>
                <w:strike/>
                <w:color w:val="FFFFFF"/>
                <w:szCs w:val="17"/>
                <w:lang w:eastAsia="en-US"/>
              </w:rPr>
              <w:t>free text)</w:t>
            </w:r>
          </w:p>
          <w:p w14:paraId="7EF46432" w14:textId="1734E38B"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Status Event Identification (Status Event Code and Date</w:t>
            </w:r>
            <w:r w:rsidR="00B4795D" w:rsidRPr="007B3934">
              <w:rPr>
                <w:rFonts w:eastAsia="Times New Roman"/>
                <w:color w:val="000000"/>
                <w:szCs w:val="17"/>
                <w:lang w:eastAsia="en-US"/>
              </w:rPr>
              <w:t>;</w:t>
            </w:r>
            <w:r w:rsidR="00FF689D" w:rsidRPr="007B3934">
              <w:rPr>
                <w:rFonts w:eastAsia="Times New Roman"/>
                <w:color w:val="000000"/>
                <w:szCs w:val="17"/>
                <w:lang w:eastAsia="en-US"/>
              </w:rPr>
              <w:t xml:space="preserve"> </w:t>
            </w:r>
            <w:r w:rsidR="00A11C3E" w:rsidRPr="007B3934">
              <w:rPr>
                <w:rFonts w:eastAsia="Times New Roman"/>
                <w:color w:val="000000"/>
                <w:szCs w:val="17"/>
                <w:lang w:eastAsia="en-US"/>
              </w:rPr>
              <w:t xml:space="preserve"> </w:t>
            </w:r>
            <w:r w:rsidR="00FF689D" w:rsidRPr="007B3934">
              <w:rPr>
                <w:rFonts w:eastAsia="Times New Roman"/>
                <w:color w:val="000000"/>
                <w:szCs w:val="17"/>
                <w:lang w:eastAsia="en-US"/>
              </w:rPr>
              <w:t>or Unique Identifier</w:t>
            </w:r>
            <w:r w:rsidRPr="007B3934">
              <w:rPr>
                <w:rFonts w:eastAsia="Times New Roman"/>
                <w:color w:val="000000"/>
                <w:szCs w:val="17"/>
                <w:lang w:eastAsia="en-US"/>
              </w:rPr>
              <w:t>)</w:t>
            </w:r>
          </w:p>
          <w:p w14:paraId="3261E435"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Previously Published Erroneous Content</w:t>
            </w:r>
          </w:p>
          <w:p w14:paraId="750D7A20" w14:textId="77777777" w:rsidR="009E1474" w:rsidRPr="007B3934" w:rsidRDefault="009E1474" w:rsidP="003E350F">
            <w:pPr>
              <w:pStyle w:val="ListParagraph"/>
              <w:numPr>
                <w:ilvl w:val="0"/>
                <w:numId w:val="43"/>
              </w:numPr>
              <w:spacing w:before="120" w:after="200"/>
              <w:ind w:left="459" w:hanging="459"/>
              <w:contextualSpacing w:val="0"/>
              <w:rPr>
                <w:rFonts w:eastAsia="Times New Roman"/>
                <w:color w:val="000000"/>
                <w:szCs w:val="17"/>
                <w:lang w:eastAsia="en-US"/>
              </w:rPr>
            </w:pPr>
            <w:r w:rsidRPr="007B3934">
              <w:rPr>
                <w:rFonts w:eastAsia="Times New Roman"/>
                <w:color w:val="000000"/>
                <w:szCs w:val="17"/>
                <w:lang w:eastAsia="en-US"/>
              </w:rPr>
              <w:t>New Corrected Content</w:t>
            </w:r>
          </w:p>
        </w:tc>
      </w:tr>
    </w:tbl>
    <w:p w14:paraId="6EC4DFA4" w14:textId="77777777" w:rsidR="008A189B" w:rsidRPr="007B3934" w:rsidRDefault="008A189B" w:rsidP="00C63026">
      <w:pPr>
        <w:ind w:left="5529"/>
        <w:rPr>
          <w:bCs/>
          <w:iCs/>
          <w:caps/>
          <w:szCs w:val="17"/>
        </w:rPr>
      </w:pPr>
    </w:p>
    <w:p w14:paraId="00F2FBD4" w14:textId="2DCFE229" w:rsidR="00CC63A2" w:rsidRDefault="00CC63A2" w:rsidP="00C63026">
      <w:pPr>
        <w:ind w:left="5529"/>
        <w:rPr>
          <w:bCs/>
          <w:iCs/>
          <w:caps/>
          <w:szCs w:val="17"/>
        </w:rPr>
      </w:pPr>
    </w:p>
    <w:p w14:paraId="1B241A03" w14:textId="77777777" w:rsidR="00D277C9" w:rsidRPr="007B3934" w:rsidRDefault="00D277C9" w:rsidP="00C63026">
      <w:pPr>
        <w:ind w:left="5529"/>
        <w:rPr>
          <w:bCs/>
          <w:iCs/>
          <w:caps/>
          <w:szCs w:val="17"/>
        </w:rPr>
      </w:pPr>
    </w:p>
    <w:p w14:paraId="1DB4AA80" w14:textId="08D00981" w:rsidR="00A93DCF" w:rsidRDefault="00BB6694" w:rsidP="0061278A">
      <w:pPr>
        <w:ind w:left="5529"/>
        <w:rPr>
          <w:szCs w:val="17"/>
        </w:rPr>
      </w:pPr>
      <w:r w:rsidRPr="007B3934">
        <w:rPr>
          <w:szCs w:val="17"/>
        </w:rPr>
        <w:t xml:space="preserve">[Annex III </w:t>
      </w:r>
      <w:r w:rsidR="001F78E7">
        <w:rPr>
          <w:szCs w:val="17"/>
        </w:rPr>
        <w:t xml:space="preserve">of ST.87 </w:t>
      </w:r>
      <w:r w:rsidRPr="007B3934">
        <w:rPr>
          <w:szCs w:val="17"/>
        </w:rPr>
        <w:t>follows]</w:t>
      </w:r>
    </w:p>
    <w:p w14:paraId="2241EA8A" w14:textId="1ED15259" w:rsidR="00215EEF" w:rsidRDefault="00215EEF" w:rsidP="0061278A">
      <w:pPr>
        <w:ind w:left="5529"/>
        <w:rPr>
          <w:szCs w:val="17"/>
        </w:rPr>
      </w:pPr>
    </w:p>
    <w:p w14:paraId="5F50E411" w14:textId="2F72515D" w:rsidR="00215EEF" w:rsidRDefault="00215EEF" w:rsidP="0061278A">
      <w:pPr>
        <w:ind w:left="5529"/>
        <w:rPr>
          <w:szCs w:val="17"/>
        </w:rPr>
      </w:pPr>
    </w:p>
    <w:p w14:paraId="4832F83B" w14:textId="77777777" w:rsidR="00215EEF" w:rsidRPr="00ED2034" w:rsidRDefault="00215EEF" w:rsidP="00215EEF">
      <w:pPr>
        <w:pStyle w:val="Endofdocument"/>
        <w:spacing w:before="600"/>
        <w:rPr>
          <w:rFonts w:cstheme="minorHAnsi"/>
        </w:rPr>
      </w:pPr>
      <w:r w:rsidRPr="00ED2034">
        <w:rPr>
          <w:rFonts w:cstheme="minorHAnsi"/>
        </w:rPr>
        <w:t>[End of Annex and of document]</w:t>
      </w:r>
    </w:p>
    <w:p w14:paraId="4FA81F79" w14:textId="77777777" w:rsidR="00215EEF" w:rsidRDefault="00215EEF" w:rsidP="0061278A">
      <w:pPr>
        <w:ind w:left="5529"/>
        <w:rPr>
          <w:szCs w:val="17"/>
        </w:rPr>
      </w:pPr>
    </w:p>
    <w:sectPr w:rsidR="00215EEF" w:rsidSect="0061278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A723" w14:textId="77777777" w:rsidR="003D4495" w:rsidRDefault="003D4495">
      <w:r>
        <w:separator/>
      </w:r>
    </w:p>
  </w:endnote>
  <w:endnote w:type="continuationSeparator" w:id="0">
    <w:p w14:paraId="6E34231F" w14:textId="77777777" w:rsidR="003D4495" w:rsidRDefault="003D4495" w:rsidP="00A326CA">
      <w:r>
        <w:separator/>
      </w:r>
    </w:p>
    <w:p w14:paraId="61344935" w14:textId="77777777" w:rsidR="003D4495" w:rsidRPr="00A326CA" w:rsidRDefault="003D4495" w:rsidP="00A326CA">
      <w:r>
        <w:t>[Endnote continued from previous page]</w:t>
      </w:r>
    </w:p>
  </w:endnote>
  <w:endnote w:type="continuationNotice" w:id="1">
    <w:p w14:paraId="6B537325" w14:textId="77777777" w:rsidR="003D4495" w:rsidRPr="00A326CA" w:rsidRDefault="003D4495"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146B" w14:textId="77777777" w:rsidR="00E2740C" w:rsidRDefault="00E27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2D3B" w14:textId="77777777" w:rsidR="00E2740C" w:rsidRDefault="00E27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7702" w14:textId="77777777" w:rsidR="003D4495" w:rsidRDefault="003D4495">
      <w:r>
        <w:separator/>
      </w:r>
    </w:p>
  </w:footnote>
  <w:footnote w:type="continuationSeparator" w:id="0">
    <w:p w14:paraId="6954936F" w14:textId="77777777" w:rsidR="003D4495" w:rsidRDefault="003D4495" w:rsidP="00A326CA">
      <w:r>
        <w:separator/>
      </w:r>
    </w:p>
    <w:p w14:paraId="6CA8F13F" w14:textId="77777777" w:rsidR="003D4495" w:rsidRPr="00A326CA" w:rsidRDefault="003D4495" w:rsidP="00A326CA">
      <w:pPr>
        <w:spacing w:after="60"/>
        <w:rPr>
          <w:szCs w:val="17"/>
        </w:rPr>
      </w:pPr>
      <w:r w:rsidRPr="00ED77FB">
        <w:rPr>
          <w:szCs w:val="17"/>
        </w:rPr>
        <w:t>[Footnot</w:t>
      </w:r>
      <w:r>
        <w:rPr>
          <w:szCs w:val="17"/>
        </w:rPr>
        <w:t>e continued from previous page]</w:t>
      </w:r>
    </w:p>
  </w:footnote>
  <w:footnote w:type="continuationNotice" w:id="1">
    <w:p w14:paraId="2030AE72" w14:textId="77777777" w:rsidR="003D4495" w:rsidRPr="00A326CA" w:rsidRDefault="003D4495"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3FC1" w14:textId="4F43AC69" w:rsidR="00215EEF" w:rsidRPr="00215EEF" w:rsidRDefault="00215EEF" w:rsidP="00215EEF">
    <w:pPr>
      <w:pStyle w:val="Header"/>
      <w:jc w:val="right"/>
      <w:rPr>
        <w:sz w:val="22"/>
      </w:rPr>
    </w:pPr>
    <w:r w:rsidRPr="00215EEF">
      <w:rPr>
        <w:sz w:val="22"/>
      </w:rPr>
      <w:t>CWS/10/11</w:t>
    </w:r>
  </w:p>
  <w:p w14:paraId="6D08B1F1" w14:textId="04D93799" w:rsidR="00215EEF" w:rsidRPr="00215EEF" w:rsidRDefault="00215EEF" w:rsidP="00215EEF">
    <w:pPr>
      <w:pStyle w:val="Header"/>
      <w:spacing w:after="360"/>
      <w:jc w:val="right"/>
      <w:rPr>
        <w:sz w:val="22"/>
      </w:rPr>
    </w:pPr>
    <w:r w:rsidRPr="00215EEF">
      <w:rPr>
        <w:sz w:val="22"/>
      </w:rPr>
      <w:t xml:space="preserve">Annex, page </w:t>
    </w:r>
    <w:r w:rsidRPr="00215EEF">
      <w:rPr>
        <w:sz w:val="22"/>
      </w:rPr>
      <w:fldChar w:fldCharType="begin"/>
    </w:r>
    <w:r w:rsidRPr="00215EEF">
      <w:rPr>
        <w:sz w:val="22"/>
      </w:rPr>
      <w:instrText xml:space="preserve"> PAGE  \* MERGEFORMAT </w:instrText>
    </w:r>
    <w:r w:rsidRPr="00215EEF">
      <w:rPr>
        <w:sz w:val="22"/>
      </w:rPr>
      <w:fldChar w:fldCharType="separate"/>
    </w:r>
    <w:r w:rsidR="00084F9B">
      <w:rPr>
        <w:noProof/>
        <w:sz w:val="22"/>
      </w:rPr>
      <w:t>8</w:t>
    </w:r>
    <w:r w:rsidRPr="00215EEF">
      <w:rPr>
        <w:sz w:val="22"/>
      </w:rPr>
      <w:fldChar w:fldCharType="end"/>
    </w:r>
  </w:p>
  <w:p w14:paraId="7F51FA41" w14:textId="77777777" w:rsidR="0061278A" w:rsidRPr="00E016E8" w:rsidRDefault="0061278A" w:rsidP="0061278A">
    <w:pPr>
      <w:pStyle w:val="Header"/>
      <w:rPr>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BE62" w14:textId="77777777" w:rsidR="00215EEF" w:rsidRPr="00215EEF" w:rsidRDefault="00215EEF" w:rsidP="00215EEF">
    <w:pPr>
      <w:tabs>
        <w:tab w:val="center" w:pos="4536"/>
        <w:tab w:val="right" w:pos="9072"/>
      </w:tabs>
      <w:jc w:val="right"/>
      <w:rPr>
        <w:sz w:val="22"/>
      </w:rPr>
    </w:pPr>
    <w:r w:rsidRPr="00215EEF">
      <w:rPr>
        <w:sz w:val="22"/>
      </w:rPr>
      <w:t>CWS/10/11</w:t>
    </w:r>
  </w:p>
  <w:p w14:paraId="330590DE" w14:textId="73367DD6" w:rsidR="00215EEF" w:rsidRPr="00215EEF" w:rsidRDefault="00215EEF" w:rsidP="00215EEF">
    <w:pPr>
      <w:tabs>
        <w:tab w:val="center" w:pos="4536"/>
        <w:tab w:val="right" w:pos="9072"/>
      </w:tabs>
      <w:spacing w:after="360"/>
      <w:jc w:val="right"/>
      <w:rPr>
        <w:sz w:val="22"/>
      </w:rPr>
    </w:pPr>
    <w:r w:rsidRPr="00215EEF">
      <w:rPr>
        <w:sz w:val="22"/>
      </w:rPr>
      <w:t xml:space="preserve">Annex, page </w:t>
    </w:r>
    <w:r w:rsidRPr="00215EEF">
      <w:rPr>
        <w:sz w:val="22"/>
      </w:rPr>
      <w:fldChar w:fldCharType="begin"/>
    </w:r>
    <w:r w:rsidRPr="00215EEF">
      <w:rPr>
        <w:sz w:val="22"/>
      </w:rPr>
      <w:instrText xml:space="preserve"> PAGE  \* MERGEFORMAT </w:instrText>
    </w:r>
    <w:r w:rsidRPr="00215EEF">
      <w:rPr>
        <w:sz w:val="22"/>
      </w:rPr>
      <w:fldChar w:fldCharType="separate"/>
    </w:r>
    <w:r w:rsidR="00084F9B">
      <w:rPr>
        <w:noProof/>
        <w:sz w:val="22"/>
      </w:rPr>
      <w:t>9</w:t>
    </w:r>
    <w:r w:rsidRPr="00215EEF">
      <w:rPr>
        <w:sz w:val="22"/>
      </w:rPr>
      <w:fldChar w:fldCharType="end"/>
    </w:r>
  </w:p>
  <w:p w14:paraId="55EB88BA" w14:textId="77777777" w:rsidR="007850B8" w:rsidRPr="00E016E8" w:rsidRDefault="007850B8">
    <w:pPr>
      <w:pStyle w:val="Header"/>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8A57" w14:textId="72AD3C38" w:rsidR="00215EEF" w:rsidRPr="00215EEF" w:rsidRDefault="00215EEF" w:rsidP="00215EEF">
    <w:pPr>
      <w:pStyle w:val="Header"/>
      <w:jc w:val="right"/>
      <w:rPr>
        <w:sz w:val="22"/>
      </w:rPr>
    </w:pPr>
    <w:r w:rsidRPr="00215EEF">
      <w:rPr>
        <w:sz w:val="22"/>
      </w:rPr>
      <w:t>CWS/10/11</w:t>
    </w:r>
  </w:p>
  <w:p w14:paraId="3F000F43" w14:textId="77777777" w:rsidR="00215EEF" w:rsidRPr="00215EEF" w:rsidRDefault="00215EEF" w:rsidP="00215EEF">
    <w:pPr>
      <w:pStyle w:val="Header"/>
      <w:jc w:val="right"/>
      <w:rPr>
        <w:sz w:val="22"/>
      </w:rPr>
    </w:pPr>
    <w:r w:rsidRPr="00215EEF">
      <w:rPr>
        <w:sz w:val="22"/>
      </w:rPr>
      <w:t>ANNEX</w:t>
    </w:r>
  </w:p>
  <w:p w14:paraId="029432FC" w14:textId="77777777" w:rsidR="0061278A" w:rsidRPr="00E016E8" w:rsidRDefault="0061278A" w:rsidP="0061278A">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F72"/>
    <w:multiLevelType w:val="hybridMultilevel"/>
    <w:tmpl w:val="EBDC1DCC"/>
    <w:lvl w:ilvl="0" w:tplc="F68856CA">
      <w:start w:val="1"/>
      <w:numFmt w:val="decimal"/>
      <w:lvlText w:val="%1."/>
      <w:lvlJc w:val="left"/>
      <w:pPr>
        <w:ind w:left="398"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5D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B3A16"/>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7808"/>
    <w:multiLevelType w:val="hybridMultilevel"/>
    <w:tmpl w:val="85489A5E"/>
    <w:lvl w:ilvl="0" w:tplc="70D40056">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A5C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480F5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F267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4E6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03BB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9B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A32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62C4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441AE"/>
    <w:multiLevelType w:val="hybridMultilevel"/>
    <w:tmpl w:val="D33ADFAE"/>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20A7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93A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754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5719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7237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8"/>
  </w:num>
  <w:num w:numId="5">
    <w:abstractNumId w:val="42"/>
  </w:num>
  <w:num w:numId="6">
    <w:abstractNumId w:val="40"/>
  </w:num>
  <w:num w:numId="7">
    <w:abstractNumId w:val="24"/>
  </w:num>
  <w:num w:numId="8">
    <w:abstractNumId w:val="35"/>
  </w:num>
  <w:num w:numId="9">
    <w:abstractNumId w:val="20"/>
  </w:num>
  <w:num w:numId="10">
    <w:abstractNumId w:val="23"/>
  </w:num>
  <w:num w:numId="11">
    <w:abstractNumId w:val="27"/>
  </w:num>
  <w:num w:numId="12">
    <w:abstractNumId w:val="25"/>
  </w:num>
  <w:num w:numId="13">
    <w:abstractNumId w:val="13"/>
  </w:num>
  <w:num w:numId="14">
    <w:abstractNumId w:val="28"/>
  </w:num>
  <w:num w:numId="15">
    <w:abstractNumId w:val="1"/>
  </w:num>
  <w:num w:numId="16">
    <w:abstractNumId w:val="6"/>
  </w:num>
  <w:num w:numId="17">
    <w:abstractNumId w:val="5"/>
  </w:num>
  <w:num w:numId="18">
    <w:abstractNumId w:val="36"/>
  </w:num>
  <w:num w:numId="19">
    <w:abstractNumId w:val="9"/>
  </w:num>
  <w:num w:numId="20">
    <w:abstractNumId w:val="14"/>
  </w:num>
  <w:num w:numId="21">
    <w:abstractNumId w:val="31"/>
  </w:num>
  <w:num w:numId="22">
    <w:abstractNumId w:val="29"/>
  </w:num>
  <w:num w:numId="23">
    <w:abstractNumId w:val="3"/>
  </w:num>
  <w:num w:numId="24">
    <w:abstractNumId w:val="18"/>
  </w:num>
  <w:num w:numId="25">
    <w:abstractNumId w:val="37"/>
  </w:num>
  <w:num w:numId="26">
    <w:abstractNumId w:val="30"/>
  </w:num>
  <w:num w:numId="27">
    <w:abstractNumId w:val="16"/>
  </w:num>
  <w:num w:numId="28">
    <w:abstractNumId w:val="0"/>
  </w:num>
  <w:num w:numId="29">
    <w:abstractNumId w:val="10"/>
  </w:num>
  <w:num w:numId="30">
    <w:abstractNumId w:val="17"/>
  </w:num>
  <w:num w:numId="31">
    <w:abstractNumId w:val="8"/>
  </w:num>
  <w:num w:numId="32">
    <w:abstractNumId w:val="39"/>
  </w:num>
  <w:num w:numId="33">
    <w:abstractNumId w:val="34"/>
  </w:num>
  <w:num w:numId="34">
    <w:abstractNumId w:val="21"/>
  </w:num>
  <w:num w:numId="35">
    <w:abstractNumId w:val="41"/>
  </w:num>
  <w:num w:numId="36">
    <w:abstractNumId w:val="15"/>
  </w:num>
  <w:num w:numId="37">
    <w:abstractNumId w:val="12"/>
  </w:num>
  <w:num w:numId="38">
    <w:abstractNumId w:val="4"/>
  </w:num>
  <w:num w:numId="39">
    <w:abstractNumId w:val="32"/>
  </w:num>
  <w:num w:numId="40">
    <w:abstractNumId w:val="7"/>
  </w:num>
  <w:num w:numId="41">
    <w:abstractNumId w:val="22"/>
  </w:num>
  <w:num w:numId="42">
    <w:abstractNumId w:val="33"/>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641"/>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4F9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890"/>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CED"/>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78E7"/>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39A"/>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D68D2"/>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4495"/>
    <w:rsid w:val="003D669E"/>
    <w:rsid w:val="003E0174"/>
    <w:rsid w:val="003E2884"/>
    <w:rsid w:val="003E34B3"/>
    <w:rsid w:val="003E350F"/>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0F0"/>
    <w:rsid w:val="00551424"/>
    <w:rsid w:val="00560BE4"/>
    <w:rsid w:val="005615F5"/>
    <w:rsid w:val="0056427E"/>
    <w:rsid w:val="00564565"/>
    <w:rsid w:val="0056509F"/>
    <w:rsid w:val="005657D5"/>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A2958"/>
    <w:rsid w:val="005A444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6705"/>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4778E"/>
    <w:rsid w:val="00752487"/>
    <w:rsid w:val="007539AF"/>
    <w:rsid w:val="007550A6"/>
    <w:rsid w:val="007552A1"/>
    <w:rsid w:val="007566A4"/>
    <w:rsid w:val="00760A28"/>
    <w:rsid w:val="00763B67"/>
    <w:rsid w:val="0076636B"/>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37B8"/>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43FD"/>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6359"/>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39A0"/>
    <w:rsid w:val="00B1460A"/>
    <w:rsid w:val="00B149DB"/>
    <w:rsid w:val="00B15048"/>
    <w:rsid w:val="00B15E94"/>
    <w:rsid w:val="00B16BA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44CD"/>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40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1DDF"/>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1F73"/>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E9EE0-A156-4999-A241-37CA6CDB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2758</Words>
  <Characters>14845</Characters>
  <Application>Microsoft Office Word</Application>
  <DocSecurity>0</DocSecurity>
  <Lines>548</Lines>
  <Paragraphs>223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2018-12-19T17:47:00Z</cp:lastPrinted>
  <dcterms:created xsi:type="dcterms:W3CDTF">2022-09-13T14:43:00Z</dcterms:created>
  <dcterms:modified xsi:type="dcterms:W3CDTF">2022-09-13T14:43:00Z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ies>
</file>