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E9637" w14:textId="77777777" w:rsidR="008B2CC1" w:rsidRPr="00F043DE" w:rsidRDefault="00B92F1F" w:rsidP="00846CF6">
      <w:pPr>
        <w:pBdr>
          <w:bottom w:val="single" w:sz="4" w:space="11" w:color="auto"/>
        </w:pBdr>
        <w:spacing w:after="120"/>
        <w:jc w:val="right"/>
        <w:rPr>
          <w:b/>
          <w:sz w:val="32"/>
          <w:szCs w:val="40"/>
        </w:rPr>
      </w:pPr>
      <w:r>
        <w:rPr>
          <w:noProof/>
          <w:sz w:val="28"/>
          <w:szCs w:val="28"/>
        </w:rPr>
        <w:drawing>
          <wp:inline distT="0" distB="0" distL="0" distR="0" wp14:anchorId="77124AB0" wp14:editId="13C833C2">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2135790D" w14:textId="77777777" w:rsidR="008B2CC1" w:rsidRPr="002326AB" w:rsidRDefault="00846CF6" w:rsidP="00EB2F76">
      <w:pPr>
        <w:jc w:val="right"/>
        <w:rPr>
          <w:rFonts w:ascii="Arial Black" w:hAnsi="Arial Black"/>
          <w:caps/>
          <w:sz w:val="15"/>
          <w:szCs w:val="15"/>
        </w:rPr>
      </w:pPr>
      <w:r>
        <w:rPr>
          <w:rFonts w:ascii="Arial Black" w:hAnsi="Arial Black"/>
          <w:caps/>
          <w:sz w:val="15"/>
          <w:szCs w:val="15"/>
        </w:rPr>
        <w:t>CWs/</w:t>
      </w:r>
      <w:r w:rsidR="0038392C">
        <w:rPr>
          <w:rFonts w:ascii="Arial Black" w:hAnsi="Arial Black"/>
          <w:caps/>
          <w:sz w:val="15"/>
          <w:szCs w:val="15"/>
        </w:rPr>
        <w:t>10</w:t>
      </w:r>
      <w:r>
        <w:rPr>
          <w:rFonts w:ascii="Arial Black" w:hAnsi="Arial Black"/>
          <w:caps/>
          <w:sz w:val="15"/>
          <w:szCs w:val="15"/>
        </w:rPr>
        <w:t>/</w:t>
      </w:r>
      <w:bookmarkStart w:id="0" w:name="Code"/>
      <w:bookmarkEnd w:id="0"/>
      <w:r w:rsidR="003644D9">
        <w:rPr>
          <w:rFonts w:ascii="Arial Black" w:hAnsi="Arial Black"/>
          <w:caps/>
          <w:sz w:val="15"/>
          <w:szCs w:val="15"/>
        </w:rPr>
        <w:t>2</w:t>
      </w:r>
      <w:r w:rsidR="0038392C">
        <w:rPr>
          <w:rFonts w:ascii="Arial Black" w:hAnsi="Arial Black"/>
          <w:caps/>
          <w:sz w:val="15"/>
          <w:szCs w:val="15"/>
        </w:rPr>
        <w:t>0</w:t>
      </w:r>
    </w:p>
    <w:p w14:paraId="1B719CA0"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9E2E0C">
        <w:rPr>
          <w:rFonts w:ascii="Arial Black" w:hAnsi="Arial Black"/>
          <w:caps/>
          <w:sz w:val="15"/>
          <w:szCs w:val="15"/>
        </w:rPr>
        <w:t>english</w:t>
      </w:r>
    </w:p>
    <w:bookmarkEnd w:id="1"/>
    <w:p w14:paraId="709262BD" w14:textId="11E65880"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C20DB1" w:rsidRPr="00C20DB1">
        <w:rPr>
          <w:rFonts w:ascii="Arial Black" w:hAnsi="Arial Black"/>
          <w:caps/>
          <w:sz w:val="15"/>
          <w:szCs w:val="15"/>
        </w:rPr>
        <w:t xml:space="preserve">september </w:t>
      </w:r>
      <w:r w:rsidR="00FA0C32" w:rsidRPr="00FA0C32">
        <w:rPr>
          <w:rFonts w:ascii="Arial Black" w:hAnsi="Arial Black"/>
          <w:caps/>
          <w:sz w:val="15"/>
          <w:szCs w:val="15"/>
        </w:rPr>
        <w:t>21</w:t>
      </w:r>
      <w:r w:rsidR="009E2E0C" w:rsidRPr="00FA0C32">
        <w:rPr>
          <w:rFonts w:ascii="Arial Black" w:hAnsi="Arial Black"/>
          <w:caps/>
          <w:sz w:val="15"/>
          <w:szCs w:val="15"/>
        </w:rPr>
        <w:t>,</w:t>
      </w:r>
      <w:r w:rsidR="009E2E0C">
        <w:rPr>
          <w:rFonts w:ascii="Arial Black" w:hAnsi="Arial Black"/>
          <w:caps/>
          <w:sz w:val="15"/>
          <w:szCs w:val="15"/>
        </w:rPr>
        <w:t xml:space="preserve"> 202</w:t>
      </w:r>
      <w:r w:rsidR="0038392C">
        <w:rPr>
          <w:rFonts w:ascii="Arial Black" w:hAnsi="Arial Black"/>
          <w:caps/>
          <w:sz w:val="15"/>
          <w:szCs w:val="15"/>
        </w:rPr>
        <w:t>2</w:t>
      </w:r>
    </w:p>
    <w:p w14:paraId="3AE2EAD7" w14:textId="77777777" w:rsidR="008B2CC1" w:rsidRPr="009E2E0C" w:rsidRDefault="00E45755" w:rsidP="00720EFD">
      <w:pPr>
        <w:pStyle w:val="Heading1"/>
        <w:spacing w:before="0" w:after="480"/>
        <w:rPr>
          <w:sz w:val="36"/>
          <w:szCs w:val="28"/>
        </w:rPr>
      </w:pPr>
      <w:bookmarkStart w:id="3" w:name="_GoBack"/>
      <w:bookmarkEnd w:id="2"/>
      <w:bookmarkEnd w:id="3"/>
      <w:r w:rsidRPr="009E2E0C">
        <w:rPr>
          <w:caps w:val="0"/>
          <w:sz w:val="28"/>
        </w:rPr>
        <w:t xml:space="preserve">Committee on WIPO Standards </w:t>
      </w:r>
      <w:r w:rsidRPr="009E2E0C">
        <w:rPr>
          <w:sz w:val="28"/>
        </w:rPr>
        <w:t>(CWS)</w:t>
      </w:r>
    </w:p>
    <w:p w14:paraId="2E580F73" w14:textId="77777777" w:rsidR="00E45755" w:rsidRPr="00846CF6" w:rsidRDefault="0038392C" w:rsidP="00E45755">
      <w:pPr>
        <w:outlineLvl w:val="1"/>
        <w:rPr>
          <w:b/>
          <w:sz w:val="24"/>
          <w:szCs w:val="24"/>
        </w:rPr>
      </w:pPr>
      <w:r>
        <w:rPr>
          <w:b/>
          <w:sz w:val="24"/>
          <w:szCs w:val="24"/>
        </w:rPr>
        <w:t>Tent</w:t>
      </w:r>
      <w:r w:rsidR="00E45755" w:rsidRPr="00846CF6">
        <w:rPr>
          <w:b/>
          <w:sz w:val="24"/>
          <w:szCs w:val="24"/>
        </w:rPr>
        <w:t>h Session</w:t>
      </w:r>
    </w:p>
    <w:p w14:paraId="03558459" w14:textId="77777777" w:rsidR="008B2CC1" w:rsidRDefault="00846CF6" w:rsidP="00F9165B">
      <w:pPr>
        <w:spacing w:after="720"/>
        <w:outlineLvl w:val="1"/>
        <w:rPr>
          <w:b/>
          <w:sz w:val="24"/>
          <w:szCs w:val="24"/>
        </w:rPr>
      </w:pPr>
      <w:r w:rsidRPr="00846CF6">
        <w:rPr>
          <w:b/>
          <w:sz w:val="24"/>
          <w:szCs w:val="24"/>
        </w:rPr>
        <w:t xml:space="preserve">Geneva, November </w:t>
      </w:r>
      <w:r w:rsidR="0038392C">
        <w:rPr>
          <w:b/>
          <w:sz w:val="24"/>
          <w:szCs w:val="24"/>
        </w:rPr>
        <w:t>2</w:t>
      </w:r>
      <w:r w:rsidRPr="00846CF6">
        <w:rPr>
          <w:b/>
          <w:sz w:val="24"/>
          <w:szCs w:val="24"/>
        </w:rPr>
        <w:t xml:space="preserve">1 to </w:t>
      </w:r>
      <w:r w:rsidR="0038392C">
        <w:rPr>
          <w:b/>
          <w:sz w:val="24"/>
          <w:szCs w:val="24"/>
        </w:rPr>
        <w:t>25, 2022</w:t>
      </w:r>
    </w:p>
    <w:p w14:paraId="02C30E72" w14:textId="77777777" w:rsidR="008B2CC1" w:rsidRPr="003845C1" w:rsidRDefault="009E2E0C" w:rsidP="00DD7B7F">
      <w:pPr>
        <w:spacing w:after="360"/>
        <w:outlineLvl w:val="0"/>
        <w:rPr>
          <w:caps/>
          <w:sz w:val="24"/>
        </w:rPr>
      </w:pPr>
      <w:bookmarkStart w:id="4" w:name="TitleOfDoc"/>
      <w:r>
        <w:rPr>
          <w:caps/>
          <w:sz w:val="24"/>
        </w:rPr>
        <w:t>REPORT BY THE INTERNATIONAL BUREAU ON THE PROVISION OF TECHNICAL ADVICE AND ASSISTANCE FOR CAPACITY BUILDING TO INDUSTRIAL PROPERTY OFFICES IN CONNECTION WITH THE MANDATE OF THE CWS</w:t>
      </w:r>
    </w:p>
    <w:p w14:paraId="100DE32A" w14:textId="77777777" w:rsidR="002928D3" w:rsidRPr="00F9165B" w:rsidRDefault="009E2E0C" w:rsidP="001D4107">
      <w:pPr>
        <w:spacing w:after="1040"/>
        <w:rPr>
          <w:i/>
        </w:rPr>
      </w:pPr>
      <w:bookmarkStart w:id="5" w:name="Prepared"/>
      <w:bookmarkEnd w:id="4"/>
      <w:bookmarkEnd w:id="5"/>
      <w:r>
        <w:rPr>
          <w:i/>
        </w:rPr>
        <w:t>Document prepared by the International Bureau</w:t>
      </w:r>
    </w:p>
    <w:p w14:paraId="7FD07B21" w14:textId="77777777" w:rsidR="009E2E0C" w:rsidRDefault="009E2E0C" w:rsidP="009E2E0C"/>
    <w:p w14:paraId="7C108CA8" w14:textId="77777777" w:rsidR="009E2E0C" w:rsidRDefault="009E2E0C" w:rsidP="009E2E0C">
      <w:pPr>
        <w:pStyle w:val="Heading2"/>
        <w:spacing w:before="0"/>
        <w:rPr>
          <w:caps w:val="0"/>
        </w:rPr>
      </w:pPr>
      <w:r>
        <w:rPr>
          <w:caps w:val="0"/>
        </w:rPr>
        <w:t>INTRODUCTION</w:t>
      </w:r>
    </w:p>
    <w:p w14:paraId="21F109FC" w14:textId="6E0B62BE" w:rsidR="009E2E0C" w:rsidRPr="000C1A15" w:rsidRDefault="009A67CE" w:rsidP="009A67CE">
      <w:pPr>
        <w:pStyle w:val="ONUME"/>
        <w:numPr>
          <w:ilvl w:val="0"/>
          <w:numId w:val="0"/>
        </w:numPr>
        <w:rPr>
          <w:lang w:eastAsia="en-US"/>
        </w:rPr>
      </w:pPr>
      <w:r>
        <w:rPr>
          <w:lang w:eastAsia="en-US"/>
        </w:rPr>
        <w:fldChar w:fldCharType="begin"/>
      </w:r>
      <w:r>
        <w:rPr>
          <w:lang w:eastAsia="en-US"/>
        </w:rPr>
        <w:instrText xml:space="preserve"> AUTONUM  </w:instrText>
      </w:r>
      <w:r>
        <w:rPr>
          <w:lang w:eastAsia="en-US"/>
        </w:rPr>
        <w:fldChar w:fldCharType="end"/>
      </w:r>
      <w:r>
        <w:rPr>
          <w:lang w:eastAsia="en-US"/>
        </w:rPr>
        <w:tab/>
      </w:r>
      <w:r w:rsidR="009E2E0C" w:rsidRPr="000C1A15">
        <w:rPr>
          <w:lang w:eastAsia="en-US"/>
        </w:rPr>
        <w:t xml:space="preserve">This report aims to </w:t>
      </w:r>
      <w:r w:rsidR="009E2E0C">
        <w:rPr>
          <w:lang w:eastAsia="en-US"/>
        </w:rPr>
        <w:t xml:space="preserve">implement the decision taken by the General Assembly in 2011 relating to the mandate of </w:t>
      </w:r>
      <w:r w:rsidR="009E2E0C" w:rsidRPr="000C1A15">
        <w:rPr>
          <w:lang w:eastAsia="en-US"/>
        </w:rPr>
        <w:t xml:space="preserve">the </w:t>
      </w:r>
      <w:r w:rsidR="009E2E0C">
        <w:rPr>
          <w:lang w:eastAsia="en-US"/>
        </w:rPr>
        <w:t>Committee on WIPO Standards (</w:t>
      </w:r>
      <w:r w:rsidR="009E2E0C" w:rsidRPr="000C1A15">
        <w:rPr>
          <w:lang w:eastAsia="en-US"/>
        </w:rPr>
        <w:t>CWS</w:t>
      </w:r>
      <w:r w:rsidR="009E2E0C">
        <w:rPr>
          <w:lang w:eastAsia="en-US"/>
        </w:rPr>
        <w:t>) and to provide</w:t>
      </w:r>
      <w:r w:rsidR="009E2E0C" w:rsidRPr="000C1A15">
        <w:rPr>
          <w:lang w:eastAsia="en-US"/>
        </w:rPr>
        <w:t xml:space="preserve"> </w:t>
      </w:r>
      <w:r w:rsidR="009E2E0C">
        <w:rPr>
          <w:lang w:eastAsia="en-US"/>
        </w:rPr>
        <w:t>regular written reports on the details of activities undertaken during the year 20</w:t>
      </w:r>
      <w:r w:rsidR="00E33F98">
        <w:rPr>
          <w:lang w:eastAsia="en-US"/>
        </w:rPr>
        <w:t>2</w:t>
      </w:r>
      <w:r w:rsidR="0038392C">
        <w:rPr>
          <w:lang w:eastAsia="en-US"/>
        </w:rPr>
        <w:t>1</w:t>
      </w:r>
      <w:r w:rsidR="00F52014">
        <w:rPr>
          <w:lang w:eastAsia="en-US"/>
        </w:rPr>
        <w:t>,</w:t>
      </w:r>
      <w:r w:rsidR="009E2E0C">
        <w:rPr>
          <w:lang w:eastAsia="en-US"/>
        </w:rPr>
        <w:t xml:space="preserve"> in which the Secretariat or the International Bureau of WIPO </w:t>
      </w:r>
      <w:r>
        <w:rPr>
          <w:lang w:eastAsia="en-US"/>
        </w:rPr>
        <w:t>“</w:t>
      </w:r>
      <w:r w:rsidR="009E2E0C">
        <w:rPr>
          <w:lang w:eastAsia="en-US"/>
        </w:rPr>
        <w:t>endeavor</w:t>
      </w:r>
      <w:r w:rsidR="004E0BCA">
        <w:rPr>
          <w:lang w:eastAsia="en-US"/>
        </w:rPr>
        <w:t>[</w:t>
      </w:r>
      <w:r w:rsidR="009E2E0C">
        <w:rPr>
          <w:lang w:eastAsia="en-US"/>
        </w:rPr>
        <w:t>ed</w:t>
      </w:r>
      <w:r w:rsidR="004E0BCA">
        <w:rPr>
          <w:lang w:eastAsia="en-US"/>
        </w:rPr>
        <w:t>]</w:t>
      </w:r>
      <w:r w:rsidR="009E2E0C">
        <w:rPr>
          <w:lang w:eastAsia="en-US"/>
        </w:rPr>
        <w:t xml:space="preserve"> to provide </w:t>
      </w:r>
      <w:r w:rsidR="009E2E0C" w:rsidRPr="000C1A15">
        <w:rPr>
          <w:lang w:eastAsia="en-US"/>
        </w:rPr>
        <w:t xml:space="preserve">technical advice and assistance for capacity building to </w:t>
      </w:r>
      <w:r w:rsidR="009E2E0C" w:rsidRPr="001B28FE">
        <w:rPr>
          <w:lang w:eastAsia="en-US"/>
        </w:rPr>
        <w:t>IP</w:t>
      </w:r>
      <w:r w:rsidR="009E2E0C">
        <w:rPr>
          <w:lang w:eastAsia="en-US"/>
        </w:rPr>
        <w:t xml:space="preserve"> </w:t>
      </w:r>
      <w:r w:rsidR="009E2E0C" w:rsidRPr="001B28FE">
        <w:rPr>
          <w:lang w:eastAsia="en-US"/>
        </w:rPr>
        <w:t>Offices</w:t>
      </w:r>
      <w:r w:rsidR="009E2E0C">
        <w:rPr>
          <w:lang w:eastAsia="en-US"/>
        </w:rPr>
        <w:t xml:space="preserve"> (IPOs)</w:t>
      </w:r>
      <w:r w:rsidR="009E2E0C" w:rsidRPr="000C1A15">
        <w:rPr>
          <w:lang w:eastAsia="en-US"/>
        </w:rPr>
        <w:t xml:space="preserve"> </w:t>
      </w:r>
      <w:r w:rsidR="009E2E0C">
        <w:rPr>
          <w:lang w:eastAsia="en-US"/>
        </w:rPr>
        <w:t xml:space="preserve">by undertaking projects regarding dissemination of </w:t>
      </w:r>
      <w:r w:rsidR="009E2E0C" w:rsidRPr="001B28FE">
        <w:rPr>
          <w:lang w:eastAsia="en-US"/>
        </w:rPr>
        <w:t xml:space="preserve">IP </w:t>
      </w:r>
      <w:r w:rsidR="00F52014">
        <w:rPr>
          <w:lang w:eastAsia="en-US"/>
        </w:rPr>
        <w:t>S</w:t>
      </w:r>
      <w:r w:rsidR="009E2E0C" w:rsidRPr="001B28FE">
        <w:rPr>
          <w:lang w:eastAsia="en-US"/>
        </w:rPr>
        <w:t>tandards</w:t>
      </w:r>
      <w:r w:rsidR="009E2E0C">
        <w:rPr>
          <w:lang w:eastAsia="en-US"/>
        </w:rPr>
        <w:t xml:space="preserve"> information</w:t>
      </w:r>
      <w:r>
        <w:rPr>
          <w:lang w:eastAsia="en-US"/>
        </w:rPr>
        <w:t>”</w:t>
      </w:r>
      <w:r w:rsidR="009E2E0C">
        <w:rPr>
          <w:lang w:eastAsia="en-US"/>
        </w:rPr>
        <w:t xml:space="preserve"> </w:t>
      </w:r>
      <w:r w:rsidR="009E2E0C" w:rsidRPr="000C1A15">
        <w:rPr>
          <w:lang w:eastAsia="en-US"/>
        </w:rPr>
        <w:t>(see paragraph</w:t>
      </w:r>
      <w:r w:rsidR="009E2E0C">
        <w:rPr>
          <w:lang w:eastAsia="en-US"/>
        </w:rPr>
        <w:t> </w:t>
      </w:r>
      <w:r w:rsidR="009E2E0C" w:rsidRPr="000C1A15">
        <w:rPr>
          <w:lang w:eastAsia="en-US"/>
        </w:rPr>
        <w:t>190 of</w:t>
      </w:r>
      <w:r w:rsidR="009E2E0C">
        <w:rPr>
          <w:lang w:eastAsia="en-US"/>
        </w:rPr>
        <w:t xml:space="preserve"> </w:t>
      </w:r>
      <w:r w:rsidR="009E2E0C" w:rsidRPr="000C1A15">
        <w:rPr>
          <w:lang w:eastAsia="en-US"/>
        </w:rPr>
        <w:t>document</w:t>
      </w:r>
      <w:r w:rsidR="009E2E0C">
        <w:rPr>
          <w:lang w:eastAsia="en-US"/>
        </w:rPr>
        <w:t> </w:t>
      </w:r>
      <w:r w:rsidR="009E2E0C" w:rsidRPr="000C1A15">
        <w:rPr>
          <w:lang w:eastAsia="en-US"/>
        </w:rPr>
        <w:t>WO/GA/40/19)</w:t>
      </w:r>
      <w:r w:rsidR="009E2E0C">
        <w:rPr>
          <w:lang w:eastAsia="en-US"/>
        </w:rPr>
        <w:t>.</w:t>
      </w:r>
      <w:r w:rsidR="009E2E0C" w:rsidRPr="000C1A15">
        <w:rPr>
          <w:lang w:eastAsia="en-US"/>
        </w:rPr>
        <w:t xml:space="preserve">  </w:t>
      </w:r>
      <w:r w:rsidR="009E2E0C">
        <w:rPr>
          <w:lang w:eastAsia="en-US"/>
        </w:rPr>
        <w:t>A complete list of such activities is available under the Technical Assistance Database (</w:t>
      </w:r>
      <w:hyperlink r:id="rId9" w:history="1">
        <w:r w:rsidR="009E2E0C" w:rsidRPr="00A14600">
          <w:rPr>
            <w:rStyle w:val="Hyperlink"/>
          </w:rPr>
          <w:t>www.wipo.int/tad</w:t>
        </w:r>
      </w:hyperlink>
      <w:r w:rsidR="009E2E0C">
        <w:rPr>
          <w:lang w:eastAsia="en-US"/>
        </w:rPr>
        <w:t>).</w:t>
      </w:r>
      <w:r w:rsidR="009E2E0C" w:rsidRPr="00792380">
        <w:t xml:space="preserve"> </w:t>
      </w:r>
    </w:p>
    <w:p w14:paraId="3718D340" w14:textId="3C0A88CF" w:rsidR="009E2E0C" w:rsidRPr="00A6078A" w:rsidRDefault="009A67CE" w:rsidP="009A67CE">
      <w:pPr>
        <w:pStyle w:val="ONUME"/>
        <w:numPr>
          <w:ilvl w:val="0"/>
          <w:numId w:val="0"/>
        </w:numPr>
        <w:rPr>
          <w:lang w:eastAsia="en-US"/>
        </w:rPr>
      </w:pPr>
      <w:r>
        <w:rPr>
          <w:lang w:eastAsia="en-US"/>
        </w:rPr>
        <w:fldChar w:fldCharType="begin"/>
      </w:r>
      <w:r>
        <w:rPr>
          <w:lang w:eastAsia="en-US"/>
        </w:rPr>
        <w:instrText xml:space="preserve"> AUTONUM  </w:instrText>
      </w:r>
      <w:r>
        <w:rPr>
          <w:lang w:eastAsia="en-US"/>
        </w:rPr>
        <w:fldChar w:fldCharType="end"/>
      </w:r>
      <w:r>
        <w:rPr>
          <w:lang w:eastAsia="en-US"/>
        </w:rPr>
        <w:tab/>
      </w:r>
      <w:r w:rsidR="009E2E0C" w:rsidRPr="00A6078A">
        <w:rPr>
          <w:lang w:eastAsia="en-US"/>
        </w:rPr>
        <w:t xml:space="preserve">As WIPO Standards are implemented in various systems and tools of WIPO such as </w:t>
      </w:r>
      <w:r w:rsidR="009E2E0C">
        <w:rPr>
          <w:lang w:eastAsia="en-US"/>
        </w:rPr>
        <w:t xml:space="preserve">WIPO Sequence and </w:t>
      </w:r>
      <w:r w:rsidR="0067129B">
        <w:rPr>
          <w:lang w:val="en" w:eastAsia="ja-JP"/>
        </w:rPr>
        <w:t xml:space="preserve">IP Office </w:t>
      </w:r>
      <w:r w:rsidR="009E2E0C" w:rsidRPr="00A6078A">
        <w:rPr>
          <w:lang w:val="en" w:eastAsia="ja-JP"/>
        </w:rPr>
        <w:t>Business Solutions</w:t>
      </w:r>
      <w:r w:rsidR="009E2E0C" w:rsidRPr="00A6078A">
        <w:rPr>
          <w:lang w:eastAsia="en-US"/>
        </w:rPr>
        <w:t xml:space="preserve">, the following activities also implicitly cover dissemination of relevant IP </w:t>
      </w:r>
      <w:r w:rsidR="00F52014">
        <w:rPr>
          <w:lang w:eastAsia="en-US"/>
        </w:rPr>
        <w:t>S</w:t>
      </w:r>
      <w:r w:rsidR="009E2E0C" w:rsidRPr="00A6078A">
        <w:rPr>
          <w:lang w:eastAsia="en-US"/>
        </w:rPr>
        <w:t>tandards information.</w:t>
      </w:r>
    </w:p>
    <w:p w14:paraId="4E6D1BC3" w14:textId="77777777" w:rsidR="009E2E0C" w:rsidRPr="00A6078A" w:rsidRDefault="009E2E0C" w:rsidP="009A67CE">
      <w:pPr>
        <w:pStyle w:val="Heading2"/>
      </w:pPr>
      <w:r w:rsidRPr="00A6078A">
        <w:rPr>
          <w:caps w:val="0"/>
        </w:rPr>
        <w:t>TRAINING AND TECHNICAL ADVICE ON THE USE OF WIPO STANDARDS</w:t>
      </w:r>
    </w:p>
    <w:p w14:paraId="4ACED5B1" w14:textId="33EE1CFE" w:rsidR="00FA0C32" w:rsidRDefault="009A67CE" w:rsidP="009A67CE">
      <w:pPr>
        <w:pStyle w:val="ONUME"/>
        <w:numPr>
          <w:ilvl w:val="0"/>
          <w:numId w:val="0"/>
        </w:numPr>
      </w:pPr>
      <w:r>
        <w:fldChar w:fldCharType="begin"/>
      </w:r>
      <w:r>
        <w:instrText xml:space="preserve"> AUTONUM  </w:instrText>
      </w:r>
      <w:r>
        <w:fldChar w:fldCharType="end"/>
      </w:r>
      <w:r>
        <w:tab/>
      </w:r>
      <w:r w:rsidR="009E2E0C" w:rsidRPr="00A6078A">
        <w:t>In 20</w:t>
      </w:r>
      <w:r w:rsidR="00E33F98">
        <w:t>2</w:t>
      </w:r>
      <w:r w:rsidR="0038392C">
        <w:t>1</w:t>
      </w:r>
      <w:r w:rsidR="009E2E0C" w:rsidRPr="00A6078A">
        <w:t xml:space="preserve">, </w:t>
      </w:r>
      <w:r w:rsidR="007C1285">
        <w:t xml:space="preserve">despite the COVID-19 pandemic, </w:t>
      </w:r>
      <w:r w:rsidR="009E2E0C" w:rsidRPr="00A6078A">
        <w:t>the International Bureau provided technical advice to assist IPOs and users to u</w:t>
      </w:r>
      <w:r w:rsidR="009E2E0C">
        <w:t xml:space="preserve">tilize </w:t>
      </w:r>
      <w:r w:rsidR="009E2E0C" w:rsidRPr="00A6078A">
        <w:t>WIPO Standards through emails</w:t>
      </w:r>
      <w:r w:rsidR="00213A11">
        <w:t xml:space="preserve"> and</w:t>
      </w:r>
      <w:r w:rsidR="009E2E0C">
        <w:t xml:space="preserve"> </w:t>
      </w:r>
      <w:r w:rsidR="009E2E0C" w:rsidRPr="00A6078A">
        <w:t>online conferences.</w:t>
      </w:r>
    </w:p>
    <w:p w14:paraId="50DB03E7" w14:textId="77777777" w:rsidR="00FA0C32" w:rsidRDefault="00FA0C32">
      <w:r>
        <w:br w:type="page"/>
      </w:r>
    </w:p>
    <w:p w14:paraId="7BE8B692" w14:textId="4C52AAB3" w:rsidR="009E2E0C" w:rsidRDefault="009A67CE" w:rsidP="009A67CE">
      <w:pPr>
        <w:pStyle w:val="ONUME"/>
        <w:numPr>
          <w:ilvl w:val="0"/>
          <w:numId w:val="0"/>
        </w:numPr>
      </w:pPr>
      <w:r>
        <w:lastRenderedPageBreak/>
        <w:fldChar w:fldCharType="begin"/>
      </w:r>
      <w:r>
        <w:instrText xml:space="preserve"> AUTONUM  </w:instrText>
      </w:r>
      <w:r>
        <w:fldChar w:fldCharType="end"/>
      </w:r>
      <w:r>
        <w:tab/>
      </w:r>
      <w:r w:rsidR="009E2E0C" w:rsidRPr="00A6078A">
        <w:t xml:space="preserve">The Secretariat </w:t>
      </w:r>
      <w:r w:rsidR="00A46249">
        <w:t>received</w:t>
      </w:r>
      <w:r w:rsidR="009E2E0C" w:rsidRPr="00A6078A">
        <w:t xml:space="preserve"> a</w:t>
      </w:r>
      <w:r w:rsidR="00701A6C">
        <w:t xml:space="preserve"> series of</w:t>
      </w:r>
      <w:r w:rsidR="009E2E0C" w:rsidRPr="00A6078A">
        <w:t xml:space="preserve"> request</w:t>
      </w:r>
      <w:r w:rsidR="00701A6C">
        <w:t>s</w:t>
      </w:r>
      <w:r w:rsidR="009E2E0C" w:rsidRPr="00A6078A">
        <w:t xml:space="preserve"> for technical assistance and training </w:t>
      </w:r>
      <w:r w:rsidR="007C1285">
        <w:t>in 202</w:t>
      </w:r>
      <w:r w:rsidR="00A46249">
        <w:t>1</w:t>
      </w:r>
      <w:r w:rsidR="00A03EFD">
        <w:t>,</w:t>
      </w:r>
      <w:r w:rsidR="00A46249">
        <w:t xml:space="preserve"> regarding support for implementing </w:t>
      </w:r>
      <w:r w:rsidR="00701A6C">
        <w:t xml:space="preserve">both WIPO </w:t>
      </w:r>
      <w:r w:rsidR="008F3604">
        <w:t xml:space="preserve">Standards </w:t>
      </w:r>
      <w:r w:rsidR="00701A6C">
        <w:t xml:space="preserve">ST.26 and </w:t>
      </w:r>
      <w:r w:rsidR="00A46249">
        <w:t>ST.96</w:t>
      </w:r>
      <w:r w:rsidR="00E51DBD">
        <w:t xml:space="preserve">. </w:t>
      </w:r>
      <w:r w:rsidR="009E2A28">
        <w:t xml:space="preserve"> </w:t>
      </w:r>
      <w:r w:rsidR="009F10DB">
        <w:t xml:space="preserve">To support IPOs and applicants to implement WIPO Standard ST.26, the International Bureau developed WIPO Sequence Suite software, in close collaboration with IPOs and end user groups.  Further information on the software is available on </w:t>
      </w:r>
      <w:r w:rsidR="00A03EFD">
        <w:t xml:space="preserve">the </w:t>
      </w:r>
      <w:r w:rsidR="009F10DB">
        <w:t xml:space="preserve">WIPO website at:  </w:t>
      </w:r>
      <w:hyperlink r:id="rId10" w:history="1">
        <w:r w:rsidR="009F10DB" w:rsidRPr="00A00E42">
          <w:rPr>
            <w:rStyle w:val="Hyperlink"/>
          </w:rPr>
          <w:t>https://www.wipo.int/standards/en/sequence/index.html</w:t>
        </w:r>
      </w:hyperlink>
      <w:r w:rsidR="009F10DB">
        <w:t xml:space="preserve">.  </w:t>
      </w:r>
      <w:r w:rsidR="00701A6C">
        <w:t xml:space="preserve">In response to the request for training for WIPO </w:t>
      </w:r>
      <w:r w:rsidR="008F3604">
        <w:t xml:space="preserve">Standard </w:t>
      </w:r>
      <w:r w:rsidR="009F10DB">
        <w:t xml:space="preserve">ST.26 and the WIPO Sequence Suite, the International Bureau provided 17 training webinars </w:t>
      </w:r>
      <w:r w:rsidR="00A03EFD">
        <w:t xml:space="preserve">which </w:t>
      </w:r>
      <w:r w:rsidR="009F10DB">
        <w:t>were held in eight PCT languages</w:t>
      </w:r>
      <w:r w:rsidR="00474ACF">
        <w:t xml:space="preserve"> in 2021.</w:t>
      </w:r>
      <w:r w:rsidR="009F10DB">
        <w:t xml:space="preserve">  Further information on trainings or webinars on the use of WIPO Standards is available on WIPO website at:  </w:t>
      </w:r>
      <w:hyperlink r:id="rId11" w:history="1">
        <w:r w:rsidR="003D25B1" w:rsidRPr="00A00E42">
          <w:rPr>
            <w:rStyle w:val="Hyperlink"/>
          </w:rPr>
          <w:t>https://www.wipo.int/cws/en/trainings.html</w:t>
        </w:r>
      </w:hyperlink>
      <w:r w:rsidR="009F10DB">
        <w:t>.</w:t>
      </w:r>
      <w:r w:rsidR="003D25B1">
        <w:t xml:space="preserve">  With regard to the request for training for WIPO Standard </w:t>
      </w:r>
      <w:r w:rsidR="003D25B1">
        <w:t>ST.96, the International Bureau</w:t>
      </w:r>
      <w:r w:rsidR="00474ACF">
        <w:t>,</w:t>
      </w:r>
      <w:r w:rsidR="003D25B1">
        <w:t xml:space="preserve"> in collaboration with the XML4IP Task Force, proposed creating a 'Getting started with ST.96' guide.</w:t>
      </w:r>
      <w:r w:rsidR="003D25B1">
        <w:t xml:space="preserve">  </w:t>
      </w:r>
      <w:r w:rsidR="009E2E0C">
        <w:t>T</w:t>
      </w:r>
      <w:r w:rsidR="009E2E0C" w:rsidRPr="003767DE">
        <w:t>he</w:t>
      </w:r>
      <w:r w:rsidR="00C20DB1">
        <w:t xml:space="preserve"> </w:t>
      </w:r>
      <w:r w:rsidR="009E2E0C" w:rsidRPr="003767DE">
        <w:t xml:space="preserve">Secretariat </w:t>
      </w:r>
      <w:r w:rsidR="009E2A28">
        <w:t>continues to be</w:t>
      </w:r>
      <w:r w:rsidR="00701A6C">
        <w:t xml:space="preserve"> committed </w:t>
      </w:r>
      <w:r w:rsidR="009E2A28">
        <w:t xml:space="preserve">to </w:t>
      </w:r>
      <w:r w:rsidR="009E2E0C" w:rsidRPr="003767DE">
        <w:t>provid</w:t>
      </w:r>
      <w:r w:rsidR="00701A6C">
        <w:t>ing</w:t>
      </w:r>
      <w:r w:rsidR="009E2E0C" w:rsidRPr="003767DE">
        <w:t xml:space="preserve"> technical assistance and training regarding WIPO Standards on demand</w:t>
      </w:r>
      <w:r w:rsidR="00A03EFD">
        <w:t>,</w:t>
      </w:r>
      <w:r w:rsidR="009E2E0C" w:rsidRPr="003767DE">
        <w:t xml:space="preserve"> depending on the availability of resources</w:t>
      </w:r>
      <w:r w:rsidR="009E2E0C">
        <w:t>.</w:t>
      </w:r>
    </w:p>
    <w:p w14:paraId="29B105FD" w14:textId="77777777" w:rsidR="009E2E0C" w:rsidRPr="00A6078A" w:rsidRDefault="009E2E0C" w:rsidP="009E2E0C">
      <w:pPr>
        <w:pStyle w:val="Heading2"/>
      </w:pPr>
      <w:r w:rsidRPr="00A6078A">
        <w:t>TECHNICAL ASSISTANCE FOR BUILDING INFRASTRUCTURE IN IP INSTITUTIONS using WIPO Standards</w:t>
      </w:r>
    </w:p>
    <w:p w14:paraId="073F73A2" w14:textId="77777777" w:rsidR="009E2E0C" w:rsidRPr="00A6078A" w:rsidRDefault="009A67CE" w:rsidP="009A67CE">
      <w:pPr>
        <w:pStyle w:val="ONUME"/>
        <w:numPr>
          <w:ilvl w:val="0"/>
          <w:numId w:val="0"/>
        </w:numPr>
        <w:rPr>
          <w:lang w:val="en" w:eastAsia="ja-JP"/>
        </w:rPr>
      </w:pPr>
      <w:r>
        <w:rPr>
          <w:rFonts w:eastAsia="MS Mincho"/>
          <w:szCs w:val="22"/>
          <w:lang w:val="en" w:eastAsia="ja-JP"/>
        </w:rPr>
        <w:fldChar w:fldCharType="begin"/>
      </w:r>
      <w:r>
        <w:rPr>
          <w:rFonts w:eastAsia="MS Mincho"/>
          <w:szCs w:val="22"/>
          <w:lang w:val="en" w:eastAsia="ja-JP"/>
        </w:rPr>
        <w:instrText xml:space="preserve"> AUTONUM  </w:instrText>
      </w:r>
      <w:r>
        <w:rPr>
          <w:rFonts w:eastAsia="MS Mincho"/>
          <w:szCs w:val="22"/>
          <w:lang w:val="en" w:eastAsia="ja-JP"/>
        </w:rPr>
        <w:fldChar w:fldCharType="end"/>
      </w:r>
      <w:r>
        <w:rPr>
          <w:rFonts w:eastAsia="MS Mincho"/>
          <w:szCs w:val="22"/>
          <w:lang w:val="en" w:eastAsia="ja-JP"/>
        </w:rPr>
        <w:tab/>
      </w:r>
      <w:r w:rsidR="00FA3D75" w:rsidRPr="00FA3D75">
        <w:rPr>
          <w:rFonts w:eastAsia="MS Mincho"/>
          <w:szCs w:val="22"/>
          <w:lang w:val="en" w:eastAsia="ja-JP"/>
        </w:rPr>
        <w:t>WIPO</w:t>
      </w:r>
      <w:r>
        <w:rPr>
          <w:rFonts w:eastAsia="MS Mincho"/>
          <w:szCs w:val="22"/>
          <w:lang w:val="en" w:eastAsia="ja-JP"/>
        </w:rPr>
        <w:t>’</w:t>
      </w:r>
      <w:r w:rsidR="00FA3D75" w:rsidRPr="00FA3D75">
        <w:rPr>
          <w:rFonts w:eastAsia="MS Mincho"/>
          <w:szCs w:val="22"/>
          <w:lang w:val="en" w:eastAsia="ja-JP"/>
        </w:rPr>
        <w:t>s progra</w:t>
      </w:r>
      <w:r w:rsidR="00F52014">
        <w:rPr>
          <w:rFonts w:eastAsia="MS Mincho"/>
          <w:szCs w:val="22"/>
          <w:lang w:val="en" w:eastAsia="ja-JP"/>
        </w:rPr>
        <w:t>m of IP Office Business Solutions</w:t>
      </w:r>
      <w:r w:rsidR="00FA3D75" w:rsidRPr="00FA3D75">
        <w:rPr>
          <w:rFonts w:eastAsia="MS Mincho"/>
          <w:szCs w:val="22"/>
          <w:lang w:val="en" w:eastAsia="ja-JP"/>
        </w:rPr>
        <w:t xml:space="preserve"> </w:t>
      </w:r>
      <w:r w:rsidR="009E2E0C" w:rsidRPr="00A6078A">
        <w:rPr>
          <w:lang w:val="en" w:eastAsia="ja-JP"/>
        </w:rPr>
        <w:t>aims to enhance national and regional IPOs</w:t>
      </w:r>
      <w:r>
        <w:rPr>
          <w:lang w:val="en" w:eastAsia="ja-JP"/>
        </w:rPr>
        <w:t>’</w:t>
      </w:r>
      <w:r w:rsidR="009E2E0C" w:rsidRPr="00A6078A">
        <w:rPr>
          <w:lang w:val="en" w:eastAsia="ja-JP"/>
        </w:rPr>
        <w:t xml:space="preserve"> business systems and technical infrastructure </w:t>
      </w:r>
      <w:r w:rsidR="009E2E0C">
        <w:rPr>
          <w:lang w:val="en" w:eastAsia="ja-JP"/>
        </w:rPr>
        <w:t xml:space="preserve">in order </w:t>
      </w:r>
      <w:r w:rsidR="009E2E0C" w:rsidRPr="00A6078A">
        <w:rPr>
          <w:lang w:val="en" w:eastAsia="ja-JP"/>
        </w:rPr>
        <w:t>to help them provide more cost-effective and higher-quality services to their own stakeholders.  The assistance provided is aligned with the Development Agenda recommendations aiming at strengthening institutional and technical infrastructure of IPOs and</w:t>
      </w:r>
      <w:r w:rsidR="00F52014">
        <w:rPr>
          <w:lang w:val="en" w:eastAsia="ja-JP"/>
        </w:rPr>
        <w:t xml:space="preserve"> other</w:t>
      </w:r>
      <w:r w:rsidR="009E2E0C" w:rsidRPr="00A6078A">
        <w:rPr>
          <w:lang w:val="en" w:eastAsia="ja-JP"/>
        </w:rPr>
        <w:t xml:space="preserve"> institutions.  The services include</w:t>
      </w:r>
      <w:r w:rsidR="009E2E0C" w:rsidRPr="00F83E07">
        <w:t xml:space="preserve"> technical consultancy;  business needs assessment;  project scoping and planning;  business process analysis;  ongoing development and deployment of customized business systems solutions for the administration of IP rights and for the exchange of priority documents and of search and examination results;  establishment of IP databases;  assistance with digitization of IP records and preparation of data for online publications and electronic data exchange;  training and knowledge transf</w:t>
      </w:r>
      <w:r w:rsidR="009E2E0C">
        <w:t>er to staff of IP institutions</w:t>
      </w:r>
      <w:r w:rsidR="009E2E0C" w:rsidRPr="00F83E07">
        <w:t xml:space="preserve"> and support for the systems provided by WIPO.</w:t>
      </w:r>
      <w:r w:rsidR="009E2E0C" w:rsidRPr="00A6078A">
        <w:rPr>
          <w:lang w:val="en" w:eastAsia="ja-JP"/>
        </w:rPr>
        <w:t xml:space="preserve">  The assistance takes into account WIPO Standards on IP data and information where appropriate.  On-site </w:t>
      </w:r>
      <w:r w:rsidR="00FA3D75" w:rsidRPr="00FA3D75">
        <w:rPr>
          <w:lang w:val="en" w:eastAsia="ja-JP"/>
        </w:rPr>
        <w:t xml:space="preserve">or virtual </w:t>
      </w:r>
      <w:r w:rsidR="009E2E0C" w:rsidRPr="00A6078A">
        <w:rPr>
          <w:lang w:val="en" w:eastAsia="ja-JP"/>
        </w:rPr>
        <w:t xml:space="preserve">training, mentoring and regional training workshops account for a significant portion of the </w:t>
      </w:r>
      <w:r w:rsidR="00FA3D75">
        <w:rPr>
          <w:lang w:val="en" w:eastAsia="ja-JP"/>
        </w:rPr>
        <w:t xml:space="preserve">activities </w:t>
      </w:r>
      <w:r w:rsidR="009E2E0C" w:rsidRPr="00A6078A">
        <w:rPr>
          <w:lang w:val="en" w:eastAsia="ja-JP"/>
        </w:rPr>
        <w:t>and are critical in achieving the desired results.</w:t>
      </w:r>
    </w:p>
    <w:p w14:paraId="2843D496" w14:textId="57413A17" w:rsidR="009E2E0C" w:rsidRDefault="009A67CE" w:rsidP="009A67CE">
      <w:pPr>
        <w:pStyle w:val="ONUME"/>
        <w:numPr>
          <w:ilvl w:val="0"/>
          <w:numId w:val="0"/>
        </w:numPr>
        <w:rPr>
          <w:lang w:val="en-GB"/>
        </w:rPr>
      </w:pPr>
      <w:r>
        <w:rPr>
          <w:lang w:val="en" w:eastAsia="ja-JP"/>
        </w:rPr>
        <w:fldChar w:fldCharType="begin"/>
      </w:r>
      <w:r>
        <w:rPr>
          <w:lang w:val="en" w:eastAsia="ja-JP"/>
        </w:rPr>
        <w:instrText xml:space="preserve"> AUTONUM  </w:instrText>
      </w:r>
      <w:r>
        <w:rPr>
          <w:lang w:val="en" w:eastAsia="ja-JP"/>
        </w:rPr>
        <w:fldChar w:fldCharType="end"/>
      </w:r>
      <w:r>
        <w:rPr>
          <w:lang w:val="en" w:eastAsia="ja-JP"/>
        </w:rPr>
        <w:tab/>
      </w:r>
      <w:r w:rsidR="009E2E0C" w:rsidRPr="00A6078A">
        <w:rPr>
          <w:lang w:val="en" w:eastAsia="ja-JP"/>
        </w:rPr>
        <w:t>At the end of 20</w:t>
      </w:r>
      <w:r w:rsidR="00FA3D75">
        <w:rPr>
          <w:lang w:val="en" w:eastAsia="ja-JP"/>
        </w:rPr>
        <w:t>2</w:t>
      </w:r>
      <w:r w:rsidR="007A3DFF">
        <w:rPr>
          <w:lang w:val="en" w:eastAsia="ja-JP"/>
        </w:rPr>
        <w:t>1</w:t>
      </w:r>
      <w:r w:rsidR="009E2E0C" w:rsidRPr="00A6078A">
        <w:rPr>
          <w:lang w:val="en" w:eastAsia="ja-JP"/>
        </w:rPr>
        <w:t xml:space="preserve">, </w:t>
      </w:r>
      <w:r w:rsidR="00FA3D75">
        <w:rPr>
          <w:lang w:val="en" w:eastAsia="ja-JP"/>
        </w:rPr>
        <w:t>90</w:t>
      </w:r>
      <w:r w:rsidR="009E2E0C" w:rsidRPr="00A6078A">
        <w:rPr>
          <w:lang w:val="en" w:eastAsia="ja-JP"/>
        </w:rPr>
        <w:t xml:space="preserve"> IPOs from developing countries in all regions were actively using WIPO</w:t>
      </w:r>
      <w:r w:rsidR="0067129B">
        <w:rPr>
          <w:lang w:val="en" w:eastAsia="ja-JP"/>
        </w:rPr>
        <w:t>’s IP Office</w:t>
      </w:r>
      <w:r w:rsidR="009E2E0C" w:rsidRPr="00A6078A">
        <w:rPr>
          <w:lang w:val="en" w:eastAsia="ja-JP"/>
        </w:rPr>
        <w:t xml:space="preserve"> Business Solutions for the administration of their IP rights, in which WIPO Standards are integrated.  </w:t>
      </w:r>
      <w:r w:rsidR="00460D79">
        <w:rPr>
          <w:lang w:val="en" w:eastAsia="ja-JP"/>
        </w:rPr>
        <w:t>Fifty-one</w:t>
      </w:r>
      <w:r w:rsidR="009E2E0C">
        <w:rPr>
          <w:lang w:val="en" w:eastAsia="ja-JP"/>
        </w:rPr>
        <w:t xml:space="preserve"> IPOs were participating in one of the online exchange platforms offered by WIPO (the Centralized Access to Search and Examination and the Digital Access Service).  </w:t>
      </w:r>
      <w:r w:rsidR="009E2E0C" w:rsidRPr="00A6078A">
        <w:rPr>
          <w:lang w:val="en" w:eastAsia="ja-JP"/>
        </w:rPr>
        <w:t xml:space="preserve">A key focus is to upgrade the service level </w:t>
      </w:r>
      <w:r w:rsidR="009E2E0C">
        <w:rPr>
          <w:lang w:val="en" w:eastAsia="ja-JP"/>
        </w:rPr>
        <w:t>of IPOs by assisting them to mov</w:t>
      </w:r>
      <w:r w:rsidR="009E2E0C" w:rsidRPr="00A6078A">
        <w:rPr>
          <w:lang w:val="en" w:eastAsia="ja-JP"/>
        </w:rPr>
        <w:t>e to online services for filing and for IP information dissemination.  More info</w:t>
      </w:r>
      <w:r w:rsidR="009E2E0C">
        <w:rPr>
          <w:lang w:val="en" w:eastAsia="ja-JP"/>
        </w:rPr>
        <w:t>rmation is available on the web</w:t>
      </w:r>
      <w:r w:rsidR="009E2E0C" w:rsidRPr="00A6078A">
        <w:rPr>
          <w:lang w:val="en" w:eastAsia="ja-JP"/>
        </w:rPr>
        <w:t>site of WIPO</w:t>
      </w:r>
      <w:r>
        <w:rPr>
          <w:lang w:val="en" w:eastAsia="ja-JP"/>
        </w:rPr>
        <w:t>’</w:t>
      </w:r>
      <w:r w:rsidR="009E2E0C" w:rsidRPr="00A6078A">
        <w:rPr>
          <w:lang w:val="en" w:eastAsia="ja-JP"/>
        </w:rPr>
        <w:t>s techni</w:t>
      </w:r>
      <w:r w:rsidR="009E2E0C">
        <w:rPr>
          <w:lang w:val="en" w:eastAsia="ja-JP"/>
        </w:rPr>
        <w:t xml:space="preserve">cal assistance program for IPOs at: </w:t>
      </w:r>
      <w:hyperlink r:id="rId12" w:history="1">
        <w:r w:rsidR="00FA3D75" w:rsidRPr="00FA3D75">
          <w:rPr>
            <w:rStyle w:val="Hyperlink"/>
          </w:rPr>
          <w:t>https://www.wipo.int/global_ip/en/activities/ip_office_business_solutions/</w:t>
        </w:r>
      </w:hyperlink>
    </w:p>
    <w:p w14:paraId="4D3F43F3" w14:textId="031CE4B2" w:rsidR="00FA0C32" w:rsidRDefault="009A67CE" w:rsidP="009A67CE">
      <w:pPr>
        <w:pStyle w:val="ONUME"/>
        <w:numPr>
          <w:ilvl w:val="0"/>
          <w:numId w:val="0"/>
        </w:numPr>
        <w:rPr>
          <w:color w:val="000000"/>
          <w:lang w:val="en-GB"/>
        </w:rPr>
      </w:pPr>
      <w:r>
        <w:rPr>
          <w:color w:val="000000"/>
          <w:lang w:val="en-GB"/>
        </w:rPr>
        <w:fldChar w:fldCharType="begin"/>
      </w:r>
      <w:r>
        <w:rPr>
          <w:color w:val="000000"/>
          <w:lang w:val="en-GB"/>
        </w:rPr>
        <w:instrText xml:space="preserve"> AUTONUM  </w:instrText>
      </w:r>
      <w:r>
        <w:rPr>
          <w:color w:val="000000"/>
          <w:lang w:val="en-GB"/>
        </w:rPr>
        <w:fldChar w:fldCharType="end"/>
      </w:r>
      <w:r>
        <w:rPr>
          <w:color w:val="000000"/>
          <w:lang w:val="en-GB"/>
        </w:rPr>
        <w:tab/>
      </w:r>
      <w:r w:rsidR="009E2E0C">
        <w:rPr>
          <w:color w:val="000000"/>
          <w:lang w:val="en-GB"/>
        </w:rPr>
        <w:t xml:space="preserve">In addition, </w:t>
      </w:r>
      <w:r w:rsidR="000D578B">
        <w:rPr>
          <w:color w:val="000000"/>
          <w:lang w:val="en-GB"/>
        </w:rPr>
        <w:t>under WIPO</w:t>
      </w:r>
      <w:r>
        <w:rPr>
          <w:color w:val="000000"/>
          <w:lang w:val="en-GB"/>
        </w:rPr>
        <w:t>’</w:t>
      </w:r>
      <w:r w:rsidR="000D578B">
        <w:rPr>
          <w:color w:val="000000"/>
          <w:lang w:val="en-GB"/>
        </w:rPr>
        <w:t>s p</w:t>
      </w:r>
      <w:r w:rsidR="009E2E0C">
        <w:rPr>
          <w:color w:val="000000"/>
          <w:lang w:val="en-GB"/>
        </w:rPr>
        <w:t xml:space="preserve">rogram </w:t>
      </w:r>
      <w:r w:rsidR="000D578B">
        <w:rPr>
          <w:color w:val="000000"/>
          <w:lang w:val="en-GB"/>
        </w:rPr>
        <w:t xml:space="preserve">of </w:t>
      </w:r>
      <w:r w:rsidR="005A546F">
        <w:rPr>
          <w:color w:val="000000"/>
          <w:lang w:val="en-GB"/>
        </w:rPr>
        <w:t>G</w:t>
      </w:r>
      <w:r w:rsidR="000D578B">
        <w:rPr>
          <w:color w:val="000000"/>
          <w:lang w:val="en-GB"/>
        </w:rPr>
        <w:t xml:space="preserve">lobal </w:t>
      </w:r>
      <w:r w:rsidR="005A546F">
        <w:rPr>
          <w:color w:val="000000"/>
          <w:lang w:val="en-GB"/>
        </w:rPr>
        <w:t>D</w:t>
      </w:r>
      <w:r w:rsidR="000D578B">
        <w:rPr>
          <w:color w:val="000000"/>
          <w:lang w:val="en-GB"/>
        </w:rPr>
        <w:t xml:space="preserve">atabases, the International Bureau </w:t>
      </w:r>
      <w:r w:rsidR="009E2E0C">
        <w:rPr>
          <w:color w:val="000000"/>
          <w:lang w:val="en-GB"/>
        </w:rPr>
        <w:t>ran a project jointly with the European Patent Office (EPO) to assist IPOs in producing searchable full text for their front file patent publication in WIPO ST.36 XML format with embedded TIFF images.  The International Bureau configured its OCR solution to each office</w:t>
      </w:r>
      <w:r>
        <w:rPr>
          <w:color w:val="000000"/>
          <w:lang w:val="en-GB"/>
        </w:rPr>
        <w:t>’</w:t>
      </w:r>
      <w:r w:rsidR="009E2E0C">
        <w:rPr>
          <w:color w:val="000000"/>
          <w:lang w:val="en-GB"/>
        </w:rPr>
        <w:t xml:space="preserve">s specific requirements such as language, layout and bookmarks.  </w:t>
      </w:r>
      <w:r>
        <w:rPr>
          <w:color w:val="000000"/>
          <w:lang w:val="en-GB"/>
        </w:rPr>
        <w:t>Thirty-five</w:t>
      </w:r>
      <w:r w:rsidR="001479FD">
        <w:rPr>
          <w:color w:val="000000"/>
          <w:lang w:val="en-GB"/>
        </w:rPr>
        <w:t xml:space="preserve"> </w:t>
      </w:r>
      <w:r w:rsidR="009E2E0C">
        <w:rPr>
          <w:color w:val="000000"/>
          <w:lang w:val="en-GB"/>
        </w:rPr>
        <w:t xml:space="preserve">IPOs have received the software and been trained to use it </w:t>
      </w:r>
      <w:r w:rsidR="00D46546">
        <w:rPr>
          <w:color w:val="000000"/>
          <w:lang w:val="en-GB"/>
        </w:rPr>
        <w:t xml:space="preserve">(except </w:t>
      </w:r>
      <w:r w:rsidR="00960E8C">
        <w:rPr>
          <w:color w:val="000000"/>
          <w:lang w:val="en-GB"/>
        </w:rPr>
        <w:t xml:space="preserve">one IPO </w:t>
      </w:r>
      <w:r w:rsidR="00D46546">
        <w:rPr>
          <w:color w:val="000000"/>
          <w:lang w:val="en-GB"/>
        </w:rPr>
        <w:t xml:space="preserve">for which a training will be arranged in due course) </w:t>
      </w:r>
      <w:r w:rsidR="009E2E0C">
        <w:rPr>
          <w:color w:val="000000"/>
          <w:lang w:val="en-GB"/>
        </w:rPr>
        <w:t xml:space="preserve">in the last </w:t>
      </w:r>
      <w:r w:rsidR="00213A11">
        <w:rPr>
          <w:color w:val="000000"/>
          <w:lang w:val="en-GB"/>
        </w:rPr>
        <w:t xml:space="preserve">four </w:t>
      </w:r>
      <w:r w:rsidR="009E2E0C">
        <w:rPr>
          <w:color w:val="000000"/>
          <w:lang w:val="en-GB"/>
        </w:rPr>
        <w:t xml:space="preserve">years, with </w:t>
      </w:r>
      <w:r w:rsidR="00A03EFD">
        <w:rPr>
          <w:color w:val="000000"/>
          <w:lang w:val="en-GB"/>
        </w:rPr>
        <w:t>twelve</w:t>
      </w:r>
      <w:r w:rsidR="009E2E0C">
        <w:rPr>
          <w:color w:val="000000"/>
          <w:lang w:val="en-GB"/>
        </w:rPr>
        <w:t xml:space="preserve"> of them having managed to launch it in production.  As a result, the produced full text documents are included and made searchable both in WIPO</w:t>
      </w:r>
      <w:r>
        <w:rPr>
          <w:color w:val="000000"/>
          <w:lang w:val="en-GB"/>
        </w:rPr>
        <w:t>’</w:t>
      </w:r>
      <w:r w:rsidR="009E2E0C">
        <w:rPr>
          <w:color w:val="000000"/>
          <w:lang w:val="en-GB"/>
        </w:rPr>
        <w:t>s PATENTSCOPE and EPO</w:t>
      </w:r>
      <w:r>
        <w:rPr>
          <w:color w:val="000000"/>
          <w:lang w:val="en-GB"/>
        </w:rPr>
        <w:t>’</w:t>
      </w:r>
      <w:r w:rsidR="009E2E0C">
        <w:rPr>
          <w:color w:val="000000"/>
          <w:lang w:val="en-GB"/>
        </w:rPr>
        <w:t>s Espacenet.</w:t>
      </w:r>
      <w:r w:rsidR="00032F40">
        <w:rPr>
          <w:color w:val="000000"/>
          <w:lang w:val="en-GB"/>
        </w:rPr>
        <w:t xml:space="preserve">  D</w:t>
      </w:r>
      <w:r w:rsidR="00032F40" w:rsidRPr="00032F40">
        <w:rPr>
          <w:color w:val="000000"/>
          <w:lang w:val="en-GB"/>
        </w:rPr>
        <w:t xml:space="preserve">ue to the </w:t>
      </w:r>
      <w:r w:rsidR="00032F40">
        <w:rPr>
          <w:color w:val="000000"/>
          <w:lang w:val="en-GB"/>
        </w:rPr>
        <w:t xml:space="preserve">Covid-19 </w:t>
      </w:r>
      <w:r w:rsidR="00032F40" w:rsidRPr="00032F40">
        <w:rPr>
          <w:color w:val="000000"/>
          <w:lang w:val="en-GB"/>
        </w:rPr>
        <w:t xml:space="preserve">pandemic, no in-person trainings could be organized. </w:t>
      </w:r>
      <w:r w:rsidR="00032F40">
        <w:rPr>
          <w:color w:val="000000"/>
          <w:lang w:val="en-GB"/>
        </w:rPr>
        <w:t xml:space="preserve"> </w:t>
      </w:r>
      <w:r w:rsidR="00032F40" w:rsidRPr="00032F40">
        <w:rPr>
          <w:color w:val="000000"/>
          <w:lang w:val="en-GB"/>
        </w:rPr>
        <w:t xml:space="preserve">A pilot online training took place with three </w:t>
      </w:r>
      <w:r w:rsidR="00032F40">
        <w:rPr>
          <w:color w:val="000000"/>
          <w:lang w:val="en-GB"/>
        </w:rPr>
        <w:t>O</w:t>
      </w:r>
      <w:r w:rsidR="00032F40" w:rsidRPr="00032F40">
        <w:rPr>
          <w:color w:val="000000"/>
          <w:lang w:val="en-GB"/>
        </w:rPr>
        <w:t xml:space="preserve">ffices having been already trained in the past but that had not been able to start the project in production due to shortage of resources. </w:t>
      </w:r>
      <w:r w:rsidR="00032F40">
        <w:rPr>
          <w:color w:val="000000"/>
          <w:lang w:val="en-GB"/>
        </w:rPr>
        <w:t xml:space="preserve"> </w:t>
      </w:r>
      <w:r w:rsidR="00032F40" w:rsidRPr="00032F40">
        <w:rPr>
          <w:color w:val="000000"/>
          <w:lang w:val="en-GB"/>
        </w:rPr>
        <w:t xml:space="preserve">Training to use an advanced user interface remotely with many special cases due to the source data has been a challenge and it remains to be seen if some of these </w:t>
      </w:r>
      <w:r w:rsidR="00032F40">
        <w:rPr>
          <w:color w:val="000000"/>
          <w:lang w:val="en-GB"/>
        </w:rPr>
        <w:t>three</w:t>
      </w:r>
      <w:r w:rsidR="00032F40" w:rsidRPr="00032F40">
        <w:rPr>
          <w:color w:val="000000"/>
          <w:lang w:val="en-GB"/>
        </w:rPr>
        <w:t xml:space="preserve"> </w:t>
      </w:r>
      <w:r w:rsidR="00032F40">
        <w:rPr>
          <w:color w:val="000000"/>
          <w:lang w:val="en-GB"/>
        </w:rPr>
        <w:t>O</w:t>
      </w:r>
      <w:r w:rsidR="00032F40" w:rsidRPr="00032F40">
        <w:rPr>
          <w:color w:val="000000"/>
          <w:lang w:val="en-GB"/>
        </w:rPr>
        <w:t>ffices will manage to launch production thereafter.</w:t>
      </w:r>
    </w:p>
    <w:p w14:paraId="0F1EA9BB" w14:textId="77777777" w:rsidR="009E2E0C" w:rsidRDefault="009E2E0C" w:rsidP="009E2E0C">
      <w:pPr>
        <w:pStyle w:val="Heading2"/>
        <w:spacing w:before="0"/>
      </w:pPr>
      <w:r>
        <w:rPr>
          <w:caps w:val="0"/>
        </w:rPr>
        <w:t>CAPACITY BUILDING OF IP OFFICERS AND EXAMINERS FOR THE UTILIZATION OF INTERNATIONAL TOOLS</w:t>
      </w:r>
    </w:p>
    <w:p w14:paraId="2662265B" w14:textId="1F3C0F05" w:rsidR="00C20DB1" w:rsidRPr="00C20DB1" w:rsidRDefault="009A67CE" w:rsidP="009A67CE">
      <w:pPr>
        <w:pStyle w:val="ONUME"/>
        <w:numPr>
          <w:ilvl w:val="0"/>
          <w:numId w:val="0"/>
        </w:numPr>
        <w:rPr>
          <w:lang w:val="en" w:eastAsia="ja-JP"/>
        </w:rPr>
      </w:pPr>
      <w:r>
        <w:rPr>
          <w:lang w:val="en" w:eastAsia="ja-JP"/>
        </w:rPr>
        <w:fldChar w:fldCharType="begin"/>
      </w:r>
      <w:r>
        <w:rPr>
          <w:lang w:val="en" w:eastAsia="ja-JP"/>
        </w:rPr>
        <w:instrText xml:space="preserve"> AUTONUM  </w:instrText>
      </w:r>
      <w:r>
        <w:rPr>
          <w:lang w:val="en" w:eastAsia="ja-JP"/>
        </w:rPr>
        <w:fldChar w:fldCharType="end"/>
      </w:r>
      <w:r>
        <w:rPr>
          <w:lang w:val="en" w:eastAsia="ja-JP"/>
        </w:rPr>
        <w:tab/>
      </w:r>
      <w:r w:rsidR="009E2E0C">
        <w:rPr>
          <w:lang w:val="en" w:eastAsia="ja-JP"/>
        </w:rPr>
        <w:t>In collaboration with the Offices of the CWS Sequence Listing</w:t>
      </w:r>
      <w:r w:rsidR="000D578B">
        <w:rPr>
          <w:lang w:val="en" w:eastAsia="ja-JP"/>
        </w:rPr>
        <w:t>s</w:t>
      </w:r>
      <w:r w:rsidR="009E2E0C">
        <w:rPr>
          <w:lang w:val="en" w:eastAsia="ja-JP"/>
        </w:rPr>
        <w:t xml:space="preserve"> Task Force</w:t>
      </w:r>
      <w:r w:rsidR="009E2E0C" w:rsidRPr="000C288A">
        <w:rPr>
          <w:lang w:val="en" w:eastAsia="ja-JP"/>
        </w:rPr>
        <w:t xml:space="preserve">, the </w:t>
      </w:r>
      <w:r w:rsidR="009E2E0C">
        <w:rPr>
          <w:lang w:val="en" w:eastAsia="ja-JP"/>
        </w:rPr>
        <w:t xml:space="preserve">International Bureau has been </w:t>
      </w:r>
      <w:r w:rsidR="000D578B">
        <w:rPr>
          <w:lang w:val="en" w:eastAsia="ja-JP"/>
        </w:rPr>
        <w:t xml:space="preserve">improving the WIPO Sequence </w:t>
      </w:r>
      <w:r w:rsidR="00960E8C">
        <w:rPr>
          <w:lang w:val="en" w:eastAsia="ja-JP"/>
        </w:rPr>
        <w:t>S</w:t>
      </w:r>
      <w:r w:rsidR="000D578B">
        <w:rPr>
          <w:lang w:val="en" w:eastAsia="ja-JP"/>
        </w:rPr>
        <w:t xml:space="preserve">uite, </w:t>
      </w:r>
      <w:r w:rsidR="00E51DBD">
        <w:rPr>
          <w:lang w:val="en" w:eastAsia="ja-JP"/>
        </w:rPr>
        <w:t>which</w:t>
      </w:r>
      <w:r w:rsidR="009E2E0C">
        <w:rPr>
          <w:lang w:val="en" w:eastAsia="ja-JP"/>
        </w:rPr>
        <w:t xml:space="preserve"> enable</w:t>
      </w:r>
      <w:r w:rsidR="00E51DBD">
        <w:rPr>
          <w:lang w:val="en" w:eastAsia="ja-JP"/>
        </w:rPr>
        <w:t>s</w:t>
      </w:r>
      <w:r w:rsidR="009E2E0C">
        <w:rPr>
          <w:lang w:val="en" w:eastAsia="ja-JP"/>
        </w:rPr>
        <w:t xml:space="preserve"> patent applicants around the world to prepare a nucleotide and amino acid sequence listing following WIPO Standard ST.26 and to support IPOs to </w:t>
      </w:r>
      <w:r w:rsidR="000D578B">
        <w:rPr>
          <w:lang w:val="en" w:eastAsia="ja-JP"/>
        </w:rPr>
        <w:t>validate</w:t>
      </w:r>
      <w:r w:rsidR="009E2E0C">
        <w:rPr>
          <w:lang w:val="en" w:eastAsia="ja-JP"/>
        </w:rPr>
        <w:t xml:space="preserve"> the sequence listings</w:t>
      </w:r>
      <w:r w:rsidR="000D578B">
        <w:rPr>
          <w:lang w:val="en" w:eastAsia="ja-JP"/>
        </w:rPr>
        <w:t xml:space="preserve"> to ensure that they are compliant with WIPO ST.26</w:t>
      </w:r>
      <w:r w:rsidR="009E2E0C">
        <w:rPr>
          <w:lang w:val="en" w:eastAsia="ja-JP"/>
        </w:rPr>
        <w:t xml:space="preserve">.  The WIPO Sequence </w:t>
      </w:r>
      <w:r w:rsidR="00E51DBD">
        <w:rPr>
          <w:lang w:val="en" w:eastAsia="ja-JP"/>
        </w:rPr>
        <w:t>tool is</w:t>
      </w:r>
      <w:r w:rsidR="000608C4">
        <w:rPr>
          <w:lang w:val="en" w:eastAsia="ja-JP"/>
        </w:rPr>
        <w:t xml:space="preserve"> available on</w:t>
      </w:r>
      <w:r w:rsidR="009630F1">
        <w:rPr>
          <w:lang w:val="en" w:eastAsia="ja-JP"/>
        </w:rPr>
        <w:t xml:space="preserve"> </w:t>
      </w:r>
      <w:r w:rsidR="00A03EFD">
        <w:rPr>
          <w:lang w:val="en" w:eastAsia="ja-JP"/>
        </w:rPr>
        <w:t xml:space="preserve">the </w:t>
      </w:r>
      <w:r w:rsidR="009630F1">
        <w:rPr>
          <w:lang w:val="en" w:eastAsia="ja-JP"/>
        </w:rPr>
        <w:t xml:space="preserve">WIPO website at:  </w:t>
      </w:r>
      <w:hyperlink r:id="rId13" w:history="1">
        <w:r w:rsidR="009630F1" w:rsidRPr="00075E99">
          <w:rPr>
            <w:rStyle w:val="Hyperlink"/>
            <w:rFonts w:eastAsia="MS Mincho"/>
            <w:szCs w:val="22"/>
            <w:lang w:val="en" w:eastAsia="ja-JP"/>
          </w:rPr>
          <w:t>https://www.wipo.int/standards/en/sequence/index.html</w:t>
        </w:r>
      </w:hyperlink>
      <w:r w:rsidR="009630F1">
        <w:rPr>
          <w:rFonts w:eastAsia="MS Mincho"/>
          <w:szCs w:val="22"/>
          <w:lang w:val="en" w:eastAsia="ja-JP"/>
        </w:rPr>
        <w:t xml:space="preserve"> </w:t>
      </w:r>
    </w:p>
    <w:p w14:paraId="17FE1126" w14:textId="585879E2" w:rsidR="00C20DB1" w:rsidRDefault="009A67CE" w:rsidP="00C20DB1">
      <w:pPr>
        <w:pStyle w:val="ONUME"/>
        <w:numPr>
          <w:ilvl w:val="0"/>
          <w:numId w:val="0"/>
        </w:numPr>
        <w:rPr>
          <w:rFonts w:eastAsia="MS Mincho"/>
          <w:szCs w:val="22"/>
          <w:lang w:val="en" w:eastAsia="ja-JP"/>
        </w:rPr>
      </w:pPr>
      <w:r>
        <w:rPr>
          <w:rFonts w:eastAsia="MS Mincho"/>
          <w:szCs w:val="22"/>
          <w:lang w:val="en" w:eastAsia="ja-JP"/>
        </w:rPr>
        <w:fldChar w:fldCharType="begin"/>
      </w:r>
      <w:r>
        <w:rPr>
          <w:rFonts w:eastAsia="MS Mincho"/>
          <w:szCs w:val="22"/>
          <w:lang w:val="en" w:eastAsia="ja-JP"/>
        </w:rPr>
        <w:instrText xml:space="preserve"> AUTONUM  </w:instrText>
      </w:r>
      <w:r>
        <w:rPr>
          <w:rFonts w:eastAsia="MS Mincho"/>
          <w:szCs w:val="22"/>
          <w:lang w:val="en" w:eastAsia="ja-JP"/>
        </w:rPr>
        <w:fldChar w:fldCharType="end"/>
      </w:r>
      <w:r>
        <w:rPr>
          <w:rFonts w:eastAsia="MS Mincho"/>
          <w:szCs w:val="22"/>
          <w:lang w:val="en" w:eastAsia="ja-JP"/>
        </w:rPr>
        <w:tab/>
      </w:r>
      <w:r w:rsidR="009E2E0C">
        <w:rPr>
          <w:rFonts w:eastAsia="MS Mincho"/>
          <w:szCs w:val="22"/>
          <w:lang w:val="en" w:eastAsia="ja-JP"/>
        </w:rPr>
        <w:t>Following request</w:t>
      </w:r>
      <w:r w:rsidR="001C624A">
        <w:rPr>
          <w:rFonts w:eastAsia="MS Mincho"/>
          <w:szCs w:val="22"/>
          <w:lang w:val="en" w:eastAsia="ja-JP"/>
        </w:rPr>
        <w:t>s</w:t>
      </w:r>
      <w:r w:rsidR="009E2E0C">
        <w:rPr>
          <w:rFonts w:eastAsia="MS Mincho"/>
          <w:szCs w:val="22"/>
          <w:lang w:val="en" w:eastAsia="ja-JP"/>
        </w:rPr>
        <w:t xml:space="preserve">, the International Bureau provided training </w:t>
      </w:r>
      <w:r w:rsidR="009144CB">
        <w:rPr>
          <w:rFonts w:eastAsia="MS Mincho"/>
          <w:szCs w:val="22"/>
          <w:lang w:val="en" w:eastAsia="ja-JP"/>
        </w:rPr>
        <w:t>seminar</w:t>
      </w:r>
      <w:r w:rsidR="001C624A">
        <w:rPr>
          <w:rFonts w:eastAsia="MS Mincho"/>
          <w:szCs w:val="22"/>
          <w:lang w:val="en" w:eastAsia="ja-JP"/>
        </w:rPr>
        <w:t>s</w:t>
      </w:r>
      <w:r w:rsidR="009144CB">
        <w:rPr>
          <w:rFonts w:eastAsia="MS Mincho"/>
          <w:szCs w:val="22"/>
          <w:lang w:val="en" w:eastAsia="ja-JP"/>
        </w:rPr>
        <w:t xml:space="preserve"> via </w:t>
      </w:r>
      <w:r w:rsidR="001479FD">
        <w:rPr>
          <w:rFonts w:eastAsia="MS Mincho"/>
          <w:szCs w:val="22"/>
          <w:lang w:val="en" w:eastAsia="ja-JP"/>
        </w:rPr>
        <w:t xml:space="preserve">an </w:t>
      </w:r>
      <w:r w:rsidR="009144CB">
        <w:rPr>
          <w:rFonts w:eastAsia="MS Mincho"/>
          <w:szCs w:val="22"/>
          <w:lang w:val="en" w:eastAsia="ja-JP"/>
        </w:rPr>
        <w:t xml:space="preserve">online </w:t>
      </w:r>
      <w:r w:rsidR="001479FD">
        <w:rPr>
          <w:rFonts w:eastAsia="MS Mincho"/>
          <w:szCs w:val="22"/>
          <w:lang w:val="en" w:eastAsia="ja-JP"/>
        </w:rPr>
        <w:t>platform</w:t>
      </w:r>
      <w:r w:rsidR="009144CB">
        <w:rPr>
          <w:rFonts w:eastAsia="MS Mincho"/>
          <w:szCs w:val="22"/>
          <w:lang w:val="en" w:eastAsia="ja-JP"/>
        </w:rPr>
        <w:t xml:space="preserve"> </w:t>
      </w:r>
      <w:r w:rsidR="009E2E0C">
        <w:rPr>
          <w:rFonts w:eastAsia="MS Mincho"/>
          <w:szCs w:val="22"/>
          <w:lang w:val="en" w:eastAsia="ja-JP"/>
        </w:rPr>
        <w:t xml:space="preserve">on </w:t>
      </w:r>
      <w:r w:rsidR="009E2E0C" w:rsidRPr="00AE210D">
        <w:rPr>
          <w:rFonts w:eastAsia="MS Mincho"/>
          <w:szCs w:val="22"/>
          <w:lang w:val="en" w:eastAsia="ja-JP"/>
        </w:rPr>
        <w:t xml:space="preserve">the </w:t>
      </w:r>
      <w:r w:rsidR="009E2E0C" w:rsidRPr="00813526">
        <w:rPr>
          <w:sz w:val="21"/>
          <w:szCs w:val="21"/>
          <w:shd w:val="clear" w:color="auto" w:fill="FFFFFF"/>
        </w:rPr>
        <w:t>International Patent Classification (</w:t>
      </w:r>
      <w:r w:rsidR="009E2E0C" w:rsidRPr="00AE210D">
        <w:rPr>
          <w:rFonts w:eastAsia="MS Mincho"/>
          <w:szCs w:val="22"/>
          <w:lang w:val="en" w:eastAsia="ja-JP"/>
        </w:rPr>
        <w:t>I</w:t>
      </w:r>
      <w:r w:rsidR="009E2E0C">
        <w:rPr>
          <w:rFonts w:eastAsia="MS Mincho"/>
          <w:szCs w:val="22"/>
          <w:lang w:val="en" w:eastAsia="ja-JP"/>
        </w:rPr>
        <w:t xml:space="preserve">PC) for officials </w:t>
      </w:r>
      <w:r w:rsidR="00CB55B6">
        <w:rPr>
          <w:rFonts w:eastAsia="MS Mincho"/>
          <w:szCs w:val="22"/>
          <w:lang w:val="en" w:eastAsia="ja-JP"/>
        </w:rPr>
        <w:t xml:space="preserve">and examiners at </w:t>
      </w:r>
      <w:r w:rsidR="001C624A" w:rsidRPr="001C624A">
        <w:t xml:space="preserve"> </w:t>
      </w:r>
      <w:r w:rsidR="001C624A" w:rsidRPr="001C624A">
        <w:rPr>
          <w:rFonts w:eastAsia="MS Mincho"/>
          <w:szCs w:val="22"/>
          <w:lang w:val="en" w:eastAsia="ja-JP"/>
        </w:rPr>
        <w:t>the Industrial Property Department, Central Organization for Standardization a Quality Control (COSQC), Ministry of Planning, Iraq</w:t>
      </w:r>
      <w:r w:rsidR="001C624A">
        <w:rPr>
          <w:rFonts w:eastAsia="MS Mincho"/>
          <w:szCs w:val="22"/>
          <w:lang w:val="en" w:eastAsia="ja-JP"/>
        </w:rPr>
        <w:t xml:space="preserve"> on </w:t>
      </w:r>
      <w:r w:rsidR="001C624A" w:rsidRPr="001C624A">
        <w:rPr>
          <w:rFonts w:eastAsia="MS Mincho"/>
          <w:szCs w:val="22"/>
          <w:lang w:val="en" w:eastAsia="ja-JP"/>
        </w:rPr>
        <w:t>July 5 and 6, 2021</w:t>
      </w:r>
      <w:r w:rsidR="001C624A">
        <w:rPr>
          <w:rFonts w:eastAsia="MS Mincho"/>
          <w:szCs w:val="22"/>
          <w:lang w:val="en" w:eastAsia="ja-JP"/>
        </w:rPr>
        <w:t xml:space="preserve">, and for officials and examiners at </w:t>
      </w:r>
      <w:r w:rsidR="0017521B">
        <w:rPr>
          <w:rFonts w:eastAsia="MS Mincho"/>
          <w:szCs w:val="22"/>
          <w:lang w:val="en" w:eastAsia="ja-JP"/>
        </w:rPr>
        <w:t xml:space="preserve">the </w:t>
      </w:r>
      <w:r w:rsidR="0017521B" w:rsidRPr="0017521B">
        <w:rPr>
          <w:rFonts w:eastAsia="MS Mincho"/>
          <w:szCs w:val="22"/>
          <w:lang w:val="en" w:eastAsia="ja-JP"/>
        </w:rPr>
        <w:t xml:space="preserve">Industrial Property Division, Ministry of National Economy, Palestine </w:t>
      </w:r>
      <w:r w:rsidR="0017521B">
        <w:rPr>
          <w:rFonts w:eastAsia="MS Mincho"/>
          <w:szCs w:val="22"/>
          <w:lang w:val="en" w:eastAsia="ja-JP"/>
        </w:rPr>
        <w:t>on October 11 and</w:t>
      </w:r>
      <w:r w:rsidR="001C624A" w:rsidRPr="001C624A">
        <w:rPr>
          <w:rFonts w:eastAsia="MS Mincho"/>
          <w:szCs w:val="22"/>
          <w:lang w:val="en" w:eastAsia="ja-JP"/>
        </w:rPr>
        <w:t xml:space="preserve"> 12</w:t>
      </w:r>
      <w:r w:rsidR="00A764CA" w:rsidRPr="001C624A">
        <w:rPr>
          <w:rFonts w:eastAsia="MS Mincho"/>
          <w:szCs w:val="22"/>
          <w:lang w:val="en" w:eastAsia="ja-JP"/>
        </w:rPr>
        <w:t>, 2021</w:t>
      </w:r>
      <w:r w:rsidR="009E2E0C">
        <w:rPr>
          <w:rFonts w:eastAsia="MS Mincho"/>
          <w:szCs w:val="22"/>
          <w:lang w:val="en" w:eastAsia="ja-JP"/>
        </w:rPr>
        <w:t>.</w:t>
      </w:r>
      <w:r w:rsidR="001C624A" w:rsidRPr="001C624A">
        <w:rPr>
          <w:rFonts w:eastAsia="MS Mincho"/>
          <w:szCs w:val="22"/>
          <w:lang w:val="en" w:eastAsia="ja-JP"/>
        </w:rPr>
        <w:t xml:space="preserve"> </w:t>
      </w:r>
      <w:r w:rsidR="00FA0C32">
        <w:rPr>
          <w:rFonts w:eastAsia="MS Mincho"/>
          <w:szCs w:val="22"/>
          <w:lang w:val="en" w:eastAsia="ja-JP"/>
        </w:rPr>
        <w:t xml:space="preserve"> </w:t>
      </w:r>
      <w:r w:rsidR="009E2E0C">
        <w:rPr>
          <w:rFonts w:eastAsia="MS Mincho"/>
          <w:szCs w:val="22"/>
          <w:lang w:val="en" w:eastAsia="ja-JP"/>
        </w:rPr>
        <w:t>The training program included how to use the relevant WIPO Standards.</w:t>
      </w:r>
    </w:p>
    <w:p w14:paraId="08E48E8A" w14:textId="0A7304B6" w:rsidR="009E2E0C" w:rsidRPr="00E351E2" w:rsidRDefault="00BF0839" w:rsidP="00BF0839">
      <w:pPr>
        <w:pStyle w:val="ONUME"/>
        <w:numPr>
          <w:ilvl w:val="0"/>
          <w:numId w:val="0"/>
        </w:numPr>
        <w:spacing w:after="120"/>
        <w:rPr>
          <w:rFonts w:eastAsia="MS Mincho"/>
          <w:szCs w:val="22"/>
          <w:lang w:val="en" w:eastAsia="ja-JP"/>
        </w:rPr>
      </w:pPr>
      <w:r>
        <w:rPr>
          <w:rFonts w:eastAsia="MS Mincho"/>
          <w:szCs w:val="22"/>
          <w:lang w:val="en" w:eastAsia="ja-JP"/>
        </w:rPr>
        <w:fldChar w:fldCharType="begin"/>
      </w:r>
      <w:r>
        <w:rPr>
          <w:rFonts w:eastAsia="MS Mincho"/>
          <w:szCs w:val="22"/>
          <w:lang w:val="en" w:eastAsia="ja-JP"/>
        </w:rPr>
        <w:instrText xml:space="preserve"> AUTONUM  </w:instrText>
      </w:r>
      <w:r>
        <w:rPr>
          <w:rFonts w:eastAsia="MS Mincho"/>
          <w:szCs w:val="22"/>
          <w:lang w:val="en" w:eastAsia="ja-JP"/>
        </w:rPr>
        <w:fldChar w:fldCharType="end"/>
      </w:r>
      <w:r>
        <w:rPr>
          <w:rFonts w:eastAsia="MS Mincho"/>
          <w:szCs w:val="22"/>
          <w:lang w:val="en" w:eastAsia="ja-JP"/>
        </w:rPr>
        <w:tab/>
      </w:r>
      <w:r w:rsidR="009E2E0C">
        <w:rPr>
          <w:rFonts w:eastAsia="MS Mincho"/>
          <w:szCs w:val="22"/>
          <w:lang w:val="en" w:eastAsia="ja-JP"/>
        </w:rPr>
        <w:t>Following</w:t>
      </w:r>
      <w:r w:rsidR="009E2E0C" w:rsidRPr="00E351E2">
        <w:rPr>
          <w:rFonts w:eastAsia="MS Mincho"/>
          <w:szCs w:val="22"/>
          <w:lang w:val="en" w:eastAsia="ja-JP"/>
        </w:rPr>
        <w:t xml:space="preserve"> request</w:t>
      </w:r>
      <w:r w:rsidR="009E2E0C">
        <w:rPr>
          <w:rFonts w:eastAsia="MS Mincho"/>
          <w:szCs w:val="22"/>
          <w:lang w:val="en" w:eastAsia="ja-JP"/>
        </w:rPr>
        <w:t>s</w:t>
      </w:r>
      <w:r w:rsidR="009E2E0C" w:rsidRPr="00E351E2">
        <w:rPr>
          <w:rFonts w:eastAsia="MS Mincho"/>
          <w:szCs w:val="22"/>
          <w:lang w:val="en" w:eastAsia="ja-JP"/>
        </w:rPr>
        <w:t xml:space="preserve">, the following training courses and seminars </w:t>
      </w:r>
      <w:r w:rsidR="00CB55B6">
        <w:rPr>
          <w:rFonts w:eastAsia="MS Mincho"/>
          <w:szCs w:val="22"/>
          <w:lang w:val="en" w:eastAsia="ja-JP"/>
        </w:rPr>
        <w:t xml:space="preserve">were </w:t>
      </w:r>
      <w:r w:rsidR="001479FD">
        <w:rPr>
          <w:rFonts w:eastAsia="MS Mincho"/>
          <w:szCs w:val="22"/>
          <w:lang w:val="en" w:eastAsia="ja-JP"/>
        </w:rPr>
        <w:t xml:space="preserve">virtually </w:t>
      </w:r>
      <w:r w:rsidR="00CB55B6">
        <w:rPr>
          <w:rFonts w:eastAsia="MS Mincho"/>
          <w:szCs w:val="22"/>
          <w:lang w:val="en" w:eastAsia="ja-JP"/>
        </w:rPr>
        <w:t>conducted in 202</w:t>
      </w:r>
      <w:r w:rsidR="007A3DFF">
        <w:rPr>
          <w:rFonts w:eastAsia="MS Mincho"/>
          <w:szCs w:val="22"/>
          <w:lang w:val="en" w:eastAsia="ja-JP"/>
        </w:rPr>
        <w:t>1</w:t>
      </w:r>
      <w:r w:rsidR="00CB55B6" w:rsidRPr="00E351E2">
        <w:rPr>
          <w:rFonts w:eastAsia="MS Mincho"/>
          <w:szCs w:val="22"/>
          <w:lang w:val="en" w:eastAsia="ja-JP"/>
        </w:rPr>
        <w:t xml:space="preserve"> </w:t>
      </w:r>
      <w:r w:rsidR="009E2E0C" w:rsidRPr="00E351E2">
        <w:rPr>
          <w:rFonts w:eastAsia="MS Mincho"/>
          <w:szCs w:val="22"/>
          <w:lang w:val="en" w:eastAsia="ja-JP"/>
        </w:rPr>
        <w:t xml:space="preserve">on the use of International Classifications for </w:t>
      </w:r>
      <w:r w:rsidR="009E2E0C">
        <w:rPr>
          <w:rFonts w:eastAsia="MS Mincho"/>
          <w:szCs w:val="22"/>
          <w:lang w:val="en" w:eastAsia="ja-JP"/>
        </w:rPr>
        <w:t xml:space="preserve">trademarks </w:t>
      </w:r>
      <w:r w:rsidR="00CB55B6">
        <w:rPr>
          <w:rFonts w:eastAsia="MS Mincho"/>
          <w:szCs w:val="22"/>
          <w:lang w:val="en" w:eastAsia="ja-JP"/>
        </w:rPr>
        <w:t xml:space="preserve">and industrial designs </w:t>
      </w:r>
      <w:r w:rsidR="009E2E0C">
        <w:rPr>
          <w:rFonts w:eastAsia="MS Mincho"/>
          <w:szCs w:val="22"/>
          <w:lang w:val="en" w:eastAsia="ja-JP"/>
        </w:rPr>
        <w:t xml:space="preserve">for </w:t>
      </w:r>
      <w:r w:rsidR="009E2E0C" w:rsidRPr="00E351E2">
        <w:rPr>
          <w:rFonts w:eastAsia="MS Mincho"/>
          <w:szCs w:val="22"/>
          <w:lang w:val="en" w:eastAsia="ja-JP"/>
        </w:rPr>
        <w:t>officials and examiners of IPOs.  In this context</w:t>
      </w:r>
      <w:r w:rsidR="004E0BCA">
        <w:rPr>
          <w:rFonts w:eastAsia="MS Mincho"/>
          <w:szCs w:val="22"/>
          <w:lang w:val="en" w:eastAsia="ja-JP"/>
        </w:rPr>
        <w:t>,</w:t>
      </w:r>
      <w:r w:rsidR="009E2E0C" w:rsidRPr="00E351E2">
        <w:rPr>
          <w:rFonts w:eastAsia="MS Mincho"/>
          <w:szCs w:val="22"/>
          <w:lang w:val="en" w:eastAsia="ja-JP"/>
        </w:rPr>
        <w:t xml:space="preserve"> the relevance of related WIPO Standards was explained.</w:t>
      </w:r>
    </w:p>
    <w:p w14:paraId="433CEC4B" w14:textId="77777777" w:rsidR="007A3DFF" w:rsidRPr="00D91D30" w:rsidRDefault="007A3DFF" w:rsidP="00FA0C32">
      <w:pPr>
        <w:pStyle w:val="ListParagraph"/>
        <w:numPr>
          <w:ilvl w:val="0"/>
          <w:numId w:val="7"/>
        </w:numPr>
        <w:spacing w:after="120"/>
        <w:contextualSpacing w:val="0"/>
        <w:rPr>
          <w:rFonts w:eastAsia="MS Mincho"/>
          <w:szCs w:val="22"/>
          <w:lang w:val="en" w:eastAsia="ja-JP"/>
        </w:rPr>
      </w:pPr>
      <w:r>
        <w:rPr>
          <w:szCs w:val="22"/>
        </w:rPr>
        <w:t>Training on the Vienna Classification for trademark examiners, Iranian IP Office, July 6 and 12, 2021;</w:t>
      </w:r>
    </w:p>
    <w:p w14:paraId="1341E0E0" w14:textId="77777777" w:rsidR="007A3DFF" w:rsidRPr="00D91D30" w:rsidRDefault="007A3DFF" w:rsidP="00FA0C32">
      <w:pPr>
        <w:pStyle w:val="ListParagraph"/>
        <w:numPr>
          <w:ilvl w:val="0"/>
          <w:numId w:val="7"/>
        </w:numPr>
        <w:spacing w:after="120"/>
        <w:contextualSpacing w:val="0"/>
        <w:rPr>
          <w:rFonts w:eastAsia="MS Mincho"/>
          <w:szCs w:val="22"/>
          <w:lang w:val="en" w:eastAsia="ja-JP"/>
        </w:rPr>
      </w:pPr>
      <w:r>
        <w:rPr>
          <w:szCs w:val="22"/>
          <w:lang w:val="en"/>
        </w:rPr>
        <w:t>Training on the Vienna Classification for trademark examiners, Namibian IP Office, August 18, 2021;</w:t>
      </w:r>
    </w:p>
    <w:p w14:paraId="615CACDE" w14:textId="77777777" w:rsidR="007A3DFF" w:rsidRPr="00A9216D" w:rsidRDefault="007A3DFF" w:rsidP="00FA0C32">
      <w:pPr>
        <w:pStyle w:val="ListParagraph"/>
        <w:numPr>
          <w:ilvl w:val="0"/>
          <w:numId w:val="7"/>
        </w:numPr>
        <w:spacing w:after="120"/>
        <w:contextualSpacing w:val="0"/>
        <w:rPr>
          <w:rFonts w:eastAsia="MS Mincho"/>
          <w:szCs w:val="22"/>
          <w:lang w:val="en" w:eastAsia="ja-JP"/>
        </w:rPr>
      </w:pPr>
      <w:r>
        <w:rPr>
          <w:szCs w:val="22"/>
          <w:lang w:val="en"/>
        </w:rPr>
        <w:t xml:space="preserve">Training on the Nice and Vienna Classifications for trademark examiners, Kenyan IP Office, September 20-22, 2021; </w:t>
      </w:r>
    </w:p>
    <w:p w14:paraId="3B60A308" w14:textId="77777777" w:rsidR="007A3DFF" w:rsidRPr="00D91D30" w:rsidRDefault="007A3DFF" w:rsidP="00FA0C32">
      <w:pPr>
        <w:pStyle w:val="ListParagraph"/>
        <w:numPr>
          <w:ilvl w:val="0"/>
          <w:numId w:val="7"/>
        </w:numPr>
        <w:spacing w:after="120"/>
        <w:contextualSpacing w:val="0"/>
        <w:rPr>
          <w:rFonts w:eastAsia="MS Mincho"/>
          <w:szCs w:val="22"/>
          <w:lang w:val="en" w:eastAsia="ja-JP"/>
        </w:rPr>
      </w:pPr>
      <w:r>
        <w:rPr>
          <w:szCs w:val="22"/>
          <w:lang w:val="en"/>
        </w:rPr>
        <w:t>Training on the Nice and Vienna Classifications, Palestine, October 13, 2021;</w:t>
      </w:r>
    </w:p>
    <w:p w14:paraId="055B3058" w14:textId="77777777" w:rsidR="007A3DFF" w:rsidRPr="00A9216D" w:rsidRDefault="007A3DFF" w:rsidP="00FA0C32">
      <w:pPr>
        <w:pStyle w:val="ListParagraph"/>
        <w:numPr>
          <w:ilvl w:val="0"/>
          <w:numId w:val="7"/>
        </w:numPr>
        <w:spacing w:after="120"/>
        <w:contextualSpacing w:val="0"/>
        <w:rPr>
          <w:rFonts w:eastAsia="MS Mincho"/>
          <w:szCs w:val="22"/>
          <w:lang w:val="en" w:eastAsia="ja-JP"/>
        </w:rPr>
      </w:pPr>
      <w:r>
        <w:rPr>
          <w:szCs w:val="22"/>
          <w:lang w:val="en"/>
        </w:rPr>
        <w:t>Training on the Locarno Classification for design examiners, Indonesian IP Office, October 21, 2021;</w:t>
      </w:r>
    </w:p>
    <w:p w14:paraId="165A498F" w14:textId="77777777" w:rsidR="007A3DFF" w:rsidRPr="00A9216D" w:rsidRDefault="007A3DFF" w:rsidP="00FA0C32">
      <w:pPr>
        <w:pStyle w:val="ListParagraph"/>
        <w:numPr>
          <w:ilvl w:val="0"/>
          <w:numId w:val="7"/>
        </w:numPr>
        <w:spacing w:after="120"/>
        <w:contextualSpacing w:val="0"/>
        <w:rPr>
          <w:rFonts w:eastAsia="MS Mincho"/>
          <w:szCs w:val="22"/>
          <w:lang w:val="en" w:eastAsia="ja-JP"/>
        </w:rPr>
      </w:pPr>
      <w:r>
        <w:rPr>
          <w:szCs w:val="22"/>
          <w:lang w:val="en"/>
        </w:rPr>
        <w:t xml:space="preserve">Training on the Locarno and Vienna Classifications for trademark and design examiners, Egyptian IP Office, November 3, 2021, and </w:t>
      </w:r>
    </w:p>
    <w:p w14:paraId="20C49F29" w14:textId="77777777" w:rsidR="007A3DFF" w:rsidRDefault="007A3DFF" w:rsidP="007A3DFF">
      <w:pPr>
        <w:pStyle w:val="ListParagraph"/>
        <w:numPr>
          <w:ilvl w:val="0"/>
          <w:numId w:val="7"/>
        </w:numPr>
        <w:spacing w:after="220"/>
        <w:rPr>
          <w:rFonts w:eastAsia="MS Mincho"/>
          <w:szCs w:val="22"/>
          <w:lang w:val="en" w:eastAsia="ja-JP"/>
        </w:rPr>
      </w:pPr>
      <w:r>
        <w:rPr>
          <w:szCs w:val="22"/>
          <w:lang w:val="en"/>
        </w:rPr>
        <w:t>Training on the Nice Classification for trademark examiners, Cambodian IP Office, November 10-12, 2021.</w:t>
      </w:r>
    </w:p>
    <w:p w14:paraId="79F8B9FD" w14:textId="77777777" w:rsidR="009E2E0C" w:rsidRPr="001B28FE" w:rsidRDefault="009E2E0C" w:rsidP="009E2E0C">
      <w:pPr>
        <w:pStyle w:val="Heading2"/>
        <w:spacing w:before="0"/>
      </w:pPr>
      <w:r w:rsidRPr="001B28FE">
        <w:rPr>
          <w:caps w:val="0"/>
        </w:rPr>
        <w:t xml:space="preserve">BETTER UNDERSTANDING OF </w:t>
      </w:r>
      <w:r>
        <w:rPr>
          <w:caps w:val="0"/>
        </w:rPr>
        <w:t>WIPO</w:t>
      </w:r>
      <w:r w:rsidRPr="001B28FE">
        <w:rPr>
          <w:caps w:val="0"/>
        </w:rPr>
        <w:t xml:space="preserve"> STANDARDS</w:t>
      </w:r>
    </w:p>
    <w:p w14:paraId="560409E8" w14:textId="77777777" w:rsidR="009E2E0C" w:rsidRDefault="00BF0839" w:rsidP="00BF0839">
      <w:pPr>
        <w:pStyle w:val="ONUME"/>
        <w:numPr>
          <w:ilvl w:val="0"/>
          <w:numId w:val="0"/>
        </w:numPr>
        <w:rPr>
          <w:lang w:eastAsia="en-US"/>
        </w:rPr>
      </w:pPr>
      <w:r>
        <w:rPr>
          <w:lang w:eastAsia="en-US"/>
        </w:rPr>
        <w:fldChar w:fldCharType="begin"/>
      </w:r>
      <w:r>
        <w:rPr>
          <w:lang w:eastAsia="en-US"/>
        </w:rPr>
        <w:instrText xml:space="preserve"> AUTONUM  </w:instrText>
      </w:r>
      <w:r>
        <w:rPr>
          <w:lang w:eastAsia="en-US"/>
        </w:rPr>
        <w:fldChar w:fldCharType="end"/>
      </w:r>
      <w:r>
        <w:rPr>
          <w:lang w:eastAsia="en-US"/>
        </w:rPr>
        <w:tab/>
      </w:r>
      <w:r w:rsidR="009E2E0C" w:rsidRPr="001B28FE">
        <w:rPr>
          <w:lang w:eastAsia="en-US"/>
        </w:rPr>
        <w:t xml:space="preserve">In order to increase awareness of </w:t>
      </w:r>
      <w:r w:rsidR="009E2E0C">
        <w:rPr>
          <w:lang w:eastAsia="en-US"/>
        </w:rPr>
        <w:t xml:space="preserve">WIPO Standards </w:t>
      </w:r>
      <w:r w:rsidR="009E2E0C" w:rsidRPr="001B28FE">
        <w:rPr>
          <w:lang w:eastAsia="en-US"/>
        </w:rPr>
        <w:t>in</w:t>
      </w:r>
      <w:r w:rsidR="009E2E0C">
        <w:rPr>
          <w:lang w:eastAsia="en-US"/>
        </w:rPr>
        <w:t xml:space="preserve"> developing countries and to facilitate the physical participation by more developing countries in the preparation of new or revised WIPO Standard(s), following the decision of the General Assembly in October 2011, the participation at the seventh session of the CWS of </w:t>
      </w:r>
      <w:r w:rsidR="009E2E0C" w:rsidRPr="00E0045B">
        <w:rPr>
          <w:lang w:eastAsia="en-US"/>
        </w:rPr>
        <w:t>seven</w:t>
      </w:r>
      <w:r w:rsidR="009E2E0C">
        <w:rPr>
          <w:lang w:eastAsia="en-US"/>
        </w:rPr>
        <w:t xml:space="preserve"> developing countries or </w:t>
      </w:r>
      <w:r w:rsidR="009E2E0C">
        <w:t xml:space="preserve">least developed countries (LDCs) </w:t>
      </w:r>
      <w:r w:rsidR="009E2E0C">
        <w:rPr>
          <w:lang w:eastAsia="en-US"/>
        </w:rPr>
        <w:t xml:space="preserve">was funded by the International </w:t>
      </w:r>
      <w:r w:rsidR="009E2E0C" w:rsidRPr="00EB048B">
        <w:rPr>
          <w:lang w:eastAsia="en-US"/>
        </w:rPr>
        <w:t>Bureau.</w:t>
      </w:r>
    </w:p>
    <w:p w14:paraId="73FCF1CE" w14:textId="77777777" w:rsidR="009E2E0C" w:rsidRDefault="009E2E0C" w:rsidP="009E2E0C">
      <w:pPr>
        <w:pStyle w:val="Heading2"/>
        <w:spacing w:before="0"/>
      </w:pPr>
      <w:r>
        <w:rPr>
          <w:caps w:val="0"/>
        </w:rPr>
        <w:t>IP DATA EXCHANGE</w:t>
      </w:r>
    </w:p>
    <w:p w14:paraId="49D55496" w14:textId="208221B9" w:rsidR="00FA0C32" w:rsidRDefault="00BF0839" w:rsidP="00BF0839">
      <w:pPr>
        <w:pStyle w:val="ONUME"/>
        <w:numPr>
          <w:ilvl w:val="0"/>
          <w:numId w:val="0"/>
        </w:numPr>
        <w:rPr>
          <w:lang w:eastAsia="en-US"/>
        </w:rPr>
      </w:pPr>
      <w:r>
        <w:rPr>
          <w:lang w:eastAsia="en-US"/>
        </w:rPr>
        <w:fldChar w:fldCharType="begin"/>
      </w:r>
      <w:r>
        <w:rPr>
          <w:lang w:eastAsia="en-US"/>
        </w:rPr>
        <w:instrText xml:space="preserve"> AUTONUM  </w:instrText>
      </w:r>
      <w:r>
        <w:rPr>
          <w:lang w:eastAsia="en-US"/>
        </w:rPr>
        <w:fldChar w:fldCharType="end"/>
      </w:r>
      <w:r>
        <w:rPr>
          <w:lang w:eastAsia="en-US"/>
        </w:rPr>
        <w:tab/>
      </w:r>
      <w:r w:rsidR="009E2E0C" w:rsidRPr="00210A60">
        <w:rPr>
          <w:lang w:eastAsia="en-US"/>
        </w:rPr>
        <w:t>The International Bureau has been working together with many IPOs, particularly in certain groups of developing countries</w:t>
      </w:r>
      <w:r w:rsidR="009E2E0C">
        <w:rPr>
          <w:lang w:eastAsia="en-US"/>
        </w:rPr>
        <w:t>,</w:t>
      </w:r>
      <w:r w:rsidR="009E2E0C" w:rsidRPr="00210A60">
        <w:rPr>
          <w:lang w:eastAsia="en-US"/>
        </w:rPr>
        <w:t xml:space="preserve"> to promote the exchange of IP data with a view to providing users in those countries with greater access to IP information originating from those IPOs.  The exchange of IP data was organized in accordance with relevant WIPO Standards.</w:t>
      </w:r>
      <w:r w:rsidR="00FA0C32">
        <w:rPr>
          <w:lang w:eastAsia="en-US"/>
        </w:rPr>
        <w:t xml:space="preserve">  </w:t>
      </w:r>
      <w:r w:rsidR="009E2E0C" w:rsidRPr="00210A60">
        <w:rPr>
          <w:lang w:eastAsia="en-US"/>
        </w:rPr>
        <w:t>The trademark collections of the following countries have been included in Global Brand Database during the year 20</w:t>
      </w:r>
      <w:r w:rsidR="00213A11">
        <w:rPr>
          <w:lang w:eastAsia="en-US"/>
        </w:rPr>
        <w:t>2</w:t>
      </w:r>
      <w:r w:rsidR="00032F40">
        <w:rPr>
          <w:lang w:eastAsia="en-US"/>
        </w:rPr>
        <w:t>1</w:t>
      </w:r>
      <w:r w:rsidR="009E2E0C" w:rsidRPr="00E5104B">
        <w:rPr>
          <w:color w:val="000000"/>
          <w:lang w:eastAsia="en-US"/>
        </w:rPr>
        <w:t xml:space="preserve"> </w:t>
      </w:r>
      <w:r w:rsidR="009E2E0C">
        <w:rPr>
          <w:color w:val="000000"/>
          <w:lang w:eastAsia="en-US"/>
        </w:rPr>
        <w:t xml:space="preserve">in chronological order: </w:t>
      </w:r>
      <w:r w:rsidR="00032F40" w:rsidRPr="00FA0C32">
        <w:rPr>
          <w:rFonts w:eastAsia="Times New Roman"/>
          <w:color w:val="000000"/>
          <w:szCs w:val="22"/>
        </w:rPr>
        <w:t xml:space="preserve">Cuba, </w:t>
      </w:r>
      <w:r w:rsidR="00960E8C" w:rsidRPr="00774753">
        <w:rPr>
          <w:rFonts w:eastAsia="Times New Roman"/>
          <w:color w:val="000000"/>
          <w:szCs w:val="22"/>
        </w:rPr>
        <w:t>Kyrgyzstan</w:t>
      </w:r>
      <w:r w:rsidR="00960E8C">
        <w:rPr>
          <w:rFonts w:eastAsia="Times New Roman"/>
          <w:color w:val="000000"/>
          <w:szCs w:val="22"/>
        </w:rPr>
        <w:t>,</w:t>
      </w:r>
      <w:r w:rsidR="00960E8C" w:rsidRPr="00960E8C">
        <w:rPr>
          <w:rFonts w:eastAsia="Times New Roman"/>
          <w:color w:val="000000"/>
          <w:szCs w:val="22"/>
        </w:rPr>
        <w:t xml:space="preserve"> </w:t>
      </w:r>
      <w:r w:rsidR="00032F40" w:rsidRPr="00FA0C32">
        <w:rPr>
          <w:rFonts w:eastAsia="Times New Roman"/>
          <w:color w:val="000000"/>
          <w:szCs w:val="22"/>
        </w:rPr>
        <w:t xml:space="preserve">Vanuatu and </w:t>
      </w:r>
      <w:r w:rsidR="00FA0C32">
        <w:rPr>
          <w:rFonts w:eastAsia="Times New Roman"/>
          <w:color w:val="000000"/>
          <w:szCs w:val="22"/>
        </w:rPr>
        <w:t>Zambia</w:t>
      </w:r>
      <w:r w:rsidR="00FA0C32">
        <w:rPr>
          <w:lang w:eastAsia="en-US"/>
        </w:rPr>
        <w:t xml:space="preserve">; </w:t>
      </w:r>
      <w:r w:rsidR="009E2E0C" w:rsidRPr="00210A60">
        <w:rPr>
          <w:lang w:eastAsia="en-US"/>
        </w:rPr>
        <w:t>the patent collections of the following countries have been included in PATENTSCOPE during the year 20</w:t>
      </w:r>
      <w:r w:rsidR="00213A11">
        <w:rPr>
          <w:lang w:eastAsia="en-US"/>
        </w:rPr>
        <w:t>2</w:t>
      </w:r>
      <w:r w:rsidR="00032F40">
        <w:rPr>
          <w:lang w:eastAsia="en-US"/>
        </w:rPr>
        <w:t>1</w:t>
      </w:r>
      <w:r w:rsidR="009E2E0C" w:rsidRPr="00210A60">
        <w:rPr>
          <w:lang w:eastAsia="en-US"/>
        </w:rPr>
        <w:t xml:space="preserve">:  </w:t>
      </w:r>
      <w:r w:rsidR="00032F40" w:rsidRPr="00FA0C32">
        <w:rPr>
          <w:rFonts w:eastAsia="Times New Roman"/>
          <w:color w:val="000000"/>
          <w:szCs w:val="22"/>
        </w:rPr>
        <w:t xml:space="preserve">Finland, </w:t>
      </w:r>
      <w:r w:rsidR="00FA0C32" w:rsidRPr="00FA0C32">
        <w:rPr>
          <w:rFonts w:eastAsia="Times New Roman"/>
          <w:color w:val="000000"/>
          <w:szCs w:val="22"/>
        </w:rPr>
        <w:t>Kazakhstan</w:t>
      </w:r>
      <w:r w:rsidR="00FA0C32">
        <w:rPr>
          <w:rFonts w:eastAsia="Times New Roman"/>
          <w:color w:val="000000"/>
          <w:szCs w:val="22"/>
        </w:rPr>
        <w:t>,</w:t>
      </w:r>
      <w:r w:rsidR="00FA0C32" w:rsidRPr="00FA0C32">
        <w:rPr>
          <w:rFonts w:eastAsia="Times New Roman"/>
          <w:color w:val="000000"/>
          <w:szCs w:val="22"/>
        </w:rPr>
        <w:t xml:space="preserve"> </w:t>
      </w:r>
      <w:r w:rsidR="00032F40" w:rsidRPr="00FA0C32">
        <w:rPr>
          <w:rFonts w:eastAsia="Times New Roman"/>
          <w:color w:val="000000"/>
          <w:szCs w:val="22"/>
        </w:rPr>
        <w:t>New Zealand, and Poland</w:t>
      </w:r>
      <w:r w:rsidR="009E2E0C">
        <w:rPr>
          <w:lang w:eastAsia="en-US"/>
        </w:rPr>
        <w:t xml:space="preserve">.  </w:t>
      </w:r>
      <w:r w:rsidR="009E2E0C" w:rsidRPr="00210A60">
        <w:rPr>
          <w:lang w:eastAsia="en-US"/>
        </w:rPr>
        <w:t xml:space="preserve">The industrial design collections of </w:t>
      </w:r>
      <w:r w:rsidR="00FA0C32" w:rsidRPr="00FA0C32">
        <w:rPr>
          <w:rFonts w:eastAsia="Times New Roman"/>
          <w:color w:val="000000"/>
          <w:szCs w:val="22"/>
        </w:rPr>
        <w:t>Cuba, Indonesia</w:t>
      </w:r>
      <w:r w:rsidR="00FA0C32">
        <w:rPr>
          <w:rFonts w:eastAsia="Times New Roman"/>
          <w:color w:val="000000"/>
          <w:szCs w:val="22"/>
        </w:rPr>
        <w:t>,</w:t>
      </w:r>
      <w:r w:rsidR="00FA0C32">
        <w:rPr>
          <w:rFonts w:eastAsia="Times New Roman"/>
          <w:color w:val="000000"/>
          <w:sz w:val="24"/>
          <w:szCs w:val="24"/>
        </w:rPr>
        <w:t xml:space="preserve"> </w:t>
      </w:r>
      <w:r w:rsidR="00FA0C32">
        <w:rPr>
          <w:rFonts w:eastAsia="Times New Roman"/>
          <w:color w:val="000000"/>
          <w:szCs w:val="22"/>
        </w:rPr>
        <w:t xml:space="preserve">Peru, Singapore and </w:t>
      </w:r>
      <w:r w:rsidR="00032F40" w:rsidRPr="00FA0C32">
        <w:rPr>
          <w:rFonts w:eastAsia="Times New Roman"/>
          <w:color w:val="000000"/>
          <w:szCs w:val="22"/>
        </w:rPr>
        <w:t>Viet</w:t>
      </w:r>
      <w:r w:rsidR="002B639B">
        <w:rPr>
          <w:rFonts w:eastAsia="Times New Roman"/>
          <w:color w:val="000000"/>
          <w:szCs w:val="22"/>
        </w:rPr>
        <w:t xml:space="preserve"> N</w:t>
      </w:r>
      <w:r w:rsidR="00032F40" w:rsidRPr="00FA0C32">
        <w:rPr>
          <w:rFonts w:eastAsia="Times New Roman"/>
          <w:color w:val="000000"/>
          <w:szCs w:val="22"/>
        </w:rPr>
        <w:t xml:space="preserve">am </w:t>
      </w:r>
      <w:r w:rsidR="009E2E0C" w:rsidRPr="00210A60">
        <w:rPr>
          <w:lang w:eastAsia="en-US"/>
        </w:rPr>
        <w:t>have also been added in WIPO</w:t>
      </w:r>
      <w:r w:rsidR="009A67CE">
        <w:rPr>
          <w:lang w:eastAsia="en-US"/>
        </w:rPr>
        <w:t>’</w:t>
      </w:r>
      <w:r w:rsidR="009E2E0C" w:rsidRPr="00210A60">
        <w:rPr>
          <w:lang w:eastAsia="en-US"/>
        </w:rPr>
        <w:t>s Global Design Database in 20</w:t>
      </w:r>
      <w:r w:rsidR="00213A11">
        <w:rPr>
          <w:lang w:eastAsia="en-US"/>
        </w:rPr>
        <w:t>2</w:t>
      </w:r>
      <w:r w:rsidR="00032F40">
        <w:rPr>
          <w:lang w:eastAsia="en-US"/>
        </w:rPr>
        <w:t>1</w:t>
      </w:r>
      <w:r w:rsidR="009E2E0C" w:rsidRPr="00210A60">
        <w:rPr>
          <w:lang w:eastAsia="en-US"/>
        </w:rPr>
        <w:t>.</w:t>
      </w:r>
    </w:p>
    <w:p w14:paraId="181AD5F0" w14:textId="2B1EBB83" w:rsidR="009E2E0C" w:rsidRPr="00F73FF7" w:rsidRDefault="006E2A3A" w:rsidP="006E2A3A">
      <w:pPr>
        <w:pStyle w:val="ONUME"/>
        <w:numPr>
          <w:ilvl w:val="0"/>
          <w:numId w:val="0"/>
        </w:numPr>
        <w:tabs>
          <w:tab w:val="left" w:pos="6237"/>
        </w:tabs>
        <w:spacing w:after="0"/>
        <w:ind w:left="5529"/>
        <w:rPr>
          <w:i/>
          <w:lang w:eastAsia="en-US"/>
        </w:rPr>
      </w:pPr>
      <w:r>
        <w:rPr>
          <w:i/>
          <w:szCs w:val="22"/>
        </w:rPr>
        <w:fldChar w:fldCharType="begin"/>
      </w:r>
      <w:r>
        <w:rPr>
          <w:i/>
          <w:szCs w:val="22"/>
        </w:rPr>
        <w:instrText xml:space="preserve"> AUTONUM  </w:instrText>
      </w:r>
      <w:r>
        <w:rPr>
          <w:i/>
          <w:szCs w:val="22"/>
        </w:rPr>
        <w:fldChar w:fldCharType="end"/>
      </w:r>
      <w:r>
        <w:rPr>
          <w:i/>
          <w:szCs w:val="22"/>
        </w:rPr>
        <w:tab/>
      </w:r>
      <w:r w:rsidR="009E2E0C" w:rsidRPr="00133AAD">
        <w:rPr>
          <w:i/>
          <w:szCs w:val="22"/>
        </w:rPr>
        <w:t>The</w:t>
      </w:r>
      <w:r w:rsidR="009E2E0C" w:rsidRPr="00F73FF7">
        <w:rPr>
          <w:i/>
          <w:lang w:eastAsia="en-US"/>
        </w:rPr>
        <w:t xml:space="preserve"> </w:t>
      </w:r>
      <w:r w:rsidR="009E2E0C" w:rsidRPr="00F73FF7">
        <w:rPr>
          <w:i/>
        </w:rPr>
        <w:t>CWS</w:t>
      </w:r>
      <w:r w:rsidR="009E2E0C" w:rsidRPr="00F73FF7">
        <w:rPr>
          <w:i/>
          <w:lang w:eastAsia="en-US"/>
        </w:rPr>
        <w:t xml:space="preserve"> is invited to take note of the </w:t>
      </w:r>
      <w:r w:rsidR="009E2E0C">
        <w:rPr>
          <w:i/>
          <w:lang w:eastAsia="en-US"/>
        </w:rPr>
        <w:t>20</w:t>
      </w:r>
      <w:r w:rsidR="00213A11">
        <w:rPr>
          <w:i/>
          <w:lang w:eastAsia="en-US"/>
        </w:rPr>
        <w:t>2</w:t>
      </w:r>
      <w:r w:rsidR="00032F40">
        <w:rPr>
          <w:i/>
          <w:lang w:eastAsia="en-US"/>
        </w:rPr>
        <w:t>1</w:t>
      </w:r>
      <w:r w:rsidR="009E2E0C" w:rsidRPr="00F73FF7">
        <w:rPr>
          <w:i/>
          <w:lang w:eastAsia="en-US"/>
        </w:rPr>
        <w:t xml:space="preserve"> activities of the International Bureau, related to providing technical advice and </w:t>
      </w:r>
      <w:r w:rsidR="009E2E0C" w:rsidRPr="0057272F">
        <w:rPr>
          <w:i/>
          <w:lang w:eastAsia="en-US"/>
        </w:rPr>
        <w:t xml:space="preserve">assistance for capacity building </w:t>
      </w:r>
      <w:r w:rsidR="009E2E0C" w:rsidRPr="009E474B">
        <w:rPr>
          <w:i/>
          <w:lang w:eastAsia="en-US"/>
        </w:rPr>
        <w:t>to IP</w:t>
      </w:r>
      <w:r w:rsidR="009E2E0C">
        <w:rPr>
          <w:i/>
          <w:lang w:eastAsia="en-US"/>
        </w:rPr>
        <w:t>Os</w:t>
      </w:r>
      <w:r w:rsidR="009E2E0C" w:rsidRPr="009E474B">
        <w:rPr>
          <w:i/>
          <w:lang w:eastAsia="en-US"/>
        </w:rPr>
        <w:t xml:space="preserve">, regarding dissemination of </w:t>
      </w:r>
      <w:r w:rsidR="009E2E0C">
        <w:rPr>
          <w:i/>
          <w:lang w:eastAsia="en-US"/>
        </w:rPr>
        <w:t>IP</w:t>
      </w:r>
      <w:r w:rsidR="009E2E0C" w:rsidRPr="009E474B">
        <w:rPr>
          <w:i/>
          <w:lang w:eastAsia="en-US"/>
        </w:rPr>
        <w:t xml:space="preserve"> </w:t>
      </w:r>
      <w:r w:rsidR="009E2E0C">
        <w:rPr>
          <w:i/>
          <w:lang w:eastAsia="en-US"/>
        </w:rPr>
        <w:t>s</w:t>
      </w:r>
      <w:r w:rsidR="009E2E0C" w:rsidRPr="009E474B">
        <w:rPr>
          <w:i/>
          <w:lang w:eastAsia="en-US"/>
        </w:rPr>
        <w:t>tandards information.  This document will serve as a basis of the relevant report to be presented to the WIPO General Assembly to be held in 20</w:t>
      </w:r>
      <w:r w:rsidR="009E2E0C">
        <w:rPr>
          <w:i/>
          <w:lang w:eastAsia="en-US"/>
        </w:rPr>
        <w:t>2</w:t>
      </w:r>
      <w:r w:rsidR="0038392C">
        <w:rPr>
          <w:i/>
          <w:lang w:eastAsia="en-US"/>
        </w:rPr>
        <w:t>3</w:t>
      </w:r>
      <w:r w:rsidR="009E2E0C" w:rsidRPr="0057272F">
        <w:rPr>
          <w:i/>
          <w:lang w:eastAsia="en-US"/>
        </w:rPr>
        <w:t>, as requested at its 40</w:t>
      </w:r>
      <w:r w:rsidR="009E2E0C" w:rsidRPr="009E474B">
        <w:rPr>
          <w:i/>
          <w:vertAlign w:val="superscript"/>
          <w:lang w:eastAsia="en-US"/>
        </w:rPr>
        <w:t>th </w:t>
      </w:r>
      <w:r w:rsidR="009E2E0C" w:rsidRPr="009E474B">
        <w:rPr>
          <w:i/>
          <w:lang w:eastAsia="en-US"/>
        </w:rPr>
        <w:t>session held</w:t>
      </w:r>
      <w:r w:rsidR="009E2E0C">
        <w:rPr>
          <w:i/>
          <w:lang w:eastAsia="en-US"/>
        </w:rPr>
        <w:t xml:space="preserve"> in October 2011 (see paragraph </w:t>
      </w:r>
      <w:r w:rsidR="009E2E0C" w:rsidRPr="009E474B">
        <w:rPr>
          <w:i/>
          <w:lang w:eastAsia="en-US"/>
        </w:rPr>
        <w:t>190 of d</w:t>
      </w:r>
      <w:r w:rsidR="009E2E0C">
        <w:rPr>
          <w:i/>
          <w:lang w:eastAsia="en-US"/>
        </w:rPr>
        <w:t xml:space="preserve">ocument </w:t>
      </w:r>
      <w:r w:rsidR="009E2E0C" w:rsidRPr="00F73FF7">
        <w:rPr>
          <w:i/>
          <w:lang w:eastAsia="en-US"/>
        </w:rPr>
        <w:t>WO/GA/40/19).</w:t>
      </w:r>
    </w:p>
    <w:p w14:paraId="588E0AB0" w14:textId="77777777" w:rsidR="009E2E0C" w:rsidRDefault="009E2E0C" w:rsidP="009E2E0C">
      <w:pPr>
        <w:pStyle w:val="BodyText"/>
        <w:spacing w:after="0"/>
        <w:ind w:left="5529"/>
        <w:rPr>
          <w:lang w:eastAsia="en-US"/>
        </w:rPr>
      </w:pPr>
    </w:p>
    <w:p w14:paraId="5C3CEC1C" w14:textId="77777777" w:rsidR="006E2A3A" w:rsidRPr="00CA34BE" w:rsidRDefault="006E2A3A" w:rsidP="009E2E0C">
      <w:pPr>
        <w:pStyle w:val="BodyText"/>
        <w:spacing w:after="0"/>
        <w:ind w:left="5529"/>
        <w:rPr>
          <w:lang w:eastAsia="en-US"/>
        </w:rPr>
      </w:pPr>
    </w:p>
    <w:p w14:paraId="283AD6C6" w14:textId="77777777" w:rsidR="009E2E0C" w:rsidRDefault="009E2E0C" w:rsidP="009E2E0C">
      <w:pPr>
        <w:pStyle w:val="Endofdocument"/>
        <w:ind w:left="5530"/>
      </w:pPr>
      <w:r w:rsidRPr="00CA34BE">
        <w:rPr>
          <w:szCs w:val="22"/>
        </w:rPr>
        <w:t>[End of document]</w:t>
      </w:r>
    </w:p>
    <w:p w14:paraId="744E3348" w14:textId="77777777" w:rsidR="002326AB" w:rsidRDefault="002326AB" w:rsidP="002326AB">
      <w:pPr>
        <w:spacing w:after="220"/>
      </w:pPr>
    </w:p>
    <w:sectPr w:rsidR="002326AB" w:rsidSect="00C20DB1">
      <w:headerReference w:type="default" r:id="rId14"/>
      <w:endnotePr>
        <w:numFmt w:val="decimal"/>
      </w:endnotePr>
      <w:pgSz w:w="11907" w:h="16840" w:code="9"/>
      <w:pgMar w:top="562" w:right="1138" w:bottom="1008" w:left="1411" w:header="504" w:footer="10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64EAC6" w14:textId="77777777" w:rsidR="00FF5C71" w:rsidRDefault="00FF5C71">
      <w:r>
        <w:separator/>
      </w:r>
    </w:p>
  </w:endnote>
  <w:endnote w:type="continuationSeparator" w:id="0">
    <w:p w14:paraId="58BCA6B1" w14:textId="77777777" w:rsidR="00FF5C71" w:rsidRDefault="00FF5C71" w:rsidP="003B38C1">
      <w:r>
        <w:separator/>
      </w:r>
    </w:p>
    <w:p w14:paraId="5853B242" w14:textId="77777777" w:rsidR="00FF5C71" w:rsidRPr="003B38C1" w:rsidRDefault="00FF5C71" w:rsidP="003B38C1">
      <w:pPr>
        <w:spacing w:after="60"/>
        <w:rPr>
          <w:sz w:val="17"/>
        </w:rPr>
      </w:pPr>
      <w:r>
        <w:rPr>
          <w:sz w:val="17"/>
        </w:rPr>
        <w:t>[Endnote continued from previous page]</w:t>
      </w:r>
    </w:p>
  </w:endnote>
  <w:endnote w:type="continuationNotice" w:id="1">
    <w:p w14:paraId="49159B20" w14:textId="77777777" w:rsidR="00FF5C71" w:rsidRPr="003B38C1" w:rsidRDefault="00FF5C7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C64B02" w14:textId="77777777" w:rsidR="00FF5C71" w:rsidRDefault="00FF5C71">
      <w:r>
        <w:separator/>
      </w:r>
    </w:p>
  </w:footnote>
  <w:footnote w:type="continuationSeparator" w:id="0">
    <w:p w14:paraId="3C8CAC2A" w14:textId="77777777" w:rsidR="00FF5C71" w:rsidRDefault="00FF5C71" w:rsidP="008B60B2">
      <w:r>
        <w:separator/>
      </w:r>
    </w:p>
    <w:p w14:paraId="7BB59C4C" w14:textId="77777777" w:rsidR="00FF5C71" w:rsidRPr="00ED77FB" w:rsidRDefault="00FF5C71" w:rsidP="008B60B2">
      <w:pPr>
        <w:spacing w:after="60"/>
        <w:rPr>
          <w:sz w:val="17"/>
          <w:szCs w:val="17"/>
        </w:rPr>
      </w:pPr>
      <w:r w:rsidRPr="00ED77FB">
        <w:rPr>
          <w:sz w:val="17"/>
          <w:szCs w:val="17"/>
        </w:rPr>
        <w:t>[Footnote continued from previous page]</w:t>
      </w:r>
    </w:p>
  </w:footnote>
  <w:footnote w:type="continuationNotice" w:id="1">
    <w:p w14:paraId="2C6C05A7" w14:textId="77777777" w:rsidR="00FF5C71" w:rsidRPr="00ED77FB" w:rsidRDefault="00FF5C7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A28E0" w14:textId="08F006BC" w:rsidR="00D07C78" w:rsidRPr="002326AB" w:rsidRDefault="009E2E0C" w:rsidP="00477D6B">
    <w:pPr>
      <w:jc w:val="right"/>
      <w:rPr>
        <w:caps/>
      </w:rPr>
    </w:pPr>
    <w:bookmarkStart w:id="6" w:name="Code2"/>
    <w:bookmarkEnd w:id="6"/>
    <w:r>
      <w:rPr>
        <w:caps/>
      </w:rPr>
      <w:t>C</w:t>
    </w:r>
    <w:r w:rsidR="003644D9">
      <w:rPr>
        <w:caps/>
      </w:rPr>
      <w:t>WS/</w:t>
    </w:r>
    <w:r w:rsidR="0038392C">
      <w:rPr>
        <w:caps/>
      </w:rPr>
      <w:t>10</w:t>
    </w:r>
    <w:r w:rsidR="003644D9">
      <w:rPr>
        <w:caps/>
      </w:rPr>
      <w:t>/2</w:t>
    </w:r>
    <w:r w:rsidR="0038392C">
      <w:rPr>
        <w:caps/>
      </w:rPr>
      <w:t>0</w:t>
    </w:r>
  </w:p>
  <w:p w14:paraId="018F05E0" w14:textId="591B51CA" w:rsidR="00D07C78" w:rsidRDefault="00D07C78" w:rsidP="00477D6B">
    <w:pPr>
      <w:jc w:val="right"/>
    </w:pPr>
    <w:r>
      <w:t xml:space="preserve">page </w:t>
    </w:r>
    <w:r>
      <w:fldChar w:fldCharType="begin"/>
    </w:r>
    <w:r>
      <w:instrText xml:space="preserve"> PAGE  \* MERGEFORMAT </w:instrText>
    </w:r>
    <w:r>
      <w:fldChar w:fldCharType="separate"/>
    </w:r>
    <w:r w:rsidR="00FA0C32">
      <w:rPr>
        <w:noProof/>
      </w:rPr>
      <w:t>4</w:t>
    </w:r>
    <w:r>
      <w:fldChar w:fldCharType="end"/>
    </w:r>
  </w:p>
  <w:p w14:paraId="66E11673" w14:textId="77777777" w:rsidR="00D07C78" w:rsidRDefault="00D07C78" w:rsidP="00477D6B">
    <w:pPr>
      <w:jc w:val="right"/>
    </w:pPr>
  </w:p>
  <w:p w14:paraId="64271CD5" w14:textId="77777777"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99B1C9C"/>
    <w:multiLevelType w:val="hybridMultilevel"/>
    <w:tmpl w:val="A394007C"/>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E0C"/>
    <w:rsid w:val="00032F40"/>
    <w:rsid w:val="00043CAA"/>
    <w:rsid w:val="00056816"/>
    <w:rsid w:val="000608C4"/>
    <w:rsid w:val="00075432"/>
    <w:rsid w:val="000968ED"/>
    <w:rsid w:val="000A3D97"/>
    <w:rsid w:val="000D578B"/>
    <w:rsid w:val="000F0A41"/>
    <w:rsid w:val="000F0F8C"/>
    <w:rsid w:val="000F244E"/>
    <w:rsid w:val="000F5E56"/>
    <w:rsid w:val="001362EE"/>
    <w:rsid w:val="001479FD"/>
    <w:rsid w:val="001647D5"/>
    <w:rsid w:val="0017521B"/>
    <w:rsid w:val="001832A6"/>
    <w:rsid w:val="001A3DDE"/>
    <w:rsid w:val="001C624A"/>
    <w:rsid w:val="001D0D80"/>
    <w:rsid w:val="001D4107"/>
    <w:rsid w:val="001F1CA8"/>
    <w:rsid w:val="00203D24"/>
    <w:rsid w:val="00205EB3"/>
    <w:rsid w:val="0021217E"/>
    <w:rsid w:val="00213A11"/>
    <w:rsid w:val="002326AB"/>
    <w:rsid w:val="002357D0"/>
    <w:rsid w:val="00243430"/>
    <w:rsid w:val="002634C4"/>
    <w:rsid w:val="00274798"/>
    <w:rsid w:val="002928D3"/>
    <w:rsid w:val="002B24A5"/>
    <w:rsid w:val="002B639B"/>
    <w:rsid w:val="002F1FE6"/>
    <w:rsid w:val="002F4E68"/>
    <w:rsid w:val="00312F7F"/>
    <w:rsid w:val="00361450"/>
    <w:rsid w:val="003644D9"/>
    <w:rsid w:val="003673CF"/>
    <w:rsid w:val="0038392C"/>
    <w:rsid w:val="003845C1"/>
    <w:rsid w:val="003A6F89"/>
    <w:rsid w:val="003B38C1"/>
    <w:rsid w:val="003C34E9"/>
    <w:rsid w:val="003D25B1"/>
    <w:rsid w:val="00423E3E"/>
    <w:rsid w:val="00427AF4"/>
    <w:rsid w:val="00455BE8"/>
    <w:rsid w:val="00460D79"/>
    <w:rsid w:val="004647DA"/>
    <w:rsid w:val="00474062"/>
    <w:rsid w:val="00474ACF"/>
    <w:rsid w:val="00477D6B"/>
    <w:rsid w:val="004A4403"/>
    <w:rsid w:val="004E0BCA"/>
    <w:rsid w:val="005019FF"/>
    <w:rsid w:val="0053057A"/>
    <w:rsid w:val="00556076"/>
    <w:rsid w:val="00560A29"/>
    <w:rsid w:val="005A546F"/>
    <w:rsid w:val="005B01EE"/>
    <w:rsid w:val="005C40FF"/>
    <w:rsid w:val="005C6649"/>
    <w:rsid w:val="00605827"/>
    <w:rsid w:val="006163CD"/>
    <w:rsid w:val="00644561"/>
    <w:rsid w:val="00646050"/>
    <w:rsid w:val="006561F6"/>
    <w:rsid w:val="0067129B"/>
    <w:rsid w:val="006713CA"/>
    <w:rsid w:val="00676C5C"/>
    <w:rsid w:val="006C05CA"/>
    <w:rsid w:val="006E2A3A"/>
    <w:rsid w:val="00701A6C"/>
    <w:rsid w:val="00720EFD"/>
    <w:rsid w:val="0075777E"/>
    <w:rsid w:val="007854AF"/>
    <w:rsid w:val="00793A7C"/>
    <w:rsid w:val="007A398A"/>
    <w:rsid w:val="007A3DFF"/>
    <w:rsid w:val="007B3E48"/>
    <w:rsid w:val="007C1285"/>
    <w:rsid w:val="007D1613"/>
    <w:rsid w:val="007D65E2"/>
    <w:rsid w:val="007E4C0E"/>
    <w:rsid w:val="00846CF6"/>
    <w:rsid w:val="008A134B"/>
    <w:rsid w:val="008B2CC1"/>
    <w:rsid w:val="008B60B2"/>
    <w:rsid w:val="008F3604"/>
    <w:rsid w:val="0090731E"/>
    <w:rsid w:val="009144CB"/>
    <w:rsid w:val="00916EE2"/>
    <w:rsid w:val="00917D9D"/>
    <w:rsid w:val="009353F8"/>
    <w:rsid w:val="00960E8C"/>
    <w:rsid w:val="009630F1"/>
    <w:rsid w:val="00966A22"/>
    <w:rsid w:val="0096722F"/>
    <w:rsid w:val="00980843"/>
    <w:rsid w:val="009A0F4B"/>
    <w:rsid w:val="009A5059"/>
    <w:rsid w:val="009A5667"/>
    <w:rsid w:val="009A67CE"/>
    <w:rsid w:val="009E2791"/>
    <w:rsid w:val="009E2A28"/>
    <w:rsid w:val="009E2E0C"/>
    <w:rsid w:val="009E3F6F"/>
    <w:rsid w:val="009F10DB"/>
    <w:rsid w:val="009F499F"/>
    <w:rsid w:val="00A03EFD"/>
    <w:rsid w:val="00A16EE4"/>
    <w:rsid w:val="00A37342"/>
    <w:rsid w:val="00A42DAF"/>
    <w:rsid w:val="00A45BD8"/>
    <w:rsid w:val="00A46249"/>
    <w:rsid w:val="00A47D8F"/>
    <w:rsid w:val="00A764CA"/>
    <w:rsid w:val="00A869B7"/>
    <w:rsid w:val="00A90F0A"/>
    <w:rsid w:val="00AC018D"/>
    <w:rsid w:val="00AC205C"/>
    <w:rsid w:val="00AF0A6B"/>
    <w:rsid w:val="00B05A69"/>
    <w:rsid w:val="00B22C3F"/>
    <w:rsid w:val="00B355B6"/>
    <w:rsid w:val="00B75281"/>
    <w:rsid w:val="00B83E01"/>
    <w:rsid w:val="00B92F1F"/>
    <w:rsid w:val="00B9734B"/>
    <w:rsid w:val="00BA30E2"/>
    <w:rsid w:val="00BB130D"/>
    <w:rsid w:val="00BF0839"/>
    <w:rsid w:val="00C11BFE"/>
    <w:rsid w:val="00C20DB1"/>
    <w:rsid w:val="00C5068F"/>
    <w:rsid w:val="00C86D74"/>
    <w:rsid w:val="00CB55B6"/>
    <w:rsid w:val="00CD04F1"/>
    <w:rsid w:val="00CF681A"/>
    <w:rsid w:val="00D07C78"/>
    <w:rsid w:val="00D45252"/>
    <w:rsid w:val="00D46546"/>
    <w:rsid w:val="00D578B3"/>
    <w:rsid w:val="00D71B4D"/>
    <w:rsid w:val="00D87609"/>
    <w:rsid w:val="00D93D55"/>
    <w:rsid w:val="00DD7B7F"/>
    <w:rsid w:val="00E15015"/>
    <w:rsid w:val="00E30B68"/>
    <w:rsid w:val="00E335FE"/>
    <w:rsid w:val="00E33F98"/>
    <w:rsid w:val="00E34CBF"/>
    <w:rsid w:val="00E45755"/>
    <w:rsid w:val="00E51DBD"/>
    <w:rsid w:val="00E55A68"/>
    <w:rsid w:val="00EA7D6E"/>
    <w:rsid w:val="00EB2F76"/>
    <w:rsid w:val="00EC4E49"/>
    <w:rsid w:val="00ED38B6"/>
    <w:rsid w:val="00ED77FB"/>
    <w:rsid w:val="00EE45FA"/>
    <w:rsid w:val="00EF3061"/>
    <w:rsid w:val="00F043DE"/>
    <w:rsid w:val="00F52014"/>
    <w:rsid w:val="00F66152"/>
    <w:rsid w:val="00F9165B"/>
    <w:rsid w:val="00FA0C32"/>
    <w:rsid w:val="00FA3D75"/>
    <w:rsid w:val="00FC482F"/>
    <w:rsid w:val="00FF5C71"/>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0B3FAC"/>
  <w15:docId w15:val="{82B982A4-2C49-4545-A43F-6AD746E65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2Char">
    <w:name w:val="Heading 2 Char"/>
    <w:basedOn w:val="DefaultParagraphFont"/>
    <w:link w:val="Heading2"/>
    <w:rsid w:val="009E2E0C"/>
    <w:rPr>
      <w:rFonts w:ascii="Arial" w:eastAsia="SimSun" w:hAnsi="Arial" w:cs="Arial"/>
      <w:bCs/>
      <w:iCs/>
      <w:caps/>
      <w:sz w:val="22"/>
      <w:szCs w:val="28"/>
      <w:lang w:val="en-US" w:eastAsia="zh-CN"/>
    </w:rPr>
  </w:style>
  <w:style w:type="character" w:customStyle="1" w:styleId="BodyTextChar">
    <w:name w:val="Body Text Char"/>
    <w:basedOn w:val="DefaultParagraphFont"/>
    <w:link w:val="BodyText"/>
    <w:rsid w:val="009E2E0C"/>
    <w:rPr>
      <w:rFonts w:ascii="Arial" w:eastAsia="SimSun" w:hAnsi="Arial" w:cs="Arial"/>
      <w:sz w:val="22"/>
      <w:lang w:val="en-US" w:eastAsia="zh-CN"/>
    </w:rPr>
  </w:style>
  <w:style w:type="paragraph" w:customStyle="1" w:styleId="Endofdocument">
    <w:name w:val="End of document"/>
    <w:basedOn w:val="Normal"/>
    <w:rsid w:val="009E2E0C"/>
    <w:pPr>
      <w:ind w:left="5534"/>
    </w:pPr>
  </w:style>
  <w:style w:type="character" w:styleId="Hyperlink">
    <w:name w:val="Hyperlink"/>
    <w:rsid w:val="009E2E0C"/>
    <w:rPr>
      <w:color w:val="0000FF"/>
      <w:u w:val="single"/>
    </w:rPr>
  </w:style>
  <w:style w:type="character" w:customStyle="1" w:styleId="ONUMEChar">
    <w:name w:val="ONUM E Char"/>
    <w:basedOn w:val="DefaultParagraphFont"/>
    <w:link w:val="ONUME"/>
    <w:rsid w:val="009E2E0C"/>
    <w:rPr>
      <w:rFonts w:ascii="Arial" w:eastAsia="SimSun" w:hAnsi="Arial" w:cs="Arial"/>
      <w:sz w:val="22"/>
      <w:lang w:val="en-US" w:eastAsia="zh-CN"/>
    </w:rPr>
  </w:style>
  <w:style w:type="paragraph" w:styleId="ListParagraph">
    <w:name w:val="List Paragraph"/>
    <w:basedOn w:val="Normal"/>
    <w:uiPriority w:val="34"/>
    <w:qFormat/>
    <w:rsid w:val="009E2E0C"/>
    <w:pPr>
      <w:ind w:left="720"/>
      <w:contextualSpacing/>
    </w:pPr>
  </w:style>
  <w:style w:type="paragraph" w:styleId="BalloonText">
    <w:name w:val="Balloon Text"/>
    <w:basedOn w:val="Normal"/>
    <w:link w:val="BalloonTextChar"/>
    <w:semiHidden/>
    <w:unhideWhenUsed/>
    <w:rsid w:val="00AC018D"/>
    <w:rPr>
      <w:rFonts w:ascii="Segoe UI" w:hAnsi="Segoe UI" w:cs="Segoe UI"/>
      <w:sz w:val="18"/>
      <w:szCs w:val="18"/>
    </w:rPr>
  </w:style>
  <w:style w:type="character" w:customStyle="1" w:styleId="BalloonTextChar">
    <w:name w:val="Balloon Text Char"/>
    <w:basedOn w:val="DefaultParagraphFont"/>
    <w:link w:val="BalloonText"/>
    <w:semiHidden/>
    <w:rsid w:val="00AC018D"/>
    <w:rPr>
      <w:rFonts w:ascii="Segoe UI" w:eastAsia="SimSun" w:hAnsi="Segoe UI" w:cs="Segoe UI"/>
      <w:sz w:val="18"/>
      <w:szCs w:val="18"/>
      <w:lang w:val="en-US" w:eastAsia="zh-CN"/>
    </w:rPr>
  </w:style>
  <w:style w:type="character" w:styleId="FollowedHyperlink">
    <w:name w:val="FollowedHyperlink"/>
    <w:basedOn w:val="DefaultParagraphFont"/>
    <w:semiHidden/>
    <w:unhideWhenUsed/>
    <w:rsid w:val="007C1285"/>
    <w:rPr>
      <w:color w:val="800080" w:themeColor="followedHyperlink"/>
      <w:u w:val="single"/>
    </w:rPr>
  </w:style>
  <w:style w:type="character" w:styleId="CommentReference">
    <w:name w:val="annotation reference"/>
    <w:basedOn w:val="DefaultParagraphFont"/>
    <w:unhideWhenUsed/>
    <w:rsid w:val="004E0BCA"/>
    <w:rPr>
      <w:sz w:val="16"/>
      <w:szCs w:val="16"/>
    </w:rPr>
  </w:style>
  <w:style w:type="paragraph" w:styleId="CommentSubject">
    <w:name w:val="annotation subject"/>
    <w:basedOn w:val="CommentText"/>
    <w:next w:val="CommentText"/>
    <w:link w:val="CommentSubjectChar"/>
    <w:semiHidden/>
    <w:unhideWhenUsed/>
    <w:rsid w:val="004E0BCA"/>
    <w:rPr>
      <w:b/>
      <w:bCs/>
      <w:sz w:val="20"/>
    </w:rPr>
  </w:style>
  <w:style w:type="character" w:customStyle="1" w:styleId="CommentTextChar">
    <w:name w:val="Comment Text Char"/>
    <w:basedOn w:val="DefaultParagraphFont"/>
    <w:link w:val="CommentText"/>
    <w:semiHidden/>
    <w:rsid w:val="004E0BCA"/>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4E0BCA"/>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standards/en/sequence/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global_ip/en/activities/ip_office_business_solution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cws/en/trainings.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ipo.int/standards/en/sequence/index.html" TargetMode="External"/><Relationship Id="rId4" Type="http://schemas.openxmlformats.org/officeDocument/2006/relationships/settings" Target="settings.xml"/><Relationship Id="rId9" Type="http://schemas.openxmlformats.org/officeDocument/2006/relationships/hyperlink" Target="http://www.wipo.int/tad"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ACFC7-5D45-4B6B-A8DC-2DAD705C4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CWS_9 (E)</Template>
  <TotalTime>225</TotalTime>
  <Pages>4</Pages>
  <Words>1557</Words>
  <Characters>8879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CWS/10/20</vt:lpstr>
    </vt:vector>
  </TitlesOfParts>
  <Company>WIPO</Company>
  <LinksUpToDate>false</LinksUpToDate>
  <CharactersWithSpaces>10416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CWS/10/20</dc:title>
  <dc:subject>Report by the International Bureau on the provision of technical advice and assistance for capacity building to industrial property offices in connection with the mandate of the CWS</dc:subject>
  <dc:creator>WIPO</dc:creator>
  <cp:keywords>FOR OFFICIAL USE ONLY</cp:keywords>
  <dc:description/>
  <cp:lastModifiedBy>CHAVAS Louison</cp:lastModifiedBy>
  <cp:revision>10</cp:revision>
  <cp:lastPrinted>2011-02-15T11:56:00Z</cp:lastPrinted>
  <dcterms:created xsi:type="dcterms:W3CDTF">2022-09-15T15:05:00Z</dcterms:created>
  <dcterms:modified xsi:type="dcterms:W3CDTF">2022-09-21T16:01:00Z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d4f556ea-b1d9-4192-87f1-faa89bf751a4</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