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AC44A" w14:textId="0E37D0FE" w:rsidR="00D22CF8" w:rsidRPr="00BD574A" w:rsidRDefault="00366981" w:rsidP="006F370A">
      <w:pPr>
        <w:pStyle w:val="Heading1"/>
        <w:jc w:val="center"/>
        <w:rPr>
          <w:lang w:val="en-GB" w:eastAsia="en-GB"/>
        </w:rPr>
      </w:pPr>
      <w:r w:rsidRPr="00BD574A">
        <w:rPr>
          <w:lang w:val="en-GB" w:eastAsia="en-GB"/>
        </w:rPr>
        <w:t xml:space="preserve">Proposed Recommendations on </w:t>
      </w:r>
      <w:r w:rsidR="009C325B" w:rsidRPr="00BD574A">
        <w:rPr>
          <w:lang w:val="en-GB" w:eastAsia="en-GB"/>
        </w:rPr>
        <w:t>ICT</w:t>
      </w:r>
      <w:r w:rsidRPr="00BD574A">
        <w:rPr>
          <w:lang w:val="en-GB" w:eastAsia="en-GB"/>
        </w:rPr>
        <w:t xml:space="preserve"> and IP administration</w:t>
      </w:r>
    </w:p>
    <w:tbl>
      <w:tblPr>
        <w:tblW w:w="13215" w:type="dxa"/>
        <w:shd w:val="clear" w:color="auto" w:fill="FFFFFF"/>
        <w:tblCellMar>
          <w:left w:w="0" w:type="dxa"/>
          <w:right w:w="0" w:type="dxa"/>
        </w:tblCellMar>
        <w:tblLook w:val="04A0" w:firstRow="1" w:lastRow="0" w:firstColumn="1" w:lastColumn="0" w:noHBand="0" w:noVBand="1"/>
      </w:tblPr>
      <w:tblGrid>
        <w:gridCol w:w="4492"/>
        <w:gridCol w:w="7020"/>
        <w:gridCol w:w="1703"/>
      </w:tblGrid>
      <w:tr w:rsidR="00110F3E" w:rsidRPr="00110F3E" w14:paraId="1E56D629" w14:textId="041CC4A3" w:rsidTr="00055AA0">
        <w:trPr>
          <w:tblHeader/>
        </w:trPr>
        <w:tc>
          <w:tcPr>
            <w:tcW w:w="4492"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hideMark/>
          </w:tcPr>
          <w:p w14:paraId="7FB3C6C0" w14:textId="3C9B448E" w:rsidR="005D39BC" w:rsidRPr="00110F3E" w:rsidRDefault="005D39BC" w:rsidP="00D22CF8">
            <w:pPr>
              <w:spacing w:before="3" w:after="0" w:line="240" w:lineRule="auto"/>
              <w:jc w:val="center"/>
              <w:rPr>
                <w:rFonts w:ascii="Segoe UI" w:eastAsia="Times New Roman" w:hAnsi="Segoe UI" w:cs="Segoe UI"/>
                <w:b/>
                <w:bCs/>
                <w:kern w:val="0"/>
                <w:sz w:val="21"/>
                <w:szCs w:val="21"/>
                <w:lang w:eastAsia="en-AU"/>
                <w14:ligatures w14:val="none"/>
              </w:rPr>
            </w:pPr>
            <w:r w:rsidRPr="00110F3E">
              <w:rPr>
                <w:rFonts w:ascii="Segoe UI" w:eastAsia="Times New Roman" w:hAnsi="Segoe UI" w:cs="Segoe UI"/>
                <w:b/>
                <w:bCs/>
                <w:kern w:val="0"/>
                <w:sz w:val="21"/>
                <w:szCs w:val="21"/>
                <w:lang w:eastAsia="en-AU"/>
                <w14:ligatures w14:val="none"/>
              </w:rPr>
              <w:t>Recommendations</w:t>
            </w:r>
          </w:p>
        </w:tc>
        <w:tc>
          <w:tcPr>
            <w:tcW w:w="7020"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hideMark/>
          </w:tcPr>
          <w:p w14:paraId="2EDCA112" w14:textId="6D36BC15" w:rsidR="005D39BC" w:rsidRPr="00110F3E" w:rsidRDefault="005D39BC" w:rsidP="00D22CF8">
            <w:pPr>
              <w:spacing w:before="3" w:after="0" w:line="240" w:lineRule="auto"/>
              <w:jc w:val="center"/>
              <w:rPr>
                <w:rFonts w:ascii="Segoe UI" w:eastAsia="Times New Roman" w:hAnsi="Segoe UI" w:cs="Segoe UI"/>
                <w:b/>
                <w:bCs/>
                <w:kern w:val="0"/>
                <w:sz w:val="21"/>
                <w:szCs w:val="21"/>
                <w:lang w:eastAsia="en-AU"/>
                <w14:ligatures w14:val="none"/>
              </w:rPr>
            </w:pPr>
            <w:r w:rsidRPr="00110F3E">
              <w:rPr>
                <w:rFonts w:ascii="Segoe UI" w:eastAsia="Times New Roman" w:hAnsi="Segoe UI" w:cs="Segoe UI"/>
                <w:b/>
                <w:bCs/>
                <w:kern w:val="0"/>
                <w:sz w:val="21"/>
                <w:szCs w:val="21"/>
                <w:lang w:eastAsia="en-AU"/>
                <w14:ligatures w14:val="none"/>
              </w:rPr>
              <w:t>Recommended Actions</w:t>
            </w:r>
          </w:p>
        </w:tc>
        <w:tc>
          <w:tcPr>
            <w:tcW w:w="1703" w:type="dxa"/>
            <w:tcBorders>
              <w:top w:val="single" w:sz="6" w:space="0" w:color="C1C7D0"/>
              <w:left w:val="single" w:sz="6" w:space="0" w:color="C1C7D0"/>
              <w:bottom w:val="single" w:sz="6" w:space="0" w:color="C1C7D0"/>
              <w:right w:val="single" w:sz="6" w:space="0" w:color="C1C7D0"/>
            </w:tcBorders>
            <w:shd w:val="clear" w:color="auto" w:fill="F4F5F7"/>
          </w:tcPr>
          <w:p w14:paraId="5EB04F25" w14:textId="549ADFCE" w:rsidR="005D39BC" w:rsidRPr="00110F3E" w:rsidRDefault="005D39BC" w:rsidP="00D22CF8">
            <w:pPr>
              <w:spacing w:before="3" w:after="0" w:line="240" w:lineRule="auto"/>
              <w:jc w:val="center"/>
              <w:rPr>
                <w:rFonts w:ascii="Segoe UI" w:eastAsia="Times New Roman" w:hAnsi="Segoe UI" w:cs="Segoe UI"/>
                <w:b/>
                <w:bCs/>
                <w:kern w:val="0"/>
                <w:sz w:val="21"/>
                <w:szCs w:val="21"/>
                <w:lang w:eastAsia="en-AU"/>
                <w14:ligatures w14:val="none"/>
              </w:rPr>
            </w:pPr>
            <w:r w:rsidRPr="00110F3E">
              <w:rPr>
                <w:rFonts w:ascii="Segoe UI" w:eastAsia="Times New Roman" w:hAnsi="Segoe UI" w:cs="Segoe UI"/>
                <w:b/>
                <w:bCs/>
                <w:kern w:val="0"/>
                <w:sz w:val="21"/>
                <w:szCs w:val="21"/>
                <w:lang w:eastAsia="en-AU"/>
                <w14:ligatures w14:val="none"/>
              </w:rPr>
              <w:t>Related 40 Rec.</w:t>
            </w:r>
          </w:p>
        </w:tc>
      </w:tr>
      <w:tr w:rsidR="00110F3E" w:rsidRPr="00110F3E" w14:paraId="703CFED1" w14:textId="2CD9258B" w:rsidTr="00055AA0">
        <w:trPr>
          <w:trHeight w:val="2031"/>
        </w:trPr>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B150C88" w14:textId="218EA8DB" w:rsidR="005D39BC" w:rsidRPr="00110F3E" w:rsidRDefault="005D39BC" w:rsidP="00D22CF8">
            <w:pPr>
              <w:spacing w:after="0" w:line="240" w:lineRule="auto"/>
              <w:rPr>
                <w:rFonts w:ascii="Segoe UI" w:eastAsia="Times New Roman" w:hAnsi="Segoe UI" w:cs="Segoe UI"/>
                <w:kern w:val="0"/>
                <w:sz w:val="21"/>
                <w:szCs w:val="21"/>
                <w:u w:val="single"/>
                <w:lang w:eastAsia="en-AU"/>
                <w14:ligatures w14:val="none"/>
              </w:rPr>
            </w:pPr>
            <w:r w:rsidRPr="00110F3E">
              <w:rPr>
                <w:rFonts w:ascii="Segoe UI" w:eastAsia="Times New Roman" w:hAnsi="Segoe UI" w:cs="Segoe UI"/>
                <w:kern w:val="0"/>
                <w:sz w:val="21"/>
                <w:szCs w:val="21"/>
                <w:u w:val="single"/>
                <w:lang w:eastAsia="en-AU"/>
                <w14:ligatures w14:val="none"/>
              </w:rPr>
              <w:t>Recommendation 1:</w:t>
            </w:r>
          </w:p>
          <w:p w14:paraId="59A4B8D7" w14:textId="44828220" w:rsidR="005D39BC" w:rsidRPr="00110F3E" w:rsidRDefault="005D39BC" w:rsidP="00D22CF8">
            <w:pPr>
              <w:spacing w:after="0" w:line="240" w:lineRule="auto"/>
              <w:rPr>
                <w:rFonts w:ascii="Segoe UI" w:eastAsia="Times New Roman" w:hAnsi="Segoe UI" w:cs="Segoe UI"/>
                <w:kern w:val="0"/>
                <w:sz w:val="21"/>
                <w:szCs w:val="21"/>
                <w:lang w:eastAsia="en-AU"/>
                <w14:ligatures w14:val="none"/>
              </w:rPr>
            </w:pPr>
            <w:r w:rsidRPr="00110F3E">
              <w:rPr>
                <w:rFonts w:ascii="Segoe UI" w:eastAsia="Times New Roman" w:hAnsi="Segoe UI" w:cs="Segoe UI"/>
                <w:kern w:val="0"/>
                <w:sz w:val="21"/>
                <w:szCs w:val="21"/>
                <w:lang w:eastAsia="en-AU"/>
                <w14:ligatures w14:val="none"/>
              </w:rPr>
              <w:t>IP offices should have </w:t>
            </w:r>
            <w:r w:rsidRPr="00110F3E">
              <w:rPr>
                <w:rFonts w:ascii="Segoe UI" w:eastAsia="Times New Roman" w:hAnsi="Segoe UI" w:cs="Segoe UI"/>
                <w:b/>
                <w:bCs/>
                <w:kern w:val="0"/>
                <w:sz w:val="21"/>
                <w:szCs w:val="21"/>
                <w:lang w:eastAsia="en-AU"/>
                <w14:ligatures w14:val="none"/>
              </w:rPr>
              <w:t>ICT strategy,</w:t>
            </w:r>
            <w:r w:rsidRPr="00110F3E">
              <w:rPr>
                <w:rFonts w:ascii="Segoe UI" w:eastAsia="Times New Roman" w:hAnsi="Segoe UI" w:cs="Segoe UI"/>
                <w:kern w:val="0"/>
                <w:sz w:val="21"/>
                <w:szCs w:val="21"/>
                <w:lang w:eastAsia="en-AU"/>
                <w14:ligatures w14:val="none"/>
              </w:rPr>
              <w:t> either as a part of business strategic planning or independently, including measures to annually evaluate it. </w:t>
            </w:r>
          </w:p>
        </w:tc>
        <w:tc>
          <w:tcPr>
            <w:tcW w:w="7020"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F53F70F" w14:textId="467FFFF0" w:rsidR="005D39BC" w:rsidRPr="00110F3E" w:rsidRDefault="005D39BC" w:rsidP="00694EDA">
            <w:pPr>
              <w:numPr>
                <w:ilvl w:val="0"/>
                <w:numId w:val="9"/>
              </w:numPr>
              <w:spacing w:before="100" w:beforeAutospacing="1" w:after="100" w:afterAutospacing="1" w:line="240" w:lineRule="auto"/>
              <w:rPr>
                <w:rFonts w:ascii="Segoe UI" w:eastAsia="Times New Roman" w:hAnsi="Segoe UI" w:cs="Segoe UI"/>
                <w:kern w:val="0"/>
                <w:sz w:val="21"/>
                <w:szCs w:val="21"/>
                <w:lang w:eastAsia="en-AU"/>
                <w14:ligatures w14:val="none"/>
              </w:rPr>
            </w:pPr>
            <w:r w:rsidRPr="00110F3E">
              <w:rPr>
                <w:rFonts w:ascii="Segoe UI" w:eastAsia="Times New Roman" w:hAnsi="Segoe UI" w:cs="Segoe UI"/>
                <w:kern w:val="0"/>
                <w:sz w:val="21"/>
                <w:szCs w:val="21"/>
                <w:lang w:eastAsia="en-AU"/>
                <w14:ligatures w14:val="none"/>
              </w:rPr>
              <w:t>IP offices should develop an ICT Strategy in line with their business planning. </w:t>
            </w:r>
          </w:p>
          <w:p w14:paraId="7339C3F3" w14:textId="3A30EA94" w:rsidR="005D39BC" w:rsidRPr="00110F3E" w:rsidRDefault="005D39BC" w:rsidP="00694EDA">
            <w:pPr>
              <w:numPr>
                <w:ilvl w:val="0"/>
                <w:numId w:val="9"/>
              </w:numPr>
              <w:spacing w:before="100" w:beforeAutospacing="1" w:after="100" w:afterAutospacing="1" w:line="240" w:lineRule="auto"/>
              <w:rPr>
                <w:rFonts w:ascii="Segoe UI" w:eastAsia="Times New Roman" w:hAnsi="Segoe UI" w:cs="Segoe UI"/>
                <w:kern w:val="0"/>
                <w:sz w:val="21"/>
                <w:szCs w:val="21"/>
                <w:lang w:eastAsia="en-AU"/>
                <w14:ligatures w14:val="none"/>
              </w:rPr>
            </w:pPr>
            <w:r w:rsidRPr="00110F3E">
              <w:rPr>
                <w:rFonts w:ascii="Segoe UI" w:eastAsia="Times New Roman" w:hAnsi="Segoe UI" w:cs="Segoe UI"/>
                <w:kern w:val="0"/>
                <w:sz w:val="21"/>
                <w:szCs w:val="21"/>
                <w:lang w:eastAsia="en-AU"/>
                <w14:ligatures w14:val="none"/>
              </w:rPr>
              <w:t>IP offices should share their ICT strategy with other Offices, where possible.</w:t>
            </w:r>
          </w:p>
          <w:p w14:paraId="0A1F48C0" w14:textId="32003FE1" w:rsidR="005D39BC" w:rsidRPr="00110F3E" w:rsidRDefault="005D39BC" w:rsidP="005D39BC">
            <w:pPr>
              <w:numPr>
                <w:ilvl w:val="0"/>
                <w:numId w:val="9"/>
              </w:numPr>
              <w:spacing w:before="100" w:beforeAutospacing="1" w:after="0" w:line="240" w:lineRule="auto"/>
              <w:rPr>
                <w:rFonts w:ascii="Segoe UI" w:eastAsia="Times New Roman" w:hAnsi="Segoe UI" w:cs="Segoe UI"/>
                <w:kern w:val="0"/>
                <w:sz w:val="21"/>
                <w:szCs w:val="21"/>
                <w:lang w:eastAsia="en-AU"/>
                <w14:ligatures w14:val="none"/>
              </w:rPr>
            </w:pPr>
            <w:r w:rsidRPr="00110F3E">
              <w:rPr>
                <w:rFonts w:ascii="Segoe UI" w:eastAsia="Times New Roman" w:hAnsi="Segoe UI" w:cs="Segoe UI"/>
                <w:kern w:val="0"/>
                <w:sz w:val="21"/>
                <w:szCs w:val="21"/>
                <w:lang w:eastAsia="en-AU"/>
                <w14:ligatures w14:val="none"/>
              </w:rPr>
              <w:t>The International Bureau should provide a forum to discuss ICT Strategies, including their evaluation and updates, among IP offices. </w:t>
            </w:r>
          </w:p>
        </w:tc>
        <w:tc>
          <w:tcPr>
            <w:tcW w:w="1703" w:type="dxa"/>
            <w:tcBorders>
              <w:top w:val="single" w:sz="6" w:space="0" w:color="C1C7D0"/>
              <w:left w:val="single" w:sz="6" w:space="0" w:color="C1C7D0"/>
              <w:bottom w:val="single" w:sz="6" w:space="0" w:color="C1C7D0"/>
              <w:right w:val="single" w:sz="6" w:space="0" w:color="C1C7D0"/>
            </w:tcBorders>
            <w:shd w:val="clear" w:color="auto" w:fill="FFFFFF"/>
          </w:tcPr>
          <w:p w14:paraId="21821CF1" w14:textId="1EB8C18D" w:rsidR="005D39BC" w:rsidRPr="00110F3E" w:rsidRDefault="005D39BC" w:rsidP="006F370A">
            <w:pPr>
              <w:spacing w:after="0" w:line="240" w:lineRule="auto"/>
              <w:ind w:left="91"/>
              <w:rPr>
                <w:rFonts w:ascii="Segoe UI" w:eastAsia="Times New Roman" w:hAnsi="Segoe UI" w:cs="Segoe UI"/>
                <w:kern w:val="0"/>
                <w:sz w:val="21"/>
                <w:szCs w:val="21"/>
                <w:lang w:eastAsia="en-AU"/>
                <w14:ligatures w14:val="none"/>
              </w:rPr>
            </w:pPr>
            <w:r w:rsidRPr="00110F3E">
              <w:rPr>
                <w:rFonts w:ascii="Segoe UI" w:eastAsia="Times New Roman" w:hAnsi="Segoe UI" w:cs="Segoe UI"/>
                <w:kern w:val="0"/>
                <w:sz w:val="21"/>
                <w:szCs w:val="21"/>
                <w:lang w:eastAsia="en-AU"/>
                <w14:ligatures w14:val="none"/>
              </w:rPr>
              <w:t>Not applicable as this is new</w:t>
            </w:r>
          </w:p>
        </w:tc>
      </w:tr>
      <w:tr w:rsidR="00110F3E" w:rsidRPr="00110F3E" w14:paraId="2CD53DA5" w14:textId="179CFC0E" w:rsidTr="00055AA0">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05945ED" w14:textId="4BEAFD72" w:rsidR="005D39BC" w:rsidRPr="00110F3E" w:rsidRDefault="005D39BC" w:rsidP="00D22CF8">
            <w:pPr>
              <w:spacing w:after="0" w:line="240" w:lineRule="auto"/>
              <w:rPr>
                <w:rFonts w:ascii="Segoe UI" w:eastAsia="Times New Roman" w:hAnsi="Segoe UI" w:cs="Segoe UI"/>
                <w:kern w:val="0"/>
                <w:sz w:val="21"/>
                <w:szCs w:val="21"/>
                <w:u w:val="single"/>
                <w:lang w:eastAsia="en-AU"/>
                <w14:ligatures w14:val="none"/>
              </w:rPr>
            </w:pPr>
            <w:r w:rsidRPr="00110F3E">
              <w:rPr>
                <w:rFonts w:ascii="Segoe UI" w:eastAsia="Times New Roman" w:hAnsi="Segoe UI" w:cs="Segoe UI"/>
                <w:kern w:val="0"/>
                <w:sz w:val="21"/>
                <w:szCs w:val="21"/>
                <w:u w:val="single"/>
                <w:lang w:eastAsia="en-AU"/>
                <w14:ligatures w14:val="none"/>
              </w:rPr>
              <w:t>Recommendation 2:</w:t>
            </w:r>
          </w:p>
          <w:p w14:paraId="384815BC" w14:textId="0DC597B2" w:rsidR="005D39BC" w:rsidRPr="00110F3E" w:rsidRDefault="005D39BC" w:rsidP="00D22CF8">
            <w:pPr>
              <w:spacing w:after="0" w:line="240" w:lineRule="auto"/>
              <w:rPr>
                <w:rFonts w:ascii="Segoe UI" w:eastAsia="Times New Roman" w:hAnsi="Segoe UI" w:cs="Segoe UI"/>
                <w:kern w:val="0"/>
                <w:sz w:val="21"/>
                <w:szCs w:val="21"/>
                <w:lang w:eastAsia="en-AU"/>
                <w14:ligatures w14:val="none"/>
              </w:rPr>
            </w:pPr>
            <w:r w:rsidRPr="00110F3E">
              <w:rPr>
                <w:rFonts w:ascii="Segoe UI" w:eastAsia="Times New Roman" w:hAnsi="Segoe UI" w:cs="Segoe UI"/>
                <w:kern w:val="0"/>
                <w:sz w:val="21"/>
                <w:szCs w:val="21"/>
                <w:lang w:eastAsia="en-AU"/>
                <w14:ligatures w14:val="none"/>
              </w:rPr>
              <w:t>IP offices should ensure that IP data and documentation are available for publication and exchange with other IP offices in </w:t>
            </w:r>
            <w:r w:rsidRPr="00110F3E">
              <w:rPr>
                <w:rFonts w:ascii="Segoe UI" w:eastAsia="Times New Roman" w:hAnsi="Segoe UI" w:cs="Segoe UI"/>
                <w:b/>
                <w:bCs/>
                <w:kern w:val="0"/>
                <w:sz w:val="21"/>
                <w:szCs w:val="21"/>
                <w:lang w:eastAsia="en-AU"/>
                <w14:ligatures w14:val="none"/>
              </w:rPr>
              <w:t>machine-readable full text formats</w:t>
            </w:r>
            <w:r w:rsidRPr="00110F3E">
              <w:rPr>
                <w:rFonts w:ascii="Segoe UI" w:eastAsia="Times New Roman" w:hAnsi="Segoe UI" w:cs="Segoe UI"/>
                <w:kern w:val="0"/>
                <w:sz w:val="21"/>
                <w:szCs w:val="21"/>
                <w:lang w:eastAsia="en-AU"/>
                <w14:ligatures w14:val="none"/>
              </w:rPr>
              <w:t> following relevant WIPO Standards. </w:t>
            </w:r>
          </w:p>
        </w:tc>
        <w:tc>
          <w:tcPr>
            <w:tcW w:w="7020"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0768C76" w14:textId="766BA3FC" w:rsidR="005D39BC" w:rsidRPr="00110F3E" w:rsidRDefault="005D39BC" w:rsidP="00694EDA">
            <w:pPr>
              <w:numPr>
                <w:ilvl w:val="0"/>
                <w:numId w:val="10"/>
              </w:numPr>
              <w:spacing w:before="100" w:beforeAutospacing="1" w:after="100" w:afterAutospacing="1" w:line="240" w:lineRule="auto"/>
              <w:rPr>
                <w:rFonts w:ascii="Segoe UI" w:eastAsia="Times New Roman" w:hAnsi="Segoe UI" w:cs="Segoe UI"/>
                <w:kern w:val="0"/>
                <w:sz w:val="21"/>
                <w:szCs w:val="21"/>
                <w:lang w:eastAsia="en-AU"/>
                <w14:ligatures w14:val="none"/>
              </w:rPr>
            </w:pPr>
            <w:r w:rsidRPr="00110F3E">
              <w:rPr>
                <w:rFonts w:ascii="Segoe UI" w:eastAsia="Times New Roman" w:hAnsi="Segoe UI" w:cs="Segoe UI"/>
                <w:kern w:val="0"/>
                <w:sz w:val="21"/>
                <w:szCs w:val="21"/>
                <w:lang w:eastAsia="en-AU"/>
                <w14:ligatures w14:val="none"/>
              </w:rPr>
              <w:t>IP offices should digitize paper-based or image-based IP documents into machine-readable full text formats, where possible structured data formats either in XML or JSON following relevant WIPO Standards. </w:t>
            </w:r>
          </w:p>
          <w:p w14:paraId="33CE123D" w14:textId="5957E3B2" w:rsidR="005D39BC" w:rsidRPr="00110F3E" w:rsidRDefault="005D39BC" w:rsidP="00694EDA">
            <w:pPr>
              <w:numPr>
                <w:ilvl w:val="0"/>
                <w:numId w:val="10"/>
              </w:numPr>
              <w:spacing w:before="100" w:beforeAutospacing="1" w:after="100" w:afterAutospacing="1" w:line="240" w:lineRule="auto"/>
              <w:rPr>
                <w:rFonts w:ascii="Segoe UI" w:eastAsia="Times New Roman" w:hAnsi="Segoe UI" w:cs="Segoe UI"/>
                <w:kern w:val="0"/>
                <w:sz w:val="21"/>
                <w:szCs w:val="21"/>
                <w:lang w:eastAsia="en-AU"/>
                <w14:ligatures w14:val="none"/>
              </w:rPr>
            </w:pPr>
            <w:r w:rsidRPr="00110F3E">
              <w:rPr>
                <w:rFonts w:ascii="Segoe UI" w:eastAsia="Times New Roman" w:hAnsi="Segoe UI" w:cs="Segoe UI"/>
                <w:kern w:val="0"/>
                <w:sz w:val="21"/>
                <w:szCs w:val="21"/>
                <w:lang w:eastAsia="en-AU"/>
                <w14:ligatures w14:val="none"/>
              </w:rPr>
              <w:t>IP offices are encouraged to support other IP offices’ digitization, including sharing their experience and digitization solutions.</w:t>
            </w:r>
          </w:p>
          <w:p w14:paraId="1EF7696E" w14:textId="1C934A07" w:rsidR="005D39BC" w:rsidRPr="00110F3E" w:rsidRDefault="005D39BC" w:rsidP="005D39BC">
            <w:pPr>
              <w:numPr>
                <w:ilvl w:val="0"/>
                <w:numId w:val="10"/>
              </w:numPr>
              <w:spacing w:before="100" w:beforeAutospacing="1" w:after="0" w:line="240" w:lineRule="auto"/>
              <w:rPr>
                <w:rFonts w:ascii="Segoe UI" w:eastAsia="Times New Roman" w:hAnsi="Segoe UI" w:cs="Segoe UI"/>
                <w:kern w:val="0"/>
                <w:sz w:val="21"/>
                <w:szCs w:val="21"/>
                <w:lang w:eastAsia="en-AU"/>
                <w14:ligatures w14:val="none"/>
              </w:rPr>
            </w:pPr>
            <w:r w:rsidRPr="00110F3E">
              <w:rPr>
                <w:rFonts w:ascii="Segoe UI" w:eastAsia="Times New Roman" w:hAnsi="Segoe UI" w:cs="Segoe UI"/>
                <w:kern w:val="0"/>
                <w:sz w:val="21"/>
                <w:szCs w:val="21"/>
                <w:lang w:eastAsia="en-AU"/>
                <w14:ligatures w14:val="none"/>
              </w:rPr>
              <w:t xml:space="preserve">IP offices should exchange, </w:t>
            </w:r>
            <w:proofErr w:type="gramStart"/>
            <w:r w:rsidRPr="00110F3E">
              <w:rPr>
                <w:rFonts w:ascii="Segoe UI" w:eastAsia="Times New Roman" w:hAnsi="Segoe UI" w:cs="Segoe UI"/>
                <w:kern w:val="0"/>
                <w:sz w:val="21"/>
                <w:szCs w:val="21"/>
                <w:lang w:eastAsia="en-AU"/>
                <w14:ligatures w14:val="none"/>
              </w:rPr>
              <w:t>publish</w:t>
            </w:r>
            <w:proofErr w:type="gramEnd"/>
            <w:r w:rsidRPr="00110F3E">
              <w:rPr>
                <w:rFonts w:ascii="Segoe UI" w:eastAsia="Times New Roman" w:hAnsi="Segoe UI" w:cs="Segoe UI"/>
                <w:kern w:val="0"/>
                <w:sz w:val="21"/>
                <w:szCs w:val="21"/>
                <w:lang w:eastAsia="en-AU"/>
                <w14:ligatures w14:val="none"/>
              </w:rPr>
              <w:t xml:space="preserve"> and disseminate IP data and documents in XML or JSON following relevant WIPO Standards.</w:t>
            </w:r>
          </w:p>
        </w:tc>
        <w:tc>
          <w:tcPr>
            <w:tcW w:w="1703" w:type="dxa"/>
            <w:tcBorders>
              <w:top w:val="single" w:sz="6" w:space="0" w:color="C1C7D0"/>
              <w:left w:val="single" w:sz="6" w:space="0" w:color="C1C7D0"/>
              <w:bottom w:val="single" w:sz="6" w:space="0" w:color="C1C7D0"/>
              <w:right w:val="single" w:sz="6" w:space="0" w:color="C1C7D0"/>
            </w:tcBorders>
            <w:shd w:val="clear" w:color="auto" w:fill="FFFFFF"/>
          </w:tcPr>
          <w:p w14:paraId="7C7E68E5" w14:textId="529F1D59" w:rsidR="005D39BC" w:rsidRPr="00110F3E" w:rsidRDefault="005D39BC" w:rsidP="006F370A">
            <w:pPr>
              <w:spacing w:after="0" w:line="240" w:lineRule="auto"/>
              <w:ind w:left="91"/>
              <w:rPr>
                <w:rFonts w:ascii="Segoe UI" w:eastAsia="Times New Roman" w:hAnsi="Segoe UI" w:cs="Segoe UI"/>
                <w:kern w:val="0"/>
                <w:sz w:val="21"/>
                <w:szCs w:val="21"/>
                <w:lang w:eastAsia="en-AU"/>
                <w14:ligatures w14:val="none"/>
              </w:rPr>
            </w:pPr>
            <w:r w:rsidRPr="00110F3E">
              <w:rPr>
                <w:rFonts w:ascii="Segoe UI" w:eastAsia="Times New Roman" w:hAnsi="Segoe UI" w:cs="Segoe UI"/>
                <w:kern w:val="0"/>
                <w:sz w:val="21"/>
                <w:szCs w:val="21"/>
                <w:lang w:eastAsia="en-AU"/>
                <w14:ligatures w14:val="none"/>
              </w:rPr>
              <w:t>R3, R4, R13, R14, R16, R17 and R32</w:t>
            </w:r>
          </w:p>
        </w:tc>
      </w:tr>
      <w:tr w:rsidR="00110F3E" w:rsidRPr="00110F3E" w14:paraId="63DBA5AB" w14:textId="188B01CB" w:rsidTr="00055AA0">
        <w:trPr>
          <w:trHeight w:val="807"/>
        </w:trPr>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BE551EF" w14:textId="21D86DBC" w:rsidR="005D39BC" w:rsidRPr="00110F3E" w:rsidRDefault="005D39BC" w:rsidP="00531C94">
            <w:pPr>
              <w:spacing w:before="100" w:beforeAutospacing="1" w:after="100" w:afterAutospacing="1" w:line="240" w:lineRule="auto"/>
              <w:rPr>
                <w:rFonts w:ascii="Segoe UI" w:eastAsia="Times New Roman" w:hAnsi="Segoe UI" w:cs="Segoe UI"/>
                <w:kern w:val="0"/>
                <w:sz w:val="21"/>
                <w:szCs w:val="21"/>
                <w:lang w:eastAsia="en-AU"/>
                <w14:ligatures w14:val="none"/>
              </w:rPr>
            </w:pPr>
            <w:r w:rsidRPr="00110F3E">
              <w:rPr>
                <w:rFonts w:ascii="Segoe UI" w:eastAsia="Times New Roman" w:hAnsi="Segoe UI" w:cs="Segoe UI"/>
                <w:kern w:val="0"/>
                <w:sz w:val="21"/>
                <w:szCs w:val="21"/>
                <w:u w:val="single"/>
                <w:lang w:eastAsia="en-AU"/>
                <w14:ligatures w14:val="none"/>
              </w:rPr>
              <w:t>Recommendation 3:</w:t>
            </w:r>
            <w:r w:rsidRPr="00110F3E">
              <w:rPr>
                <w:rFonts w:ascii="Segoe UI" w:eastAsia="Times New Roman" w:hAnsi="Segoe UI" w:cs="Segoe UI"/>
                <w:kern w:val="0"/>
                <w:sz w:val="21"/>
                <w:szCs w:val="21"/>
                <w:lang w:eastAsia="en-AU"/>
                <w14:ligatures w14:val="none"/>
              </w:rPr>
              <w:br/>
              <w:t>IP offices should ensure that </w:t>
            </w:r>
            <w:r w:rsidRPr="00110F3E">
              <w:rPr>
                <w:rFonts w:ascii="Segoe UI" w:eastAsia="Times New Roman" w:hAnsi="Segoe UI" w:cs="Segoe UI"/>
                <w:b/>
                <w:bCs/>
                <w:kern w:val="0"/>
                <w:sz w:val="21"/>
                <w:szCs w:val="21"/>
                <w:lang w:eastAsia="en-AU"/>
                <w14:ligatures w14:val="none"/>
              </w:rPr>
              <w:t>data governance framework</w:t>
            </w:r>
            <w:r w:rsidRPr="00110F3E">
              <w:rPr>
                <w:rFonts w:ascii="Segoe UI" w:eastAsia="Times New Roman" w:hAnsi="Segoe UI" w:cs="Segoe UI"/>
                <w:kern w:val="0"/>
                <w:sz w:val="21"/>
                <w:szCs w:val="21"/>
                <w:lang w:eastAsia="en-AU"/>
                <w14:ligatures w14:val="none"/>
              </w:rPr>
              <w:t xml:space="preserve"> is in place </w:t>
            </w:r>
            <w:proofErr w:type="gramStart"/>
            <w:r w:rsidRPr="00110F3E">
              <w:rPr>
                <w:rFonts w:ascii="Segoe UI" w:eastAsia="Times New Roman" w:hAnsi="Segoe UI" w:cs="Segoe UI"/>
                <w:kern w:val="0"/>
                <w:sz w:val="21"/>
                <w:szCs w:val="21"/>
                <w:lang w:eastAsia="en-AU"/>
                <w14:ligatures w14:val="none"/>
              </w:rPr>
              <w:t>taking into account</w:t>
            </w:r>
            <w:proofErr w:type="gramEnd"/>
            <w:r w:rsidRPr="00110F3E">
              <w:rPr>
                <w:rFonts w:ascii="Segoe UI" w:eastAsia="Times New Roman" w:hAnsi="Segoe UI" w:cs="Segoe UI"/>
                <w:kern w:val="0"/>
                <w:sz w:val="21"/>
                <w:szCs w:val="21"/>
                <w:lang w:eastAsia="en-AU"/>
                <w14:ligatures w14:val="none"/>
              </w:rPr>
              <w:t xml:space="preserve"> organizational policies and related legal framework, and annually evaluated.</w:t>
            </w:r>
          </w:p>
          <w:p w14:paraId="38F8B009" w14:textId="77777777" w:rsidR="005D39BC" w:rsidRPr="00110F3E" w:rsidRDefault="005D39BC" w:rsidP="00D22CF8">
            <w:pPr>
              <w:spacing w:after="0" w:line="240" w:lineRule="auto"/>
              <w:rPr>
                <w:rFonts w:ascii="Segoe UI" w:eastAsia="Times New Roman" w:hAnsi="Segoe UI" w:cs="Segoe UI"/>
                <w:kern w:val="0"/>
                <w:sz w:val="21"/>
                <w:szCs w:val="21"/>
                <w:lang w:eastAsia="en-AU"/>
                <w14:ligatures w14:val="none"/>
              </w:rPr>
            </w:pPr>
          </w:p>
          <w:p w14:paraId="6507CD50" w14:textId="583A1AED" w:rsidR="005D39BC" w:rsidRPr="00110F3E" w:rsidRDefault="005D39BC" w:rsidP="00D22CF8">
            <w:pPr>
              <w:spacing w:before="150" w:after="0" w:line="240" w:lineRule="auto"/>
              <w:rPr>
                <w:rFonts w:ascii="Segoe UI" w:eastAsia="Times New Roman" w:hAnsi="Segoe UI" w:cs="Segoe UI"/>
                <w:kern w:val="0"/>
                <w:sz w:val="21"/>
                <w:szCs w:val="21"/>
                <w:lang w:eastAsia="en-AU"/>
                <w14:ligatures w14:val="none"/>
              </w:rPr>
            </w:pPr>
          </w:p>
        </w:tc>
        <w:tc>
          <w:tcPr>
            <w:tcW w:w="7020"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6DFD33E" w14:textId="77777777" w:rsidR="005D39BC" w:rsidRPr="00110F3E" w:rsidRDefault="005D39BC" w:rsidP="00694EDA">
            <w:pPr>
              <w:pStyle w:val="ListParagraph"/>
              <w:numPr>
                <w:ilvl w:val="0"/>
                <w:numId w:val="19"/>
              </w:numPr>
              <w:spacing w:before="100" w:beforeAutospacing="1" w:after="100" w:afterAutospacing="1" w:line="240" w:lineRule="auto"/>
              <w:rPr>
                <w:rFonts w:ascii="Segoe UI" w:eastAsia="Times New Roman" w:hAnsi="Segoe UI" w:cs="Segoe UI"/>
                <w:kern w:val="0"/>
                <w:sz w:val="21"/>
                <w:szCs w:val="21"/>
                <w:lang w:eastAsia="en-AU"/>
                <w14:ligatures w14:val="none"/>
              </w:rPr>
            </w:pPr>
            <w:r w:rsidRPr="00110F3E">
              <w:rPr>
                <w:rFonts w:ascii="Segoe UI" w:eastAsia="Times New Roman" w:hAnsi="Segoe UI" w:cs="Segoe UI"/>
                <w:kern w:val="0"/>
                <w:sz w:val="21"/>
                <w:szCs w:val="21"/>
                <w:lang w:eastAsia="en-AU"/>
                <w14:ligatures w14:val="none"/>
              </w:rPr>
              <w:t>IP offices should establish and maintain data governance framework which includes data governance strategy, data management policy, and data protection policies and guidelines.</w:t>
            </w:r>
          </w:p>
          <w:p w14:paraId="37F13A84" w14:textId="194ECCFB" w:rsidR="005D39BC" w:rsidRPr="00110F3E" w:rsidRDefault="005D39BC" w:rsidP="00694EDA">
            <w:pPr>
              <w:numPr>
                <w:ilvl w:val="0"/>
                <w:numId w:val="19"/>
              </w:numPr>
              <w:spacing w:before="100" w:beforeAutospacing="1" w:after="100" w:afterAutospacing="1" w:line="240" w:lineRule="auto"/>
              <w:rPr>
                <w:rFonts w:ascii="Segoe UI" w:eastAsia="Times New Roman" w:hAnsi="Segoe UI" w:cs="Segoe UI"/>
                <w:kern w:val="0"/>
                <w:sz w:val="21"/>
                <w:szCs w:val="21"/>
                <w:lang w:eastAsia="en-AU"/>
                <w14:ligatures w14:val="none"/>
              </w:rPr>
            </w:pPr>
            <w:r w:rsidRPr="00110F3E">
              <w:rPr>
                <w:rFonts w:ascii="Segoe UI" w:eastAsia="Times New Roman" w:hAnsi="Segoe UI" w:cs="Segoe UI"/>
                <w:kern w:val="0"/>
                <w:sz w:val="21"/>
                <w:szCs w:val="21"/>
                <w:lang w:eastAsia="en-AU"/>
                <w14:ligatures w14:val="none"/>
              </w:rPr>
              <w:t>IP offices should share their data governance framework or associated documents with other IP Offices, where possible</w:t>
            </w:r>
          </w:p>
          <w:p w14:paraId="2C103B7A" w14:textId="087B5CCB" w:rsidR="005D39BC" w:rsidRPr="00110F3E" w:rsidRDefault="005D39BC" w:rsidP="005D39BC">
            <w:pPr>
              <w:numPr>
                <w:ilvl w:val="0"/>
                <w:numId w:val="19"/>
              </w:numPr>
              <w:spacing w:before="100" w:beforeAutospacing="1" w:after="0" w:line="240" w:lineRule="auto"/>
              <w:rPr>
                <w:rFonts w:ascii="Segoe UI" w:eastAsia="Times New Roman" w:hAnsi="Segoe UI" w:cs="Segoe UI"/>
                <w:kern w:val="0"/>
                <w:sz w:val="21"/>
                <w:szCs w:val="21"/>
                <w:lang w:eastAsia="en-AU"/>
                <w14:ligatures w14:val="none"/>
              </w:rPr>
            </w:pPr>
            <w:r w:rsidRPr="00110F3E">
              <w:rPr>
                <w:rFonts w:ascii="Segoe UI" w:eastAsia="Times New Roman" w:hAnsi="Segoe UI" w:cs="Segoe UI"/>
                <w:kern w:val="0"/>
                <w:sz w:val="21"/>
                <w:szCs w:val="21"/>
                <w:lang w:eastAsia="en-AU"/>
                <w14:ligatures w14:val="none"/>
              </w:rPr>
              <w:t>IP offices should share and disseminate data and documentation without any barriers and free-of-charge or at a marginal cost.</w:t>
            </w:r>
          </w:p>
        </w:tc>
        <w:tc>
          <w:tcPr>
            <w:tcW w:w="1703" w:type="dxa"/>
            <w:tcBorders>
              <w:top w:val="single" w:sz="6" w:space="0" w:color="C1C7D0"/>
              <w:left w:val="single" w:sz="6" w:space="0" w:color="C1C7D0"/>
              <w:bottom w:val="single" w:sz="6" w:space="0" w:color="C1C7D0"/>
              <w:right w:val="single" w:sz="6" w:space="0" w:color="C1C7D0"/>
            </w:tcBorders>
            <w:shd w:val="clear" w:color="auto" w:fill="FFFFFF"/>
          </w:tcPr>
          <w:p w14:paraId="27D0921A" w14:textId="31604C07" w:rsidR="005D39BC" w:rsidRPr="00110F3E" w:rsidRDefault="005D39BC" w:rsidP="006F370A">
            <w:pPr>
              <w:spacing w:after="0" w:line="240" w:lineRule="auto"/>
              <w:ind w:left="91"/>
              <w:rPr>
                <w:rFonts w:ascii="Segoe UI" w:eastAsia="Times New Roman" w:hAnsi="Segoe UI" w:cs="Segoe UI"/>
                <w:kern w:val="0"/>
                <w:sz w:val="21"/>
                <w:szCs w:val="21"/>
                <w:lang w:eastAsia="en-AU"/>
                <w14:ligatures w14:val="none"/>
              </w:rPr>
            </w:pPr>
            <w:r w:rsidRPr="00110F3E">
              <w:rPr>
                <w:rFonts w:ascii="Segoe UI" w:eastAsia="Times New Roman" w:hAnsi="Segoe UI" w:cs="Segoe UI"/>
                <w:kern w:val="0"/>
                <w:sz w:val="21"/>
                <w:szCs w:val="21"/>
                <w:lang w:eastAsia="en-AU"/>
                <w14:ligatures w14:val="none"/>
              </w:rPr>
              <w:t>R22 and R29</w:t>
            </w:r>
          </w:p>
        </w:tc>
      </w:tr>
      <w:tr w:rsidR="00110F3E" w:rsidRPr="00110F3E" w14:paraId="72FF4596" w14:textId="0781C29F" w:rsidTr="00055AA0">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D57F907" w14:textId="77777777" w:rsidR="005D39BC" w:rsidRPr="00110F3E" w:rsidRDefault="005D39BC" w:rsidP="00D22CF8">
            <w:pPr>
              <w:spacing w:before="150" w:after="0" w:line="240" w:lineRule="auto"/>
              <w:rPr>
                <w:rFonts w:ascii="Segoe UI" w:eastAsia="Times New Roman" w:hAnsi="Segoe UI" w:cs="Segoe UI"/>
                <w:kern w:val="0"/>
                <w:sz w:val="21"/>
                <w:szCs w:val="21"/>
                <w:lang w:eastAsia="en-AU"/>
                <w14:ligatures w14:val="none"/>
              </w:rPr>
            </w:pPr>
            <w:r w:rsidRPr="00110F3E">
              <w:rPr>
                <w:rFonts w:ascii="Segoe UI" w:eastAsia="Times New Roman" w:hAnsi="Segoe UI" w:cs="Segoe UI"/>
                <w:kern w:val="0"/>
                <w:sz w:val="21"/>
                <w:szCs w:val="21"/>
                <w:u w:val="single"/>
                <w:lang w:eastAsia="en-AU"/>
                <w14:ligatures w14:val="none"/>
              </w:rPr>
              <w:lastRenderedPageBreak/>
              <w:t>Recommendation 4:</w:t>
            </w:r>
            <w:r w:rsidRPr="00110F3E">
              <w:rPr>
                <w:rFonts w:ascii="Segoe UI" w:eastAsia="Times New Roman" w:hAnsi="Segoe UI" w:cs="Segoe UI"/>
                <w:kern w:val="0"/>
                <w:sz w:val="21"/>
                <w:szCs w:val="21"/>
                <w:lang w:eastAsia="en-AU"/>
                <w14:ligatures w14:val="none"/>
              </w:rPr>
              <w:br/>
              <w:t xml:space="preserve">IP offices should optimize the current business models, legal </w:t>
            </w:r>
            <w:proofErr w:type="gramStart"/>
            <w:r w:rsidRPr="00110F3E">
              <w:rPr>
                <w:rFonts w:ascii="Segoe UI" w:eastAsia="Times New Roman" w:hAnsi="Segoe UI" w:cs="Segoe UI"/>
                <w:kern w:val="0"/>
                <w:sz w:val="21"/>
                <w:szCs w:val="21"/>
                <w:lang w:eastAsia="en-AU"/>
                <w14:ligatures w14:val="none"/>
              </w:rPr>
              <w:t>frameworks</w:t>
            </w:r>
            <w:proofErr w:type="gramEnd"/>
            <w:r w:rsidRPr="00110F3E">
              <w:rPr>
                <w:rFonts w:ascii="Segoe UI" w:eastAsia="Times New Roman" w:hAnsi="Segoe UI" w:cs="Segoe UI"/>
                <w:kern w:val="0"/>
                <w:sz w:val="21"/>
                <w:szCs w:val="21"/>
                <w:lang w:eastAsia="en-AU"/>
                <w14:ligatures w14:val="none"/>
              </w:rPr>
              <w:t xml:space="preserve"> and workflow processes to make them suitable for the </w:t>
            </w:r>
            <w:r w:rsidRPr="00110F3E">
              <w:rPr>
                <w:rFonts w:ascii="Segoe UI" w:eastAsia="Times New Roman" w:hAnsi="Segoe UI" w:cs="Segoe UI"/>
                <w:b/>
                <w:bCs/>
                <w:kern w:val="0"/>
                <w:sz w:val="21"/>
                <w:szCs w:val="21"/>
                <w:lang w:eastAsia="en-AU"/>
                <w14:ligatures w14:val="none"/>
              </w:rPr>
              <w:t>digital age</w:t>
            </w:r>
            <w:r w:rsidRPr="00110F3E">
              <w:rPr>
                <w:rFonts w:ascii="Segoe UI" w:eastAsia="Times New Roman" w:hAnsi="Segoe UI" w:cs="Segoe UI"/>
                <w:kern w:val="0"/>
                <w:sz w:val="21"/>
                <w:szCs w:val="21"/>
                <w:lang w:eastAsia="en-AU"/>
                <w14:ligatures w14:val="none"/>
              </w:rPr>
              <w:t> in collaboration with internal and external stakeholders at all stages.</w:t>
            </w:r>
          </w:p>
          <w:p w14:paraId="65195A6A" w14:textId="77777777" w:rsidR="005D39BC" w:rsidRPr="00110F3E" w:rsidRDefault="005D39BC" w:rsidP="00D22CF8">
            <w:pPr>
              <w:spacing w:before="150" w:after="0" w:line="240" w:lineRule="auto"/>
              <w:rPr>
                <w:rFonts w:ascii="Segoe UI" w:eastAsia="Times New Roman" w:hAnsi="Segoe UI" w:cs="Segoe UI"/>
                <w:kern w:val="0"/>
                <w:sz w:val="21"/>
                <w:szCs w:val="21"/>
                <w:lang w:eastAsia="en-AU"/>
                <w14:ligatures w14:val="none"/>
              </w:rPr>
            </w:pPr>
          </w:p>
          <w:p w14:paraId="7B9A66A6" w14:textId="77777777" w:rsidR="005D39BC" w:rsidRPr="00110F3E" w:rsidRDefault="005D39BC" w:rsidP="00D22CF8">
            <w:pPr>
              <w:spacing w:before="150" w:after="0" w:line="240" w:lineRule="auto"/>
              <w:rPr>
                <w:rFonts w:ascii="Segoe UI" w:eastAsia="Times New Roman" w:hAnsi="Segoe UI" w:cs="Segoe UI"/>
                <w:kern w:val="0"/>
                <w:sz w:val="21"/>
                <w:szCs w:val="21"/>
                <w:lang w:eastAsia="en-AU"/>
                <w14:ligatures w14:val="none"/>
              </w:rPr>
            </w:pPr>
          </w:p>
          <w:p w14:paraId="3ABC0233" w14:textId="77777777" w:rsidR="005D39BC" w:rsidRPr="00110F3E" w:rsidRDefault="005D39BC" w:rsidP="00D22CF8">
            <w:pPr>
              <w:spacing w:before="150" w:after="0" w:line="240" w:lineRule="auto"/>
              <w:rPr>
                <w:rFonts w:ascii="Segoe UI" w:eastAsia="Times New Roman" w:hAnsi="Segoe UI" w:cs="Segoe UI"/>
                <w:kern w:val="0"/>
                <w:sz w:val="21"/>
                <w:szCs w:val="21"/>
                <w:lang w:eastAsia="en-AU"/>
                <w14:ligatures w14:val="none"/>
              </w:rPr>
            </w:pPr>
          </w:p>
          <w:p w14:paraId="7A206CD4" w14:textId="48FC0B1C" w:rsidR="006F370A" w:rsidRPr="00110F3E" w:rsidRDefault="006F370A" w:rsidP="00D22CF8">
            <w:pPr>
              <w:spacing w:before="150" w:after="0" w:line="240" w:lineRule="auto"/>
              <w:rPr>
                <w:rFonts w:ascii="Segoe UI" w:eastAsia="Times New Roman" w:hAnsi="Segoe UI" w:cs="Segoe UI"/>
                <w:kern w:val="0"/>
                <w:sz w:val="21"/>
                <w:szCs w:val="21"/>
                <w:lang w:eastAsia="en-AU"/>
                <w14:ligatures w14:val="none"/>
              </w:rPr>
            </w:pPr>
          </w:p>
          <w:p w14:paraId="08430206" w14:textId="77777777" w:rsidR="006F370A" w:rsidRPr="00110F3E" w:rsidRDefault="006F370A" w:rsidP="00D22CF8">
            <w:pPr>
              <w:spacing w:before="150" w:after="0" w:line="240" w:lineRule="auto"/>
              <w:rPr>
                <w:rFonts w:ascii="Segoe UI" w:eastAsia="Times New Roman" w:hAnsi="Segoe UI" w:cs="Segoe UI"/>
                <w:kern w:val="0"/>
                <w:sz w:val="21"/>
                <w:szCs w:val="21"/>
                <w:lang w:eastAsia="en-AU"/>
                <w14:ligatures w14:val="none"/>
              </w:rPr>
            </w:pPr>
          </w:p>
          <w:p w14:paraId="10181B9E" w14:textId="1377E273" w:rsidR="005D39BC" w:rsidRPr="00110F3E" w:rsidRDefault="005D39BC" w:rsidP="00D22CF8">
            <w:pPr>
              <w:spacing w:before="150" w:after="0" w:line="240" w:lineRule="auto"/>
              <w:rPr>
                <w:rFonts w:ascii="Segoe UI" w:eastAsia="Times New Roman" w:hAnsi="Segoe UI" w:cs="Segoe UI"/>
                <w:kern w:val="0"/>
                <w:sz w:val="21"/>
                <w:szCs w:val="21"/>
                <w:lang w:eastAsia="en-AU"/>
                <w14:ligatures w14:val="none"/>
              </w:rPr>
            </w:pPr>
          </w:p>
        </w:tc>
        <w:tc>
          <w:tcPr>
            <w:tcW w:w="7020"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7E83A98" w14:textId="77777777" w:rsidR="005D39BC" w:rsidRPr="00110F3E" w:rsidRDefault="005D39BC" w:rsidP="007A6B90">
            <w:pPr>
              <w:numPr>
                <w:ilvl w:val="0"/>
                <w:numId w:val="4"/>
              </w:numPr>
              <w:spacing w:before="100" w:beforeAutospacing="1" w:after="100" w:afterAutospacing="1" w:line="240" w:lineRule="auto"/>
              <w:ind w:left="360"/>
              <w:rPr>
                <w:rFonts w:ascii="Segoe UI" w:eastAsia="Times New Roman" w:hAnsi="Segoe UI" w:cs="Segoe UI"/>
                <w:kern w:val="0"/>
                <w:sz w:val="21"/>
                <w:szCs w:val="21"/>
                <w:lang w:eastAsia="en-AU"/>
                <w14:ligatures w14:val="none"/>
              </w:rPr>
            </w:pPr>
            <w:r w:rsidRPr="00110F3E">
              <w:rPr>
                <w:rFonts w:ascii="Segoe UI" w:eastAsia="Times New Roman" w:hAnsi="Segoe UI" w:cs="Segoe UI"/>
                <w:kern w:val="0"/>
                <w:sz w:val="21"/>
                <w:szCs w:val="21"/>
                <w:lang w:eastAsia="en-AU"/>
                <w14:ligatures w14:val="none"/>
              </w:rPr>
              <w:t>IP offices should identify business problems, and possible and best digital solutions to address them.  </w:t>
            </w:r>
          </w:p>
          <w:p w14:paraId="731C838D" w14:textId="49E9C799" w:rsidR="005D39BC" w:rsidRPr="00110F3E" w:rsidRDefault="005D39BC" w:rsidP="007A6B90">
            <w:pPr>
              <w:numPr>
                <w:ilvl w:val="0"/>
                <w:numId w:val="4"/>
              </w:numPr>
              <w:spacing w:before="100" w:beforeAutospacing="1" w:after="100" w:afterAutospacing="1" w:line="240" w:lineRule="auto"/>
              <w:ind w:left="360"/>
              <w:rPr>
                <w:rFonts w:ascii="Segoe UI" w:eastAsia="Times New Roman" w:hAnsi="Segoe UI" w:cs="Segoe UI"/>
                <w:kern w:val="0"/>
                <w:sz w:val="21"/>
                <w:szCs w:val="21"/>
                <w:lang w:eastAsia="en-AU"/>
                <w14:ligatures w14:val="none"/>
              </w:rPr>
            </w:pPr>
            <w:r w:rsidRPr="00110F3E">
              <w:rPr>
                <w:rFonts w:ascii="Segoe UI" w:eastAsia="Times New Roman" w:hAnsi="Segoe UI" w:cs="Segoe UI"/>
                <w:kern w:val="0"/>
                <w:sz w:val="21"/>
                <w:szCs w:val="21"/>
                <w:lang w:eastAsia="en-AU"/>
                <w14:ligatures w14:val="none"/>
              </w:rPr>
              <w:t>IP offices should ensure a general common understanding of digital transformation at the organizational level, including the possible and appropriate use of emerging technologies based on an appropriate determination of the business case and of the most suitable solutions.</w:t>
            </w:r>
          </w:p>
          <w:p w14:paraId="27EFAA1E" w14:textId="31885F2D" w:rsidR="005D39BC" w:rsidRPr="00110F3E" w:rsidRDefault="005D39BC" w:rsidP="007A6B90">
            <w:pPr>
              <w:numPr>
                <w:ilvl w:val="0"/>
                <w:numId w:val="4"/>
              </w:numPr>
              <w:spacing w:before="100" w:beforeAutospacing="1" w:after="100" w:afterAutospacing="1" w:line="240" w:lineRule="auto"/>
              <w:ind w:left="360"/>
              <w:rPr>
                <w:rFonts w:ascii="Segoe UI" w:eastAsia="Times New Roman" w:hAnsi="Segoe UI" w:cs="Segoe UI"/>
                <w:kern w:val="0"/>
                <w:sz w:val="21"/>
                <w:szCs w:val="21"/>
                <w:lang w:eastAsia="en-AU"/>
                <w14:ligatures w14:val="none"/>
              </w:rPr>
            </w:pPr>
            <w:r w:rsidRPr="00110F3E">
              <w:rPr>
                <w:rFonts w:ascii="Segoe UI" w:eastAsia="Times New Roman" w:hAnsi="Segoe UI" w:cs="Segoe UI"/>
                <w:kern w:val="0"/>
                <w:sz w:val="21"/>
                <w:szCs w:val="21"/>
                <w:lang w:eastAsia="en-AU"/>
                <w14:ligatures w14:val="none"/>
              </w:rPr>
              <w:t xml:space="preserve">IP offices should ensure that API and Cloud first policy is in place, considering relevant domestic regulations and business policy, for modernization, </w:t>
            </w:r>
            <w:proofErr w:type="gramStart"/>
            <w:r w:rsidRPr="00110F3E">
              <w:rPr>
                <w:rFonts w:ascii="Segoe UI" w:eastAsia="Times New Roman" w:hAnsi="Segoe UI" w:cs="Segoe UI"/>
                <w:kern w:val="0"/>
                <w:sz w:val="21"/>
                <w:szCs w:val="21"/>
                <w:lang w:eastAsia="en-AU"/>
                <w14:ligatures w14:val="none"/>
              </w:rPr>
              <w:t>automation</w:t>
            </w:r>
            <w:proofErr w:type="gramEnd"/>
            <w:r w:rsidRPr="00110F3E">
              <w:rPr>
                <w:rFonts w:ascii="Segoe UI" w:eastAsia="Times New Roman" w:hAnsi="Segoe UI" w:cs="Segoe UI"/>
                <w:kern w:val="0"/>
                <w:sz w:val="21"/>
                <w:szCs w:val="21"/>
                <w:lang w:eastAsia="en-AU"/>
                <w14:ligatures w14:val="none"/>
              </w:rPr>
              <w:t xml:space="preserve"> and optimization of business processes, including data exchange and dissemination.</w:t>
            </w:r>
          </w:p>
          <w:p w14:paraId="7BB78F39" w14:textId="77777777" w:rsidR="005D39BC" w:rsidRPr="00110F3E" w:rsidRDefault="005D39BC" w:rsidP="007A6B90">
            <w:pPr>
              <w:numPr>
                <w:ilvl w:val="0"/>
                <w:numId w:val="4"/>
              </w:numPr>
              <w:spacing w:before="100" w:beforeAutospacing="1" w:after="100" w:afterAutospacing="1" w:line="240" w:lineRule="auto"/>
              <w:ind w:left="360"/>
              <w:rPr>
                <w:rFonts w:ascii="Segoe UI" w:eastAsia="Times New Roman" w:hAnsi="Segoe UI" w:cs="Segoe UI"/>
                <w:kern w:val="0"/>
                <w:sz w:val="21"/>
                <w:szCs w:val="21"/>
                <w:lang w:eastAsia="en-AU"/>
                <w14:ligatures w14:val="none"/>
              </w:rPr>
            </w:pPr>
            <w:r w:rsidRPr="00110F3E">
              <w:rPr>
                <w:rFonts w:ascii="Segoe UI" w:eastAsia="Times New Roman" w:hAnsi="Segoe UI" w:cs="Segoe UI"/>
                <w:kern w:val="0"/>
                <w:sz w:val="21"/>
                <w:szCs w:val="21"/>
                <w:lang w:eastAsia="en-AU"/>
                <w14:ligatures w14:val="none"/>
              </w:rPr>
              <w:t xml:space="preserve">IP offices should consider legal changes to support digital transformation, such as: </w:t>
            </w:r>
          </w:p>
          <w:p w14:paraId="3343C90E" w14:textId="6632F631" w:rsidR="005D39BC" w:rsidRPr="00110F3E" w:rsidRDefault="005D39BC" w:rsidP="00694EDA">
            <w:pPr>
              <w:numPr>
                <w:ilvl w:val="1"/>
                <w:numId w:val="12"/>
              </w:numPr>
              <w:spacing w:before="100" w:beforeAutospacing="1" w:after="100" w:afterAutospacing="1" w:line="240" w:lineRule="auto"/>
              <w:ind w:left="1080"/>
              <w:rPr>
                <w:rFonts w:ascii="Segoe UI" w:eastAsia="Times New Roman" w:hAnsi="Segoe UI" w:cs="Segoe UI"/>
                <w:kern w:val="0"/>
                <w:sz w:val="21"/>
                <w:szCs w:val="21"/>
                <w:lang w:eastAsia="en-AU"/>
                <w14:ligatures w14:val="none"/>
              </w:rPr>
            </w:pPr>
            <w:r w:rsidRPr="00110F3E">
              <w:rPr>
                <w:rFonts w:ascii="Segoe UI" w:eastAsia="Times New Roman" w:hAnsi="Segoe UI" w:cs="Segoe UI"/>
                <w:kern w:val="0"/>
                <w:sz w:val="21"/>
                <w:szCs w:val="21"/>
                <w:lang w:eastAsia="en-AU"/>
                <w14:ligatures w14:val="none"/>
              </w:rPr>
              <w:t xml:space="preserve">development of automated </w:t>
            </w:r>
            <w:proofErr w:type="gramStart"/>
            <w:r w:rsidRPr="00110F3E">
              <w:rPr>
                <w:rFonts w:ascii="Segoe UI" w:eastAsia="Times New Roman" w:hAnsi="Segoe UI" w:cs="Segoe UI"/>
                <w:kern w:val="0"/>
                <w:sz w:val="21"/>
                <w:szCs w:val="21"/>
                <w:lang w:eastAsia="en-AU"/>
                <w14:ligatures w14:val="none"/>
              </w:rPr>
              <w:t>decision making</w:t>
            </w:r>
            <w:proofErr w:type="gramEnd"/>
            <w:r w:rsidRPr="00110F3E">
              <w:rPr>
                <w:rFonts w:ascii="Segoe UI" w:eastAsia="Times New Roman" w:hAnsi="Segoe UI" w:cs="Segoe UI"/>
                <w:kern w:val="0"/>
                <w:sz w:val="21"/>
                <w:szCs w:val="21"/>
                <w:lang w:eastAsia="en-AU"/>
                <w14:ligatures w14:val="none"/>
              </w:rPr>
              <w:t xml:space="preserve"> frameworks </w:t>
            </w:r>
          </w:p>
          <w:p w14:paraId="305DF7F9" w14:textId="7ACD5BB3" w:rsidR="005D39BC" w:rsidRPr="00110F3E" w:rsidRDefault="005D39BC" w:rsidP="005D39BC">
            <w:pPr>
              <w:numPr>
                <w:ilvl w:val="1"/>
                <w:numId w:val="12"/>
              </w:numPr>
              <w:spacing w:before="100" w:beforeAutospacing="1" w:after="0" w:line="240" w:lineRule="auto"/>
              <w:ind w:left="1080"/>
              <w:rPr>
                <w:rFonts w:ascii="Segoe UI" w:eastAsia="Times New Roman" w:hAnsi="Segoe UI" w:cs="Segoe UI"/>
                <w:kern w:val="0"/>
                <w:sz w:val="21"/>
                <w:szCs w:val="21"/>
                <w:lang w:eastAsia="en-AU"/>
                <w14:ligatures w14:val="none"/>
              </w:rPr>
            </w:pPr>
            <w:r w:rsidRPr="00110F3E">
              <w:rPr>
                <w:rFonts w:ascii="Segoe UI" w:eastAsia="Times New Roman" w:hAnsi="Segoe UI" w:cs="Segoe UI"/>
                <w:kern w:val="0"/>
                <w:sz w:val="21"/>
                <w:szCs w:val="21"/>
                <w:lang w:eastAsia="en-AU"/>
                <w14:ligatures w14:val="none"/>
              </w:rPr>
              <w:t>use of qualified electronic signature in IP administration.</w:t>
            </w:r>
          </w:p>
        </w:tc>
        <w:tc>
          <w:tcPr>
            <w:tcW w:w="1703" w:type="dxa"/>
            <w:tcBorders>
              <w:top w:val="single" w:sz="6" w:space="0" w:color="C1C7D0"/>
              <w:left w:val="single" w:sz="6" w:space="0" w:color="C1C7D0"/>
              <w:bottom w:val="single" w:sz="6" w:space="0" w:color="C1C7D0"/>
              <w:right w:val="single" w:sz="6" w:space="0" w:color="C1C7D0"/>
            </w:tcBorders>
            <w:shd w:val="clear" w:color="auto" w:fill="FFFFFF"/>
          </w:tcPr>
          <w:p w14:paraId="1813F2B4" w14:textId="1D9D4FCB" w:rsidR="005D39BC" w:rsidRPr="00110F3E" w:rsidRDefault="005D39BC" w:rsidP="006F370A">
            <w:pPr>
              <w:spacing w:after="0" w:line="240" w:lineRule="auto"/>
              <w:ind w:left="91"/>
              <w:rPr>
                <w:rFonts w:ascii="Segoe UI" w:eastAsia="Times New Roman" w:hAnsi="Segoe UI" w:cs="Segoe UI"/>
                <w:kern w:val="0"/>
                <w:sz w:val="21"/>
                <w:szCs w:val="21"/>
                <w:lang w:eastAsia="en-AU"/>
                <w14:ligatures w14:val="none"/>
              </w:rPr>
            </w:pPr>
            <w:r w:rsidRPr="00110F3E">
              <w:rPr>
                <w:rFonts w:ascii="Segoe UI" w:eastAsia="Times New Roman" w:hAnsi="Segoe UI" w:cs="Segoe UI"/>
                <w:kern w:val="0"/>
                <w:sz w:val="21"/>
                <w:szCs w:val="21"/>
                <w:lang w:eastAsia="en-AU"/>
                <w14:ligatures w14:val="none"/>
              </w:rPr>
              <w:t>R1, R2, R6, R36 and R39</w:t>
            </w:r>
          </w:p>
        </w:tc>
      </w:tr>
      <w:tr w:rsidR="00110F3E" w:rsidRPr="00110F3E" w14:paraId="118D801F" w14:textId="5052ABEC" w:rsidTr="00055AA0">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48461D6" w14:textId="617B2742" w:rsidR="005D39BC" w:rsidRPr="00110F3E" w:rsidRDefault="005D39BC" w:rsidP="007C12AE">
            <w:pPr>
              <w:spacing w:after="0" w:line="240" w:lineRule="auto"/>
              <w:rPr>
                <w:rFonts w:ascii="Segoe UI" w:eastAsia="Times New Roman" w:hAnsi="Segoe UI" w:cs="Segoe UI"/>
                <w:kern w:val="0"/>
                <w:sz w:val="21"/>
                <w:szCs w:val="21"/>
                <w:lang w:eastAsia="en-AU"/>
                <w14:ligatures w14:val="none"/>
              </w:rPr>
            </w:pPr>
            <w:r w:rsidRPr="00110F3E">
              <w:rPr>
                <w:rFonts w:ascii="Segoe UI" w:eastAsia="Times New Roman" w:hAnsi="Segoe UI" w:cs="Segoe UI"/>
                <w:kern w:val="0"/>
                <w:sz w:val="21"/>
                <w:szCs w:val="21"/>
                <w:u w:val="single"/>
                <w:lang w:eastAsia="en-AU"/>
                <w14:ligatures w14:val="none"/>
              </w:rPr>
              <w:t>Recommendation 5:</w:t>
            </w:r>
            <w:r w:rsidRPr="00110F3E">
              <w:rPr>
                <w:rFonts w:ascii="Segoe UI" w:eastAsia="Times New Roman" w:hAnsi="Segoe UI" w:cs="Segoe UI"/>
                <w:kern w:val="0"/>
                <w:sz w:val="21"/>
                <w:szCs w:val="21"/>
                <w:lang w:eastAsia="en-AU"/>
                <w14:ligatures w14:val="none"/>
              </w:rPr>
              <w:br/>
              <w:t>IP offices should make sure that the adoption of possible</w:t>
            </w:r>
            <w:r w:rsidRPr="00110F3E">
              <w:rPr>
                <w:rFonts w:ascii="Segoe UI" w:eastAsia="Times New Roman" w:hAnsi="Segoe UI" w:cs="Segoe UI"/>
                <w:b/>
                <w:bCs/>
                <w:kern w:val="0"/>
                <w:sz w:val="21"/>
                <w:szCs w:val="21"/>
                <w:lang w:eastAsia="en-AU"/>
                <w14:ligatures w14:val="none"/>
              </w:rPr>
              <w:t> blockchain and Artificial Intelligence (AI)</w:t>
            </w:r>
            <w:r w:rsidRPr="00110F3E">
              <w:rPr>
                <w:rFonts w:ascii="Segoe UI" w:eastAsia="Times New Roman" w:hAnsi="Segoe UI" w:cs="Segoe UI"/>
                <w:kern w:val="0"/>
                <w:sz w:val="21"/>
                <w:szCs w:val="21"/>
                <w:lang w:eastAsia="en-AU"/>
                <w14:ligatures w14:val="none"/>
              </w:rPr>
              <w:t xml:space="preserve"> use cases will be based on assessments of project risks, including with respect to relevant organizational policies and regulations as well as potential implication of blockchain and AI-powered solutions in business operation.</w:t>
            </w:r>
          </w:p>
        </w:tc>
        <w:tc>
          <w:tcPr>
            <w:tcW w:w="7020"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5AA0C43" w14:textId="69E5A495" w:rsidR="005D39BC" w:rsidRPr="00110F3E" w:rsidRDefault="005D39BC" w:rsidP="007C12AE">
            <w:pPr>
              <w:numPr>
                <w:ilvl w:val="0"/>
                <w:numId w:val="14"/>
              </w:numPr>
              <w:spacing w:before="100" w:beforeAutospacing="1" w:after="100" w:afterAutospacing="1" w:line="240" w:lineRule="auto"/>
              <w:rPr>
                <w:rFonts w:ascii="Segoe UI" w:eastAsia="Times New Roman" w:hAnsi="Segoe UI" w:cs="Segoe UI"/>
                <w:kern w:val="0"/>
                <w:sz w:val="21"/>
                <w:szCs w:val="21"/>
                <w:lang w:eastAsia="en-AU"/>
                <w14:ligatures w14:val="none"/>
              </w:rPr>
            </w:pPr>
            <w:r w:rsidRPr="00110F3E">
              <w:rPr>
                <w:rFonts w:ascii="Segoe UI" w:eastAsia="Times New Roman" w:hAnsi="Segoe UI" w:cs="Segoe UI"/>
                <w:kern w:val="0"/>
                <w:sz w:val="21"/>
                <w:szCs w:val="21"/>
                <w:lang w:eastAsia="en-AU"/>
                <w14:ligatures w14:val="none"/>
              </w:rPr>
              <w:t xml:space="preserve">IP offices should explore and share the use cases of blockchain technology. </w:t>
            </w:r>
          </w:p>
          <w:p w14:paraId="67A52A2F" w14:textId="77777777" w:rsidR="005D39BC" w:rsidRPr="00110F3E" w:rsidRDefault="005D39BC" w:rsidP="007C12AE">
            <w:pPr>
              <w:numPr>
                <w:ilvl w:val="0"/>
                <w:numId w:val="14"/>
              </w:numPr>
              <w:spacing w:before="100" w:beforeAutospacing="1" w:after="100" w:afterAutospacing="1" w:line="240" w:lineRule="auto"/>
              <w:rPr>
                <w:rFonts w:ascii="Segoe UI" w:eastAsia="Times New Roman" w:hAnsi="Segoe UI" w:cs="Segoe UI"/>
                <w:kern w:val="0"/>
                <w:sz w:val="21"/>
                <w:szCs w:val="21"/>
                <w:lang w:eastAsia="en-AU"/>
                <w14:ligatures w14:val="none"/>
              </w:rPr>
            </w:pPr>
            <w:r w:rsidRPr="00110F3E">
              <w:rPr>
                <w:rFonts w:ascii="Segoe UI" w:eastAsia="Times New Roman" w:hAnsi="Segoe UI" w:cs="Segoe UI"/>
                <w:kern w:val="0"/>
                <w:sz w:val="21"/>
                <w:szCs w:val="21"/>
                <w:lang w:eastAsia="en-AU"/>
                <w14:ligatures w14:val="none"/>
              </w:rPr>
              <w:t xml:space="preserve">IP offices should explore and share the use cases of AI-powered tools and services, including massive, </w:t>
            </w:r>
            <w:proofErr w:type="gramStart"/>
            <w:r w:rsidRPr="00110F3E">
              <w:rPr>
                <w:rFonts w:ascii="Segoe UI" w:eastAsia="Times New Roman" w:hAnsi="Segoe UI" w:cs="Segoe UI"/>
                <w:kern w:val="0"/>
                <w:sz w:val="21"/>
                <w:szCs w:val="21"/>
                <w:lang w:eastAsia="en-AU"/>
                <w14:ligatures w14:val="none"/>
              </w:rPr>
              <w:t>publicly-available</w:t>
            </w:r>
            <w:proofErr w:type="gramEnd"/>
            <w:r w:rsidRPr="00110F3E">
              <w:rPr>
                <w:rFonts w:ascii="Segoe UI" w:eastAsia="Times New Roman" w:hAnsi="Segoe UI" w:cs="Segoe UI"/>
                <w:kern w:val="0"/>
                <w:sz w:val="21"/>
                <w:szCs w:val="21"/>
                <w:lang w:eastAsia="en-AU"/>
                <w14:ligatures w14:val="none"/>
              </w:rPr>
              <w:t xml:space="preserve"> generative AI capabilities as they mature, for functions including image searching, semantic text searching, image and text classifications, translation and customer support, </w:t>
            </w:r>
          </w:p>
          <w:p w14:paraId="46504C57" w14:textId="77777777" w:rsidR="005D39BC" w:rsidRPr="00110F3E" w:rsidRDefault="005D39BC" w:rsidP="007C12AE">
            <w:pPr>
              <w:numPr>
                <w:ilvl w:val="0"/>
                <w:numId w:val="14"/>
              </w:numPr>
              <w:spacing w:before="100" w:beforeAutospacing="1" w:after="100" w:afterAutospacing="1" w:line="240" w:lineRule="auto"/>
              <w:rPr>
                <w:rFonts w:ascii="Segoe UI" w:eastAsia="Times New Roman" w:hAnsi="Segoe UI" w:cs="Segoe UI"/>
                <w:kern w:val="0"/>
                <w:sz w:val="21"/>
                <w:szCs w:val="21"/>
                <w:lang w:eastAsia="en-AU"/>
                <w14:ligatures w14:val="none"/>
              </w:rPr>
            </w:pPr>
            <w:r w:rsidRPr="00110F3E">
              <w:rPr>
                <w:rFonts w:ascii="Segoe UI" w:eastAsia="Times New Roman" w:hAnsi="Segoe UI" w:cs="Segoe UI"/>
                <w:kern w:val="0"/>
                <w:sz w:val="21"/>
                <w:szCs w:val="21"/>
                <w:lang w:eastAsia="en-AU"/>
                <w14:ligatures w14:val="none"/>
              </w:rPr>
              <w:t>IP offices should consider ways in which the technology can be shared and made available to smaller IP offices to improve the quality and efficiency in business processes</w:t>
            </w:r>
          </w:p>
        </w:tc>
        <w:tc>
          <w:tcPr>
            <w:tcW w:w="1703" w:type="dxa"/>
            <w:tcBorders>
              <w:top w:val="single" w:sz="6" w:space="0" w:color="C1C7D0"/>
              <w:left w:val="single" w:sz="6" w:space="0" w:color="C1C7D0"/>
              <w:bottom w:val="single" w:sz="6" w:space="0" w:color="C1C7D0"/>
              <w:right w:val="single" w:sz="6" w:space="0" w:color="C1C7D0"/>
            </w:tcBorders>
            <w:shd w:val="clear" w:color="auto" w:fill="FFFFFF"/>
          </w:tcPr>
          <w:p w14:paraId="0E9A4FFC" w14:textId="0C0114D2" w:rsidR="005D39BC" w:rsidRPr="00110F3E" w:rsidRDefault="005D39BC" w:rsidP="006F370A">
            <w:pPr>
              <w:spacing w:after="0" w:line="240" w:lineRule="auto"/>
              <w:ind w:left="91"/>
              <w:rPr>
                <w:rFonts w:ascii="Segoe UI" w:eastAsia="Times New Roman" w:hAnsi="Segoe UI" w:cs="Segoe UI"/>
                <w:kern w:val="0"/>
                <w:sz w:val="21"/>
                <w:szCs w:val="21"/>
                <w:lang w:eastAsia="en-AU"/>
                <w14:ligatures w14:val="none"/>
              </w:rPr>
            </w:pPr>
            <w:r w:rsidRPr="00110F3E">
              <w:rPr>
                <w:rFonts w:ascii="Segoe UI" w:eastAsia="Times New Roman" w:hAnsi="Segoe UI" w:cs="Segoe UI"/>
                <w:kern w:val="0"/>
                <w:sz w:val="21"/>
                <w:szCs w:val="21"/>
                <w:lang w:eastAsia="en-AU"/>
                <w14:ligatures w14:val="none"/>
              </w:rPr>
              <w:t>R7, R12 and R15</w:t>
            </w:r>
          </w:p>
        </w:tc>
      </w:tr>
      <w:tr w:rsidR="00110F3E" w:rsidRPr="00110F3E" w14:paraId="06554AFF" w14:textId="50FB2274" w:rsidTr="00055AA0">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66DFE71" w14:textId="60FEF4F2" w:rsidR="005D39BC" w:rsidRPr="00110F3E" w:rsidRDefault="005D39BC" w:rsidP="00D22CF8">
            <w:pPr>
              <w:spacing w:after="0" w:line="240" w:lineRule="auto"/>
              <w:rPr>
                <w:rFonts w:ascii="Segoe UI" w:eastAsia="Times New Roman" w:hAnsi="Segoe UI" w:cs="Segoe UI"/>
                <w:kern w:val="0"/>
                <w:sz w:val="21"/>
                <w:szCs w:val="21"/>
                <w:lang w:eastAsia="en-AU"/>
                <w14:ligatures w14:val="none"/>
              </w:rPr>
            </w:pPr>
            <w:r w:rsidRPr="00110F3E">
              <w:rPr>
                <w:rFonts w:ascii="Segoe UI" w:eastAsia="Times New Roman" w:hAnsi="Segoe UI" w:cs="Segoe UI"/>
                <w:kern w:val="0"/>
                <w:sz w:val="21"/>
                <w:szCs w:val="21"/>
                <w:u w:val="single"/>
                <w:lang w:eastAsia="en-AU"/>
                <w14:ligatures w14:val="none"/>
              </w:rPr>
              <w:lastRenderedPageBreak/>
              <w:t>Recommendation 6:</w:t>
            </w:r>
            <w:r w:rsidRPr="00110F3E">
              <w:rPr>
                <w:rFonts w:ascii="Segoe UI" w:eastAsia="Times New Roman" w:hAnsi="Segoe UI" w:cs="Segoe UI"/>
                <w:kern w:val="0"/>
                <w:sz w:val="21"/>
                <w:szCs w:val="21"/>
                <w:lang w:eastAsia="en-AU"/>
                <w14:ligatures w14:val="none"/>
              </w:rPr>
              <w:br/>
              <w:t>IP offices should be encouraged to cooperate in developing and using </w:t>
            </w:r>
            <w:r w:rsidRPr="00110F3E">
              <w:rPr>
                <w:rFonts w:ascii="Segoe UI" w:eastAsia="Times New Roman" w:hAnsi="Segoe UI" w:cs="Segoe UI"/>
                <w:b/>
                <w:bCs/>
                <w:kern w:val="0"/>
                <w:sz w:val="21"/>
                <w:szCs w:val="21"/>
                <w:lang w:eastAsia="en-AU"/>
                <w14:ligatures w14:val="none"/>
              </w:rPr>
              <w:t>common ICT reference architectures for IP, including solutions</w:t>
            </w:r>
            <w:r w:rsidRPr="00110F3E">
              <w:rPr>
                <w:rFonts w:ascii="Segoe UI" w:eastAsia="Times New Roman" w:hAnsi="Segoe UI" w:cs="Segoe UI"/>
                <w:kern w:val="0"/>
                <w:sz w:val="21"/>
                <w:szCs w:val="21"/>
                <w:lang w:eastAsia="en-AU"/>
                <w14:ligatures w14:val="none"/>
              </w:rPr>
              <w:t> a</w:t>
            </w:r>
            <w:r w:rsidRPr="00110F3E">
              <w:rPr>
                <w:rFonts w:ascii="Segoe UI" w:eastAsia="Times New Roman" w:hAnsi="Segoe UI" w:cs="Segoe UI"/>
                <w:b/>
                <w:bCs/>
                <w:kern w:val="0"/>
                <w:sz w:val="21"/>
                <w:szCs w:val="21"/>
                <w:lang w:eastAsia="en-AU"/>
                <w14:ligatures w14:val="none"/>
              </w:rPr>
              <w:t>nd platforms</w:t>
            </w:r>
            <w:r w:rsidRPr="00110F3E">
              <w:rPr>
                <w:rFonts w:ascii="Segoe UI" w:eastAsia="Times New Roman" w:hAnsi="Segoe UI" w:cs="Segoe UI"/>
                <w:kern w:val="0"/>
                <w:sz w:val="21"/>
                <w:szCs w:val="21"/>
                <w:lang w:eastAsia="en-AU"/>
                <w14:ligatures w14:val="none"/>
              </w:rPr>
              <w:t> to improve the quality and efficiency in business processes, and to share experience.</w:t>
            </w:r>
          </w:p>
        </w:tc>
        <w:tc>
          <w:tcPr>
            <w:tcW w:w="7020"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4C73660" w14:textId="223D7DBE" w:rsidR="005D39BC" w:rsidRPr="00110F3E" w:rsidRDefault="005D39BC" w:rsidP="00D22CF8">
            <w:pPr>
              <w:numPr>
                <w:ilvl w:val="0"/>
                <w:numId w:val="5"/>
              </w:numPr>
              <w:spacing w:before="100" w:beforeAutospacing="1" w:after="100" w:afterAutospacing="1" w:line="240" w:lineRule="auto"/>
              <w:rPr>
                <w:rFonts w:ascii="Segoe UI" w:eastAsia="Times New Roman" w:hAnsi="Segoe UI" w:cs="Segoe UI"/>
                <w:kern w:val="0"/>
                <w:sz w:val="21"/>
                <w:szCs w:val="21"/>
                <w:lang w:eastAsia="en-AU"/>
                <w14:ligatures w14:val="none"/>
              </w:rPr>
            </w:pPr>
            <w:r w:rsidRPr="00110F3E">
              <w:rPr>
                <w:rFonts w:ascii="Segoe UI" w:eastAsia="Times New Roman" w:hAnsi="Segoe UI" w:cs="Segoe UI"/>
                <w:kern w:val="0"/>
                <w:sz w:val="21"/>
                <w:szCs w:val="21"/>
                <w:lang w:eastAsia="en-AU"/>
                <w14:ligatures w14:val="none"/>
              </w:rPr>
              <w:t>IP offices should share their technology stacks in use within other IP offices, where possible, and the International Bureau should provide a forum and a platform for sharing as needed.</w:t>
            </w:r>
          </w:p>
        </w:tc>
        <w:tc>
          <w:tcPr>
            <w:tcW w:w="1703" w:type="dxa"/>
            <w:tcBorders>
              <w:top w:val="single" w:sz="6" w:space="0" w:color="C1C7D0"/>
              <w:left w:val="single" w:sz="6" w:space="0" w:color="C1C7D0"/>
              <w:bottom w:val="single" w:sz="6" w:space="0" w:color="C1C7D0"/>
              <w:right w:val="single" w:sz="6" w:space="0" w:color="C1C7D0"/>
            </w:tcBorders>
            <w:shd w:val="clear" w:color="auto" w:fill="FFFFFF"/>
          </w:tcPr>
          <w:p w14:paraId="4D65A6EA" w14:textId="7C9CF4DC" w:rsidR="005D39BC" w:rsidRPr="00110F3E" w:rsidRDefault="005D39BC" w:rsidP="006F370A">
            <w:pPr>
              <w:spacing w:after="0" w:line="240" w:lineRule="auto"/>
              <w:ind w:left="91"/>
              <w:rPr>
                <w:rFonts w:ascii="Segoe UI" w:eastAsia="Times New Roman" w:hAnsi="Segoe UI" w:cs="Segoe UI"/>
                <w:kern w:val="0"/>
                <w:sz w:val="21"/>
                <w:szCs w:val="21"/>
                <w:lang w:eastAsia="en-AU"/>
                <w14:ligatures w14:val="none"/>
              </w:rPr>
            </w:pPr>
            <w:r w:rsidRPr="00110F3E">
              <w:rPr>
                <w:rFonts w:ascii="Segoe UI" w:eastAsia="Times New Roman" w:hAnsi="Segoe UI" w:cs="Segoe UI"/>
                <w:kern w:val="0"/>
                <w:sz w:val="21"/>
                <w:szCs w:val="21"/>
                <w:lang w:eastAsia="en-AU"/>
                <w14:ligatures w14:val="none"/>
              </w:rPr>
              <w:t>R10, R16, R21, R25, R28, R30, R31 and R34</w:t>
            </w:r>
          </w:p>
        </w:tc>
      </w:tr>
      <w:tr w:rsidR="00110F3E" w:rsidRPr="00110F3E" w14:paraId="651A4807" w14:textId="4FC132A1" w:rsidTr="00055AA0">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1838A9B" w14:textId="36E23933" w:rsidR="005D39BC" w:rsidRPr="00110F3E" w:rsidRDefault="005D39BC" w:rsidP="00D22CF8">
            <w:pPr>
              <w:spacing w:after="0" w:line="240" w:lineRule="auto"/>
              <w:rPr>
                <w:rFonts w:ascii="Segoe UI" w:eastAsia="Times New Roman" w:hAnsi="Segoe UI" w:cs="Segoe UI"/>
                <w:kern w:val="0"/>
                <w:sz w:val="21"/>
                <w:szCs w:val="21"/>
                <w:lang w:eastAsia="en-AU"/>
                <w14:ligatures w14:val="none"/>
              </w:rPr>
            </w:pPr>
            <w:r w:rsidRPr="00110F3E">
              <w:rPr>
                <w:rFonts w:ascii="Segoe UI" w:eastAsia="Times New Roman" w:hAnsi="Segoe UI" w:cs="Segoe UI"/>
                <w:kern w:val="0"/>
                <w:sz w:val="21"/>
                <w:szCs w:val="21"/>
                <w:u w:val="single"/>
                <w:lang w:eastAsia="en-AU"/>
                <w14:ligatures w14:val="none"/>
              </w:rPr>
              <w:t>Recommendation 7:</w:t>
            </w:r>
            <w:r w:rsidRPr="00110F3E">
              <w:rPr>
                <w:rFonts w:ascii="Segoe UI" w:eastAsia="Times New Roman" w:hAnsi="Segoe UI" w:cs="Segoe UI"/>
                <w:kern w:val="0"/>
                <w:sz w:val="21"/>
                <w:szCs w:val="21"/>
                <w:lang w:eastAsia="en-AU"/>
                <w14:ligatures w14:val="none"/>
              </w:rPr>
              <w:br/>
              <w:t>IP offices should contribute to </w:t>
            </w:r>
            <w:r w:rsidRPr="00110F3E">
              <w:rPr>
                <w:rFonts w:ascii="Segoe UI" w:eastAsia="Times New Roman" w:hAnsi="Segoe UI" w:cs="Segoe UI"/>
                <w:b/>
                <w:bCs/>
                <w:kern w:val="0"/>
                <w:sz w:val="21"/>
                <w:szCs w:val="21"/>
                <w:lang w:eastAsia="en-AU"/>
                <w14:ligatures w14:val="none"/>
              </w:rPr>
              <w:t>multilateral or international cooperative projects</w:t>
            </w:r>
            <w:r w:rsidRPr="00110F3E">
              <w:rPr>
                <w:rFonts w:ascii="Segoe UI" w:eastAsia="Times New Roman" w:hAnsi="Segoe UI" w:cs="Segoe UI"/>
                <w:kern w:val="0"/>
                <w:sz w:val="21"/>
                <w:szCs w:val="21"/>
                <w:lang w:eastAsia="en-AU"/>
                <w14:ligatures w14:val="none"/>
              </w:rPr>
              <w:t> concerning IP data, global IP information systems and services, IP data dissemination, and IP documentation</w:t>
            </w:r>
          </w:p>
        </w:tc>
        <w:tc>
          <w:tcPr>
            <w:tcW w:w="7020"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F7C133A" w14:textId="77777777" w:rsidR="005D39BC" w:rsidRPr="00110F3E" w:rsidRDefault="005D39BC" w:rsidP="00D22CF8">
            <w:pPr>
              <w:numPr>
                <w:ilvl w:val="0"/>
                <w:numId w:val="6"/>
              </w:numPr>
              <w:spacing w:before="100" w:beforeAutospacing="1" w:after="100" w:afterAutospacing="1" w:line="240" w:lineRule="auto"/>
              <w:rPr>
                <w:rFonts w:ascii="Segoe UI" w:eastAsia="Times New Roman" w:hAnsi="Segoe UI" w:cs="Segoe UI"/>
                <w:kern w:val="0"/>
                <w:sz w:val="21"/>
                <w:szCs w:val="21"/>
                <w:lang w:eastAsia="en-AU"/>
                <w14:ligatures w14:val="none"/>
              </w:rPr>
            </w:pPr>
            <w:r w:rsidRPr="00110F3E">
              <w:rPr>
                <w:rFonts w:ascii="Segoe UI" w:eastAsia="Times New Roman" w:hAnsi="Segoe UI" w:cs="Segoe UI"/>
                <w:kern w:val="0"/>
                <w:sz w:val="21"/>
                <w:szCs w:val="21"/>
                <w:lang w:eastAsia="en-AU"/>
                <w14:ligatures w14:val="none"/>
              </w:rPr>
              <w:t>IP offices should actively participate in the cooperative projects that the CWS approved or noted such as:</w:t>
            </w:r>
          </w:p>
          <w:p w14:paraId="5686B053" w14:textId="14D93C29" w:rsidR="005D39BC" w:rsidRPr="00110F3E" w:rsidRDefault="005D39BC" w:rsidP="00055AA0">
            <w:pPr>
              <w:numPr>
                <w:ilvl w:val="0"/>
                <w:numId w:val="22"/>
              </w:numPr>
              <w:spacing w:before="100" w:beforeAutospacing="1" w:after="100" w:afterAutospacing="1" w:line="240" w:lineRule="auto"/>
              <w:rPr>
                <w:rFonts w:ascii="Segoe UI" w:eastAsia="Times New Roman" w:hAnsi="Segoe UI" w:cs="Segoe UI"/>
                <w:kern w:val="0"/>
                <w:sz w:val="21"/>
                <w:szCs w:val="21"/>
                <w:lang w:eastAsia="en-AU"/>
                <w14:ligatures w14:val="none"/>
              </w:rPr>
            </w:pPr>
            <w:r w:rsidRPr="00110F3E">
              <w:rPr>
                <w:rFonts w:ascii="Segoe UI" w:eastAsia="Times New Roman" w:hAnsi="Segoe UI" w:cs="Segoe UI"/>
                <w:kern w:val="0"/>
                <w:sz w:val="21"/>
                <w:szCs w:val="21"/>
                <w:lang w:eastAsia="en-AU"/>
                <w14:ligatures w14:val="none"/>
              </w:rPr>
              <w:t xml:space="preserve">Global Identifier </w:t>
            </w:r>
            <w:proofErr w:type="gramStart"/>
            <w:r w:rsidRPr="00110F3E">
              <w:rPr>
                <w:rFonts w:ascii="Segoe UI" w:eastAsia="Times New Roman" w:hAnsi="Segoe UI" w:cs="Segoe UI"/>
                <w:kern w:val="0"/>
                <w:sz w:val="21"/>
                <w:szCs w:val="21"/>
                <w:lang w:eastAsia="en-AU"/>
                <w14:ligatures w14:val="none"/>
              </w:rPr>
              <w:t>pilot;</w:t>
            </w:r>
            <w:proofErr w:type="gramEnd"/>
          </w:p>
          <w:p w14:paraId="7F87DACB" w14:textId="71758A9A" w:rsidR="005D39BC" w:rsidRPr="00110F3E" w:rsidRDefault="005D39BC" w:rsidP="00055AA0">
            <w:pPr>
              <w:numPr>
                <w:ilvl w:val="0"/>
                <w:numId w:val="22"/>
              </w:numPr>
              <w:spacing w:before="100" w:beforeAutospacing="1" w:after="100" w:afterAutospacing="1" w:line="240" w:lineRule="auto"/>
              <w:rPr>
                <w:rFonts w:ascii="Segoe UI" w:eastAsia="Times New Roman" w:hAnsi="Segoe UI" w:cs="Segoe UI"/>
                <w:kern w:val="0"/>
                <w:sz w:val="21"/>
                <w:szCs w:val="21"/>
                <w:lang w:eastAsia="en-AU"/>
                <w14:ligatures w14:val="none"/>
              </w:rPr>
            </w:pPr>
            <w:r w:rsidRPr="00110F3E">
              <w:rPr>
                <w:rFonts w:ascii="Segoe UI" w:eastAsia="Times New Roman" w:hAnsi="Segoe UI" w:cs="Segoe UI"/>
                <w:kern w:val="0"/>
                <w:sz w:val="21"/>
                <w:szCs w:val="21"/>
                <w:lang w:eastAsia="en-AU"/>
                <w14:ligatures w14:val="none"/>
              </w:rPr>
              <w:t xml:space="preserve">Unified API </w:t>
            </w:r>
            <w:proofErr w:type="spellStart"/>
            <w:r w:rsidRPr="00110F3E">
              <w:rPr>
                <w:rFonts w:ascii="Segoe UI" w:eastAsia="Times New Roman" w:hAnsi="Segoe UI" w:cs="Segoe UI"/>
                <w:kern w:val="0"/>
                <w:sz w:val="21"/>
                <w:szCs w:val="21"/>
                <w:lang w:eastAsia="en-AU"/>
                <w14:ligatures w14:val="none"/>
              </w:rPr>
              <w:t>catalog</w:t>
            </w:r>
            <w:proofErr w:type="spellEnd"/>
            <w:r w:rsidRPr="00110F3E">
              <w:rPr>
                <w:rFonts w:ascii="Segoe UI" w:eastAsia="Times New Roman" w:hAnsi="Segoe UI" w:cs="Segoe UI"/>
                <w:kern w:val="0"/>
                <w:sz w:val="21"/>
                <w:szCs w:val="21"/>
                <w:lang w:eastAsia="en-AU"/>
                <w14:ligatures w14:val="none"/>
              </w:rPr>
              <w:t>; and</w:t>
            </w:r>
          </w:p>
          <w:p w14:paraId="376F72D2" w14:textId="3515727A" w:rsidR="005D39BC" w:rsidRPr="00110F3E" w:rsidRDefault="005D39BC" w:rsidP="00055AA0">
            <w:pPr>
              <w:numPr>
                <w:ilvl w:val="0"/>
                <w:numId w:val="22"/>
              </w:numPr>
              <w:spacing w:before="100" w:beforeAutospacing="1" w:after="100" w:afterAutospacing="1" w:line="240" w:lineRule="auto"/>
              <w:rPr>
                <w:rFonts w:ascii="Segoe UI" w:eastAsia="Times New Roman" w:hAnsi="Segoe UI" w:cs="Segoe UI"/>
                <w:kern w:val="0"/>
                <w:sz w:val="21"/>
                <w:szCs w:val="21"/>
                <w:lang w:eastAsia="en-AU"/>
                <w14:ligatures w14:val="none"/>
              </w:rPr>
            </w:pPr>
            <w:r w:rsidRPr="00110F3E">
              <w:rPr>
                <w:rFonts w:ascii="Segoe UI" w:eastAsia="Times New Roman" w:hAnsi="Segoe UI" w:cs="Segoe UI"/>
                <w:kern w:val="0"/>
                <w:sz w:val="21"/>
                <w:szCs w:val="21"/>
                <w:lang w:eastAsia="en-AU"/>
                <w14:ligatures w14:val="none"/>
              </w:rPr>
              <w:t>Provision of patent authority files following WIPO Standard ST.37.</w:t>
            </w:r>
          </w:p>
          <w:p w14:paraId="592DA4A1" w14:textId="5D689A55" w:rsidR="005D39BC" w:rsidRPr="00110F3E" w:rsidRDefault="005D39BC" w:rsidP="00D22CF8">
            <w:pPr>
              <w:numPr>
                <w:ilvl w:val="0"/>
                <w:numId w:val="6"/>
              </w:numPr>
              <w:spacing w:before="100" w:beforeAutospacing="1" w:after="100" w:afterAutospacing="1" w:line="240" w:lineRule="auto"/>
              <w:rPr>
                <w:rFonts w:ascii="Segoe UI" w:eastAsia="Times New Roman" w:hAnsi="Segoe UI" w:cs="Segoe UI"/>
                <w:kern w:val="0"/>
                <w:sz w:val="21"/>
                <w:szCs w:val="21"/>
                <w:lang w:eastAsia="en-AU"/>
                <w14:ligatures w14:val="none"/>
              </w:rPr>
            </w:pPr>
            <w:r w:rsidRPr="00110F3E">
              <w:rPr>
                <w:rFonts w:ascii="Segoe UI" w:eastAsia="Times New Roman" w:hAnsi="Segoe UI" w:cs="Segoe UI"/>
                <w:kern w:val="0"/>
                <w:sz w:val="21"/>
                <w:szCs w:val="21"/>
                <w:lang w:eastAsia="en-AU"/>
                <w14:ligatures w14:val="none"/>
              </w:rPr>
              <w:t>IP offices are encouraged to offer multilateral cooperative projects and participated in the projects which are offered by other IP offices.</w:t>
            </w:r>
          </w:p>
          <w:p w14:paraId="1E69285D" w14:textId="1E09AAF4" w:rsidR="005D39BC" w:rsidRPr="00110F3E" w:rsidRDefault="005D39BC" w:rsidP="00694EDA">
            <w:pPr>
              <w:spacing w:before="100" w:beforeAutospacing="1" w:after="100" w:afterAutospacing="1" w:line="240" w:lineRule="auto"/>
              <w:ind w:left="720"/>
              <w:rPr>
                <w:rFonts w:ascii="Segoe UI" w:eastAsia="Times New Roman" w:hAnsi="Segoe UI" w:cs="Segoe UI"/>
                <w:kern w:val="0"/>
                <w:sz w:val="21"/>
                <w:szCs w:val="21"/>
                <w:lang w:eastAsia="en-AU"/>
                <w14:ligatures w14:val="none"/>
              </w:rPr>
            </w:pPr>
          </w:p>
        </w:tc>
        <w:tc>
          <w:tcPr>
            <w:tcW w:w="1703" w:type="dxa"/>
            <w:tcBorders>
              <w:top w:val="single" w:sz="6" w:space="0" w:color="C1C7D0"/>
              <w:left w:val="single" w:sz="6" w:space="0" w:color="C1C7D0"/>
              <w:bottom w:val="single" w:sz="6" w:space="0" w:color="C1C7D0"/>
              <w:right w:val="single" w:sz="6" w:space="0" w:color="C1C7D0"/>
            </w:tcBorders>
            <w:shd w:val="clear" w:color="auto" w:fill="FFFFFF"/>
          </w:tcPr>
          <w:p w14:paraId="41C0193D" w14:textId="6B044A88" w:rsidR="005D39BC" w:rsidRPr="00110F3E" w:rsidRDefault="005D39BC" w:rsidP="006F370A">
            <w:pPr>
              <w:spacing w:after="0" w:line="240" w:lineRule="auto"/>
              <w:ind w:left="91"/>
              <w:rPr>
                <w:rFonts w:ascii="Segoe UI" w:eastAsia="Times New Roman" w:hAnsi="Segoe UI" w:cs="Segoe UI"/>
                <w:kern w:val="0"/>
                <w:sz w:val="21"/>
                <w:szCs w:val="21"/>
                <w:lang w:eastAsia="en-AU"/>
                <w14:ligatures w14:val="none"/>
              </w:rPr>
            </w:pPr>
            <w:r w:rsidRPr="00110F3E">
              <w:rPr>
                <w:rFonts w:ascii="Segoe UI" w:eastAsia="Times New Roman" w:hAnsi="Segoe UI" w:cs="Segoe UI"/>
                <w:kern w:val="0"/>
                <w:sz w:val="21"/>
                <w:szCs w:val="21"/>
                <w:lang w:eastAsia="en-AU"/>
                <w14:ligatures w14:val="none"/>
              </w:rPr>
              <w:t>R8, R9, R11, R19, R23, R24, R35 and R40</w:t>
            </w:r>
          </w:p>
        </w:tc>
      </w:tr>
      <w:tr w:rsidR="00110F3E" w:rsidRPr="00110F3E" w14:paraId="415CEAF4" w14:textId="01950F55" w:rsidTr="00055AA0">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49183AD" w14:textId="57C9EE8E" w:rsidR="005D39BC" w:rsidRPr="00110F3E" w:rsidRDefault="005D39BC" w:rsidP="00D22CF8">
            <w:pPr>
              <w:spacing w:after="0" w:line="240" w:lineRule="auto"/>
              <w:rPr>
                <w:rFonts w:ascii="Segoe UI" w:eastAsia="Times New Roman" w:hAnsi="Segoe UI" w:cs="Segoe UI"/>
                <w:kern w:val="0"/>
                <w:sz w:val="21"/>
                <w:szCs w:val="21"/>
                <w:lang w:eastAsia="en-AU"/>
                <w14:ligatures w14:val="none"/>
              </w:rPr>
            </w:pPr>
            <w:r w:rsidRPr="00110F3E">
              <w:rPr>
                <w:rFonts w:ascii="Segoe UI" w:eastAsia="Times New Roman" w:hAnsi="Segoe UI" w:cs="Segoe UI"/>
                <w:kern w:val="0"/>
                <w:sz w:val="21"/>
                <w:szCs w:val="21"/>
                <w:u w:val="single"/>
                <w:lang w:eastAsia="en-AU"/>
                <w14:ligatures w14:val="none"/>
              </w:rPr>
              <w:t>Recommendation 8:</w:t>
            </w:r>
            <w:r w:rsidRPr="00110F3E">
              <w:rPr>
                <w:rFonts w:ascii="Segoe UI" w:eastAsia="Times New Roman" w:hAnsi="Segoe UI" w:cs="Segoe UI"/>
                <w:kern w:val="0"/>
                <w:sz w:val="21"/>
                <w:szCs w:val="21"/>
                <w:lang w:eastAsia="en-AU"/>
                <w14:ligatures w14:val="none"/>
              </w:rPr>
              <w:br/>
              <w:t>IP offices should participate in developing</w:t>
            </w:r>
            <w:r w:rsidRPr="00110F3E">
              <w:rPr>
                <w:rFonts w:ascii="Segoe UI" w:eastAsia="Times New Roman" w:hAnsi="Segoe UI" w:cs="Segoe UI"/>
                <w:b/>
                <w:bCs/>
                <w:kern w:val="0"/>
                <w:sz w:val="21"/>
                <w:szCs w:val="21"/>
                <w:lang w:eastAsia="en-AU"/>
                <w14:ligatures w14:val="none"/>
              </w:rPr>
              <w:t> WIPO Standards</w:t>
            </w:r>
            <w:r w:rsidRPr="00110F3E">
              <w:rPr>
                <w:rFonts w:ascii="Segoe UI" w:eastAsia="Times New Roman" w:hAnsi="Segoe UI" w:cs="Segoe UI"/>
                <w:kern w:val="0"/>
                <w:sz w:val="21"/>
                <w:szCs w:val="21"/>
                <w:lang w:eastAsia="en-AU"/>
                <w14:ligatures w14:val="none"/>
              </w:rPr>
              <w:t> and implement them where possible. </w:t>
            </w:r>
          </w:p>
        </w:tc>
        <w:tc>
          <w:tcPr>
            <w:tcW w:w="7020"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0A3C912" w14:textId="77777777" w:rsidR="005D39BC" w:rsidRPr="00110F3E" w:rsidRDefault="005D39BC" w:rsidP="00694EDA">
            <w:pPr>
              <w:pStyle w:val="ListParagraph"/>
              <w:numPr>
                <w:ilvl w:val="0"/>
                <w:numId w:val="13"/>
              </w:numPr>
              <w:spacing w:after="0" w:line="240" w:lineRule="auto"/>
              <w:rPr>
                <w:rFonts w:ascii="Segoe UI" w:eastAsia="Times New Roman" w:hAnsi="Segoe UI" w:cs="Segoe UI"/>
                <w:kern w:val="0"/>
                <w:sz w:val="21"/>
                <w:szCs w:val="21"/>
                <w:lang w:eastAsia="en-AU"/>
                <w14:ligatures w14:val="none"/>
              </w:rPr>
            </w:pPr>
            <w:r w:rsidRPr="00110F3E">
              <w:rPr>
                <w:rFonts w:ascii="Segoe UI" w:eastAsia="Times New Roman" w:hAnsi="Segoe UI" w:cs="Segoe UI"/>
                <w:kern w:val="0"/>
                <w:sz w:val="21"/>
                <w:szCs w:val="21"/>
                <w:lang w:eastAsia="en-AU"/>
                <w14:ligatures w14:val="none"/>
              </w:rPr>
              <w:t>IP offices are encouraged to nominate their subject matter experts to the CWS Task Forces.</w:t>
            </w:r>
          </w:p>
          <w:p w14:paraId="5D753C31" w14:textId="0A8A2167" w:rsidR="005D39BC" w:rsidRPr="00110F3E" w:rsidRDefault="005D39BC" w:rsidP="00694EDA">
            <w:pPr>
              <w:pStyle w:val="ListParagraph"/>
              <w:numPr>
                <w:ilvl w:val="0"/>
                <w:numId w:val="13"/>
              </w:numPr>
              <w:spacing w:after="0" w:line="240" w:lineRule="auto"/>
              <w:rPr>
                <w:rFonts w:ascii="Segoe UI" w:eastAsia="Times New Roman" w:hAnsi="Segoe UI" w:cs="Segoe UI"/>
                <w:kern w:val="0"/>
                <w:sz w:val="21"/>
                <w:szCs w:val="21"/>
                <w:lang w:eastAsia="en-AU"/>
                <w14:ligatures w14:val="none"/>
              </w:rPr>
            </w:pPr>
            <w:r w:rsidRPr="00110F3E">
              <w:rPr>
                <w:rFonts w:ascii="Segoe UI" w:eastAsia="Times New Roman" w:hAnsi="Segoe UI" w:cs="Segoe UI"/>
                <w:kern w:val="0"/>
                <w:sz w:val="21"/>
                <w:szCs w:val="21"/>
                <w:lang w:eastAsia="en-AU"/>
                <w14:ligatures w14:val="none"/>
              </w:rPr>
              <w:t>IP offices are encouraged to inform the International Bureau of their implementation status of WIPO Standards and to participate in the surveys of the CWS.</w:t>
            </w:r>
          </w:p>
        </w:tc>
        <w:tc>
          <w:tcPr>
            <w:tcW w:w="1703" w:type="dxa"/>
            <w:tcBorders>
              <w:top w:val="single" w:sz="6" w:space="0" w:color="C1C7D0"/>
              <w:left w:val="single" w:sz="6" w:space="0" w:color="C1C7D0"/>
              <w:bottom w:val="single" w:sz="6" w:space="0" w:color="C1C7D0"/>
              <w:right w:val="single" w:sz="6" w:space="0" w:color="C1C7D0"/>
            </w:tcBorders>
            <w:shd w:val="clear" w:color="auto" w:fill="FFFFFF"/>
          </w:tcPr>
          <w:p w14:paraId="4E79DF02" w14:textId="3E507294" w:rsidR="005D39BC" w:rsidRPr="00110F3E" w:rsidRDefault="005D39BC" w:rsidP="006F370A">
            <w:pPr>
              <w:spacing w:after="0" w:line="240" w:lineRule="auto"/>
              <w:ind w:left="91"/>
              <w:rPr>
                <w:rFonts w:ascii="Segoe UI" w:eastAsia="Times New Roman" w:hAnsi="Segoe UI" w:cs="Segoe UI"/>
                <w:kern w:val="0"/>
                <w:sz w:val="21"/>
                <w:szCs w:val="21"/>
                <w:lang w:eastAsia="en-AU"/>
                <w14:ligatures w14:val="none"/>
              </w:rPr>
            </w:pPr>
            <w:r w:rsidRPr="00110F3E">
              <w:rPr>
                <w:rFonts w:ascii="Segoe UI" w:eastAsia="Times New Roman" w:hAnsi="Segoe UI" w:cs="Segoe UI"/>
                <w:kern w:val="0"/>
                <w:sz w:val="21"/>
                <w:szCs w:val="21"/>
                <w:lang w:eastAsia="en-AU"/>
                <w14:ligatures w14:val="none"/>
              </w:rPr>
              <w:t>R20, R26, R27 and R33</w:t>
            </w:r>
          </w:p>
        </w:tc>
      </w:tr>
      <w:tr w:rsidR="00110F3E" w:rsidRPr="00110F3E" w14:paraId="7178D8E3" w14:textId="346D333C" w:rsidTr="00055AA0">
        <w:trPr>
          <w:trHeight w:val="1437"/>
        </w:trPr>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60FC1D76" w14:textId="0A82EA9C" w:rsidR="005D39BC" w:rsidRPr="00110F3E" w:rsidRDefault="005D39BC" w:rsidP="00D22CF8">
            <w:pPr>
              <w:spacing w:after="0" w:line="240" w:lineRule="auto"/>
              <w:rPr>
                <w:rFonts w:ascii="Segoe UI" w:eastAsia="Times New Roman" w:hAnsi="Segoe UI" w:cs="Segoe UI"/>
                <w:kern w:val="0"/>
                <w:sz w:val="21"/>
                <w:szCs w:val="21"/>
                <w:lang w:eastAsia="en-AU"/>
                <w14:ligatures w14:val="none"/>
              </w:rPr>
            </w:pPr>
            <w:r w:rsidRPr="00110F3E">
              <w:rPr>
                <w:rFonts w:ascii="Segoe UI" w:eastAsia="Times New Roman" w:hAnsi="Segoe UI" w:cs="Segoe UI"/>
                <w:kern w:val="0"/>
                <w:sz w:val="21"/>
                <w:szCs w:val="21"/>
                <w:u w:val="single"/>
                <w:lang w:eastAsia="en-AU"/>
                <w14:ligatures w14:val="none"/>
              </w:rPr>
              <w:lastRenderedPageBreak/>
              <w:t>Recommendation 9:</w:t>
            </w:r>
            <w:r w:rsidRPr="00110F3E">
              <w:rPr>
                <w:rFonts w:ascii="Segoe UI" w:eastAsia="Times New Roman" w:hAnsi="Segoe UI" w:cs="Segoe UI"/>
                <w:kern w:val="0"/>
                <w:sz w:val="21"/>
                <w:szCs w:val="21"/>
                <w:lang w:eastAsia="en-AU"/>
                <w14:ligatures w14:val="none"/>
              </w:rPr>
              <w:br/>
              <w:t>IP offices should ensure that </w:t>
            </w:r>
            <w:r w:rsidRPr="00110F3E">
              <w:rPr>
                <w:rFonts w:ascii="Segoe UI" w:eastAsia="Times New Roman" w:hAnsi="Segoe UI" w:cs="Segoe UI"/>
                <w:b/>
                <w:bCs/>
                <w:kern w:val="0"/>
                <w:sz w:val="21"/>
                <w:szCs w:val="21"/>
                <w:lang w:eastAsia="en-AU"/>
                <w14:ligatures w14:val="none"/>
              </w:rPr>
              <w:t>information security policy</w:t>
            </w:r>
            <w:r w:rsidRPr="00110F3E">
              <w:rPr>
                <w:rFonts w:ascii="Segoe UI" w:eastAsia="Times New Roman" w:hAnsi="Segoe UI" w:cs="Segoe UI"/>
                <w:kern w:val="0"/>
                <w:sz w:val="21"/>
                <w:szCs w:val="21"/>
                <w:lang w:eastAsia="en-AU"/>
                <w14:ligatures w14:val="none"/>
              </w:rPr>
              <w:t xml:space="preserve"> is in place </w:t>
            </w:r>
            <w:proofErr w:type="gramStart"/>
            <w:r w:rsidRPr="00110F3E">
              <w:rPr>
                <w:rFonts w:ascii="Segoe UI" w:eastAsia="Times New Roman" w:hAnsi="Segoe UI" w:cs="Segoe UI"/>
                <w:kern w:val="0"/>
                <w:sz w:val="21"/>
                <w:szCs w:val="21"/>
                <w:lang w:eastAsia="en-AU"/>
                <w14:ligatures w14:val="none"/>
              </w:rPr>
              <w:t>on the basis of</w:t>
            </w:r>
            <w:proofErr w:type="gramEnd"/>
            <w:r w:rsidRPr="00110F3E">
              <w:rPr>
                <w:rFonts w:ascii="Segoe UI" w:eastAsia="Times New Roman" w:hAnsi="Segoe UI" w:cs="Segoe UI"/>
                <w:kern w:val="0"/>
                <w:sz w:val="21"/>
                <w:szCs w:val="21"/>
                <w:lang w:eastAsia="en-AU"/>
                <w14:ligatures w14:val="none"/>
              </w:rPr>
              <w:t xml:space="preserve"> best practices, and annually evaluated.</w:t>
            </w:r>
          </w:p>
        </w:tc>
        <w:tc>
          <w:tcPr>
            <w:tcW w:w="7020"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5E8AE44A" w14:textId="77777777" w:rsidR="005D39BC" w:rsidRPr="00110F3E" w:rsidRDefault="005D39BC" w:rsidP="006043B6">
            <w:pPr>
              <w:pStyle w:val="ListParagraph"/>
              <w:numPr>
                <w:ilvl w:val="0"/>
                <w:numId w:val="20"/>
              </w:numPr>
              <w:spacing w:before="100" w:beforeAutospacing="1" w:after="100" w:afterAutospacing="1" w:line="240" w:lineRule="auto"/>
              <w:rPr>
                <w:rFonts w:ascii="Segoe UI" w:eastAsia="Times New Roman" w:hAnsi="Segoe UI" w:cs="Segoe UI"/>
                <w:kern w:val="0"/>
                <w:sz w:val="21"/>
                <w:szCs w:val="21"/>
                <w:lang w:eastAsia="en-AU"/>
                <w14:ligatures w14:val="none"/>
              </w:rPr>
            </w:pPr>
            <w:r w:rsidRPr="00110F3E">
              <w:rPr>
                <w:rFonts w:ascii="Segoe UI" w:eastAsia="Times New Roman" w:hAnsi="Segoe UI" w:cs="Segoe UI"/>
                <w:kern w:val="0"/>
                <w:sz w:val="21"/>
                <w:szCs w:val="21"/>
                <w:lang w:eastAsia="en-AU"/>
                <w14:ligatures w14:val="none"/>
              </w:rPr>
              <w:t>IP offices should develop and maintain their information security policy.</w:t>
            </w:r>
          </w:p>
          <w:p w14:paraId="43032BEF" w14:textId="4D9D4D21" w:rsidR="005D39BC" w:rsidRPr="00110F3E" w:rsidRDefault="005D39BC" w:rsidP="00D22CF8">
            <w:pPr>
              <w:pStyle w:val="ListParagraph"/>
              <w:numPr>
                <w:ilvl w:val="0"/>
                <w:numId w:val="20"/>
              </w:numPr>
              <w:spacing w:before="100" w:beforeAutospacing="1" w:after="0" w:line="240" w:lineRule="auto"/>
              <w:rPr>
                <w:rFonts w:ascii="Segoe UI" w:eastAsia="Times New Roman" w:hAnsi="Segoe UI" w:cs="Segoe UI"/>
                <w:kern w:val="0"/>
                <w:sz w:val="21"/>
                <w:szCs w:val="21"/>
                <w:lang w:eastAsia="en-AU"/>
                <w14:ligatures w14:val="none"/>
              </w:rPr>
            </w:pPr>
            <w:r w:rsidRPr="00110F3E">
              <w:rPr>
                <w:rFonts w:ascii="Segoe UI" w:eastAsia="Times New Roman" w:hAnsi="Segoe UI" w:cs="Segoe UI"/>
                <w:kern w:val="0"/>
                <w:sz w:val="21"/>
                <w:szCs w:val="21"/>
                <w:lang w:eastAsia="en-AU"/>
                <w14:ligatures w14:val="none"/>
              </w:rPr>
              <w:t xml:space="preserve">IP offices are encouraged to share their information security policy and their experiences, including current challenges and solutions to address them. </w:t>
            </w:r>
          </w:p>
        </w:tc>
        <w:tc>
          <w:tcPr>
            <w:tcW w:w="1703" w:type="dxa"/>
            <w:tcBorders>
              <w:top w:val="single" w:sz="6" w:space="0" w:color="C1C7D0"/>
              <w:left w:val="single" w:sz="6" w:space="0" w:color="C1C7D0"/>
              <w:bottom w:val="single" w:sz="6" w:space="0" w:color="C1C7D0"/>
              <w:right w:val="single" w:sz="6" w:space="0" w:color="C1C7D0"/>
            </w:tcBorders>
            <w:shd w:val="clear" w:color="auto" w:fill="FFFFFF"/>
          </w:tcPr>
          <w:p w14:paraId="5C534C21" w14:textId="3023674C" w:rsidR="005D39BC" w:rsidRPr="00110F3E" w:rsidRDefault="005D39BC" w:rsidP="005D39BC">
            <w:pPr>
              <w:spacing w:after="0" w:line="240" w:lineRule="auto"/>
              <w:ind w:left="91"/>
              <w:rPr>
                <w:rFonts w:ascii="Segoe UI" w:eastAsia="Times New Roman" w:hAnsi="Segoe UI" w:cs="Segoe UI"/>
                <w:kern w:val="0"/>
                <w:sz w:val="21"/>
                <w:szCs w:val="21"/>
                <w:lang w:eastAsia="en-AU"/>
                <w14:ligatures w14:val="none"/>
              </w:rPr>
            </w:pPr>
            <w:r w:rsidRPr="00110F3E">
              <w:rPr>
                <w:rFonts w:ascii="Segoe UI" w:eastAsia="Times New Roman" w:hAnsi="Segoe UI" w:cs="Segoe UI"/>
                <w:kern w:val="0"/>
                <w:sz w:val="21"/>
                <w:szCs w:val="21"/>
                <w:lang w:eastAsia="en-AU"/>
                <w14:ligatures w14:val="none"/>
              </w:rPr>
              <w:t>R36 and R37</w:t>
            </w:r>
          </w:p>
        </w:tc>
      </w:tr>
      <w:tr w:rsidR="00110F3E" w:rsidRPr="00110F3E" w14:paraId="3C8C94AA" w14:textId="029C64D6" w:rsidTr="00055AA0">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72FCD0B" w14:textId="583610A0" w:rsidR="005D39BC" w:rsidRPr="00110F3E" w:rsidRDefault="005D39BC" w:rsidP="00D22CF8">
            <w:pPr>
              <w:spacing w:after="0" w:line="240" w:lineRule="auto"/>
              <w:rPr>
                <w:rFonts w:ascii="Segoe UI" w:eastAsia="Times New Roman" w:hAnsi="Segoe UI" w:cs="Segoe UI"/>
                <w:kern w:val="0"/>
                <w:sz w:val="21"/>
                <w:szCs w:val="21"/>
                <w:lang w:eastAsia="en-AU"/>
                <w14:ligatures w14:val="none"/>
              </w:rPr>
            </w:pPr>
            <w:r w:rsidRPr="00110F3E">
              <w:rPr>
                <w:rFonts w:ascii="Segoe UI" w:eastAsia="Times New Roman" w:hAnsi="Segoe UI" w:cs="Segoe UI"/>
                <w:kern w:val="0"/>
                <w:sz w:val="21"/>
                <w:szCs w:val="21"/>
                <w:u w:val="single"/>
                <w:lang w:eastAsia="en-AU"/>
                <w14:ligatures w14:val="none"/>
              </w:rPr>
              <w:t>Recommendation 10:</w:t>
            </w:r>
            <w:r w:rsidRPr="00110F3E">
              <w:rPr>
                <w:rFonts w:ascii="Segoe UI" w:eastAsia="Times New Roman" w:hAnsi="Segoe UI" w:cs="Segoe UI"/>
                <w:kern w:val="0"/>
                <w:sz w:val="21"/>
                <w:szCs w:val="21"/>
                <w:lang w:eastAsia="en-AU"/>
                <w14:ligatures w14:val="none"/>
              </w:rPr>
              <w:br/>
              <w:t xml:space="preserve">IP offices should share experience and information on planning, managing, </w:t>
            </w:r>
            <w:proofErr w:type="gramStart"/>
            <w:r w:rsidRPr="00110F3E">
              <w:rPr>
                <w:rFonts w:ascii="Segoe UI" w:eastAsia="Times New Roman" w:hAnsi="Segoe UI" w:cs="Segoe UI"/>
                <w:kern w:val="0"/>
                <w:sz w:val="21"/>
                <w:szCs w:val="21"/>
                <w:lang w:eastAsia="en-AU"/>
                <w14:ligatures w14:val="none"/>
              </w:rPr>
              <w:t>delivering</w:t>
            </w:r>
            <w:proofErr w:type="gramEnd"/>
            <w:r w:rsidRPr="00110F3E">
              <w:rPr>
                <w:rFonts w:ascii="Segoe UI" w:eastAsia="Times New Roman" w:hAnsi="Segoe UI" w:cs="Segoe UI"/>
                <w:kern w:val="0"/>
                <w:sz w:val="21"/>
                <w:szCs w:val="21"/>
                <w:lang w:eastAsia="en-AU"/>
                <w14:ligatures w14:val="none"/>
              </w:rPr>
              <w:t xml:space="preserve"> and evaluating</w:t>
            </w:r>
            <w:r w:rsidRPr="00110F3E">
              <w:rPr>
                <w:rFonts w:ascii="Segoe UI" w:eastAsia="Times New Roman" w:hAnsi="Segoe UI" w:cs="Segoe UI"/>
                <w:b/>
                <w:bCs/>
                <w:kern w:val="0"/>
                <w:sz w:val="21"/>
                <w:szCs w:val="21"/>
                <w:lang w:eastAsia="en-AU"/>
                <w14:ligatures w14:val="none"/>
              </w:rPr>
              <w:t> ICT projects</w:t>
            </w:r>
            <w:r w:rsidRPr="00110F3E">
              <w:rPr>
                <w:rFonts w:ascii="Segoe UI" w:eastAsia="Times New Roman" w:hAnsi="Segoe UI" w:cs="Segoe UI"/>
                <w:kern w:val="0"/>
                <w:sz w:val="21"/>
                <w:szCs w:val="21"/>
                <w:lang w:eastAsia="en-AU"/>
                <w14:ligatures w14:val="none"/>
              </w:rPr>
              <w:t> </w:t>
            </w:r>
          </w:p>
        </w:tc>
        <w:tc>
          <w:tcPr>
            <w:tcW w:w="7020"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FA317DA" w14:textId="1B58558D" w:rsidR="005D39BC" w:rsidRPr="00110F3E" w:rsidRDefault="005D39BC" w:rsidP="00694EDA">
            <w:pPr>
              <w:pStyle w:val="ListParagraph"/>
              <w:numPr>
                <w:ilvl w:val="0"/>
                <w:numId w:val="15"/>
              </w:numPr>
              <w:spacing w:after="0" w:line="240" w:lineRule="auto"/>
              <w:ind w:left="360"/>
              <w:rPr>
                <w:rFonts w:ascii="Segoe UI" w:eastAsia="Times New Roman" w:hAnsi="Segoe UI" w:cs="Segoe UI"/>
                <w:kern w:val="0"/>
                <w:sz w:val="21"/>
                <w:szCs w:val="21"/>
                <w:lang w:eastAsia="en-AU"/>
                <w14:ligatures w14:val="none"/>
              </w:rPr>
            </w:pPr>
            <w:r w:rsidRPr="00110F3E">
              <w:rPr>
                <w:rFonts w:ascii="Segoe UI" w:eastAsia="Times New Roman" w:hAnsi="Segoe UI" w:cs="Segoe UI"/>
                <w:kern w:val="0"/>
                <w:sz w:val="21"/>
                <w:szCs w:val="21"/>
                <w:lang w:eastAsia="en-AU"/>
                <w14:ligatures w14:val="none"/>
              </w:rPr>
              <w:t>IP offices should share experience relating to different ICT project delivery models, including:</w:t>
            </w:r>
          </w:p>
          <w:p w14:paraId="1CB30DBE" w14:textId="4FC009B0" w:rsidR="005D39BC" w:rsidRPr="00110F3E" w:rsidRDefault="005D39BC" w:rsidP="00694EDA">
            <w:pPr>
              <w:pStyle w:val="ListParagraph"/>
              <w:numPr>
                <w:ilvl w:val="0"/>
                <w:numId w:val="16"/>
              </w:numPr>
              <w:spacing w:after="0" w:line="240" w:lineRule="auto"/>
              <w:ind w:left="720"/>
              <w:rPr>
                <w:rFonts w:ascii="Segoe UI" w:eastAsia="Times New Roman" w:hAnsi="Segoe UI" w:cs="Segoe UI"/>
                <w:kern w:val="0"/>
                <w:sz w:val="21"/>
                <w:szCs w:val="21"/>
                <w:lang w:eastAsia="en-AU"/>
                <w14:ligatures w14:val="none"/>
              </w:rPr>
            </w:pPr>
            <w:r w:rsidRPr="00110F3E">
              <w:rPr>
                <w:rFonts w:ascii="Segoe UI" w:eastAsia="Times New Roman" w:hAnsi="Segoe UI" w:cs="Segoe UI"/>
                <w:kern w:val="0"/>
                <w:sz w:val="21"/>
                <w:szCs w:val="21"/>
                <w:lang w:eastAsia="en-AU"/>
                <w14:ligatures w14:val="none"/>
              </w:rPr>
              <w:t>Internally run; and</w:t>
            </w:r>
          </w:p>
          <w:p w14:paraId="3FD9E009" w14:textId="746DB159" w:rsidR="005D39BC" w:rsidRPr="00110F3E" w:rsidRDefault="005D39BC" w:rsidP="00694EDA">
            <w:pPr>
              <w:pStyle w:val="ListParagraph"/>
              <w:numPr>
                <w:ilvl w:val="0"/>
                <w:numId w:val="16"/>
              </w:numPr>
              <w:spacing w:after="0" w:line="240" w:lineRule="auto"/>
              <w:ind w:left="720"/>
              <w:rPr>
                <w:rFonts w:ascii="Segoe UI" w:eastAsia="Times New Roman" w:hAnsi="Segoe UI" w:cs="Segoe UI"/>
                <w:kern w:val="0"/>
                <w:sz w:val="21"/>
                <w:szCs w:val="21"/>
                <w:lang w:eastAsia="en-AU"/>
                <w14:ligatures w14:val="none"/>
              </w:rPr>
            </w:pPr>
            <w:r w:rsidRPr="00110F3E">
              <w:rPr>
                <w:rFonts w:ascii="Segoe UI" w:eastAsia="Times New Roman" w:hAnsi="Segoe UI" w:cs="Segoe UI"/>
                <w:kern w:val="0"/>
                <w:sz w:val="21"/>
                <w:szCs w:val="21"/>
                <w:lang w:eastAsia="en-AU"/>
                <w14:ligatures w14:val="none"/>
              </w:rPr>
              <w:t>Provided by external service providers</w:t>
            </w:r>
          </w:p>
        </w:tc>
        <w:tc>
          <w:tcPr>
            <w:tcW w:w="1703" w:type="dxa"/>
            <w:tcBorders>
              <w:top w:val="single" w:sz="6" w:space="0" w:color="C1C7D0"/>
              <w:left w:val="single" w:sz="6" w:space="0" w:color="C1C7D0"/>
              <w:bottom w:val="single" w:sz="6" w:space="0" w:color="C1C7D0"/>
              <w:right w:val="single" w:sz="6" w:space="0" w:color="C1C7D0"/>
            </w:tcBorders>
            <w:shd w:val="clear" w:color="auto" w:fill="FFFFFF"/>
          </w:tcPr>
          <w:p w14:paraId="44D506DC" w14:textId="766BACCC" w:rsidR="005D39BC" w:rsidRPr="00110F3E" w:rsidRDefault="005D39BC" w:rsidP="005D39BC">
            <w:pPr>
              <w:spacing w:after="0" w:line="240" w:lineRule="auto"/>
              <w:ind w:left="91"/>
              <w:rPr>
                <w:rFonts w:ascii="Segoe UI" w:eastAsia="Times New Roman" w:hAnsi="Segoe UI" w:cs="Segoe UI"/>
                <w:kern w:val="0"/>
                <w:sz w:val="21"/>
                <w:szCs w:val="21"/>
                <w:lang w:eastAsia="en-AU"/>
                <w14:ligatures w14:val="none"/>
              </w:rPr>
            </w:pPr>
            <w:r w:rsidRPr="00110F3E">
              <w:rPr>
                <w:rFonts w:ascii="Segoe UI" w:eastAsia="Times New Roman" w:hAnsi="Segoe UI" w:cs="Segoe UI"/>
                <w:kern w:val="0"/>
                <w:sz w:val="21"/>
                <w:szCs w:val="21"/>
                <w:lang w:eastAsia="en-AU"/>
                <w14:ligatures w14:val="none"/>
              </w:rPr>
              <w:t>Not applicable as this is new</w:t>
            </w:r>
          </w:p>
        </w:tc>
      </w:tr>
    </w:tbl>
    <w:p w14:paraId="63F07DED" w14:textId="73EE5ED0" w:rsidR="001B012E" w:rsidRPr="00110F3E" w:rsidRDefault="001B012E"/>
    <w:p w14:paraId="1AB84B40" w14:textId="2B2B8921" w:rsidR="006C50B9" w:rsidRPr="00110F3E" w:rsidRDefault="006C50B9"/>
    <w:p w14:paraId="40387747" w14:textId="22857848" w:rsidR="006C50B9" w:rsidRPr="00110F3E" w:rsidRDefault="006C50B9" w:rsidP="006C50B9">
      <w:pPr>
        <w:jc w:val="right"/>
      </w:pPr>
      <w:r w:rsidRPr="00110F3E">
        <w:t>[End of Annex and of document]</w:t>
      </w:r>
    </w:p>
    <w:sectPr w:rsidR="006C50B9" w:rsidRPr="00110F3E" w:rsidSect="006C50B9">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48FC7" w14:textId="77777777" w:rsidR="00C5552C" w:rsidRDefault="00C5552C" w:rsidP="007A6B90">
      <w:pPr>
        <w:spacing w:after="0" w:line="240" w:lineRule="auto"/>
      </w:pPr>
      <w:r>
        <w:separator/>
      </w:r>
    </w:p>
  </w:endnote>
  <w:endnote w:type="continuationSeparator" w:id="0">
    <w:p w14:paraId="775B770D" w14:textId="77777777" w:rsidR="00C5552C" w:rsidRDefault="00C5552C" w:rsidP="007A6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117C9" w14:textId="77777777" w:rsidR="009C325B" w:rsidRDefault="009C3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714EB" w14:textId="77777777" w:rsidR="009C325B" w:rsidRDefault="009C32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CA49" w14:textId="77777777" w:rsidR="009C325B" w:rsidRDefault="009C32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8E0A1" w14:textId="77777777" w:rsidR="00C5552C" w:rsidRDefault="00C5552C" w:rsidP="007A6B90">
      <w:pPr>
        <w:spacing w:after="0" w:line="240" w:lineRule="auto"/>
      </w:pPr>
      <w:r>
        <w:separator/>
      </w:r>
    </w:p>
  </w:footnote>
  <w:footnote w:type="continuationSeparator" w:id="0">
    <w:p w14:paraId="0B7862AC" w14:textId="77777777" w:rsidR="00C5552C" w:rsidRDefault="00C5552C" w:rsidP="007A6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55B8E" w14:textId="77777777" w:rsidR="009C325B" w:rsidRDefault="009C32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ABAB7" w14:textId="7936D761" w:rsidR="006C50B9" w:rsidRDefault="006C50B9" w:rsidP="006C50B9">
    <w:pPr>
      <w:pStyle w:val="Header"/>
      <w:jc w:val="right"/>
    </w:pPr>
    <w:r>
      <w:t>CWS/11/18</w:t>
    </w:r>
  </w:p>
  <w:p w14:paraId="47F1AE42" w14:textId="32F4C9CC" w:rsidR="006C50B9" w:rsidRDefault="006C50B9" w:rsidP="006C50B9">
    <w:pPr>
      <w:pStyle w:val="Header"/>
      <w:jc w:val="right"/>
    </w:pPr>
    <w:r>
      <w:t xml:space="preserve">Annex, page </w:t>
    </w:r>
    <w:r>
      <w:fldChar w:fldCharType="begin"/>
    </w:r>
    <w:r>
      <w:instrText xml:space="preserve"> PAGE   \* MERGEFORMAT </w:instrText>
    </w:r>
    <w:r>
      <w:fldChar w:fldCharType="separate"/>
    </w:r>
    <w:r>
      <w:rPr>
        <w:noProof/>
      </w:rPr>
      <w:t>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9F983" w14:textId="77777777" w:rsidR="006C50B9" w:rsidRDefault="006C50B9" w:rsidP="006C50B9">
    <w:pPr>
      <w:pStyle w:val="Header"/>
      <w:jc w:val="right"/>
    </w:pPr>
    <w:r>
      <w:t>CWS/11/18</w:t>
    </w:r>
  </w:p>
  <w:p w14:paraId="0585DC5A" w14:textId="77777777" w:rsidR="006C50B9" w:rsidRDefault="006C50B9" w:rsidP="006C50B9">
    <w:pPr>
      <w:pStyle w:val="Header"/>
      <w:jc w:val="right"/>
    </w:pPr>
    <w:r>
      <w:t>ANNEX</w:t>
    </w:r>
  </w:p>
  <w:p w14:paraId="0A98B774" w14:textId="77777777" w:rsidR="006C50B9" w:rsidRDefault="006C50B9" w:rsidP="006C50B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983"/>
    <w:multiLevelType w:val="multilevel"/>
    <w:tmpl w:val="D4AECC4A"/>
    <w:lvl w:ilvl="0">
      <w:start w:val="1"/>
      <w:numFmt w:val="lowerRoman"/>
      <w:lvlText w:val="%1."/>
      <w:lvlJc w:val="right"/>
      <w:pPr>
        <w:tabs>
          <w:tab w:val="num" w:pos="720"/>
        </w:tabs>
        <w:ind w:left="720" w:hanging="360"/>
      </w:pPr>
      <w:rPr>
        <w:rFonts w:hint="default"/>
        <w:sz w:val="20"/>
      </w:rPr>
    </w:lvl>
    <w:lvl w:ilvl="1">
      <w:start w:val="1"/>
      <w:numFmt w:val="lowerRoman"/>
      <w:lvlText w:val="%2."/>
      <w:lvlJc w:val="righ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EE2AEC"/>
    <w:multiLevelType w:val="hybridMultilevel"/>
    <w:tmpl w:val="A9E67B60"/>
    <w:lvl w:ilvl="0" w:tplc="277870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8B17D7"/>
    <w:multiLevelType w:val="multilevel"/>
    <w:tmpl w:val="908E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56665D"/>
    <w:multiLevelType w:val="multilevel"/>
    <w:tmpl w:val="13760C9C"/>
    <w:lvl w:ilvl="0">
      <w:start w:val="1"/>
      <w:numFmt w:val="lowerLetter"/>
      <w:lvlText w:val="(%1)"/>
      <w:lvlJc w:val="left"/>
      <w:pPr>
        <w:tabs>
          <w:tab w:val="num" w:pos="720"/>
        </w:tabs>
        <w:ind w:left="720" w:hanging="360"/>
      </w:pPr>
      <w:rPr>
        <w:rFonts w:hint="default"/>
        <w:sz w:val="20"/>
      </w:rPr>
    </w:lvl>
    <w:lvl w:ilvl="1">
      <w:start w:val="1"/>
      <w:numFmt w:val="lowerRoman"/>
      <w:lvlText w:val="%2."/>
      <w:lvlJc w:val="righ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D7348A"/>
    <w:multiLevelType w:val="multilevel"/>
    <w:tmpl w:val="89FE363A"/>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E66F09"/>
    <w:multiLevelType w:val="hybridMultilevel"/>
    <w:tmpl w:val="0288674A"/>
    <w:lvl w:ilvl="0" w:tplc="277870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F95DDE"/>
    <w:multiLevelType w:val="multilevel"/>
    <w:tmpl w:val="CAA8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5B62E9"/>
    <w:multiLevelType w:val="multilevel"/>
    <w:tmpl w:val="243425B0"/>
    <w:lvl w:ilvl="0">
      <w:start w:val="1"/>
      <w:numFmt w:val="lowerLetter"/>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34B37497"/>
    <w:multiLevelType w:val="hybridMultilevel"/>
    <w:tmpl w:val="2F9CF10E"/>
    <w:lvl w:ilvl="0" w:tplc="277870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05392"/>
    <w:multiLevelType w:val="multilevel"/>
    <w:tmpl w:val="7F1AA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F36E07"/>
    <w:multiLevelType w:val="hybridMultilevel"/>
    <w:tmpl w:val="809E9664"/>
    <w:lvl w:ilvl="0" w:tplc="277870B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D965239"/>
    <w:multiLevelType w:val="multilevel"/>
    <w:tmpl w:val="4D3A29BC"/>
    <w:lvl w:ilvl="0">
      <w:start w:val="1"/>
      <w:numFmt w:val="lowerLetter"/>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490929DD"/>
    <w:multiLevelType w:val="multilevel"/>
    <w:tmpl w:val="68CCC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300D26"/>
    <w:multiLevelType w:val="multilevel"/>
    <w:tmpl w:val="89FE363A"/>
    <w:lvl w:ilvl="0">
      <w:start w:val="1"/>
      <w:numFmt w:val="lowerLetter"/>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6B02FB"/>
    <w:multiLevelType w:val="multilevel"/>
    <w:tmpl w:val="9DAA0A10"/>
    <w:lvl w:ilvl="0">
      <w:start w:val="1"/>
      <w:numFmt w:val="lowerLetter"/>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5B0810DE"/>
    <w:multiLevelType w:val="hybridMultilevel"/>
    <w:tmpl w:val="8B8E526E"/>
    <w:lvl w:ilvl="0" w:tplc="277870B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7E8056A"/>
    <w:multiLevelType w:val="multilevel"/>
    <w:tmpl w:val="141A8D68"/>
    <w:lvl w:ilvl="0">
      <w:start w:val="1"/>
      <w:numFmt w:val="lowerLetter"/>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6CA67B45"/>
    <w:multiLevelType w:val="hybridMultilevel"/>
    <w:tmpl w:val="B2C24CE4"/>
    <w:lvl w:ilvl="0" w:tplc="277870B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672E6"/>
    <w:multiLevelType w:val="multilevel"/>
    <w:tmpl w:val="FE6ABD1C"/>
    <w:lvl w:ilvl="0">
      <w:start w:val="1"/>
      <w:numFmt w:val="lowerLetter"/>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7C68016B"/>
    <w:multiLevelType w:val="hybridMultilevel"/>
    <w:tmpl w:val="6D62EC1E"/>
    <w:lvl w:ilvl="0" w:tplc="04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7D6E32E4"/>
    <w:multiLevelType w:val="hybridMultilevel"/>
    <w:tmpl w:val="35F8CE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7E9E4B03"/>
    <w:multiLevelType w:val="multilevel"/>
    <w:tmpl w:val="45AE726A"/>
    <w:lvl w:ilvl="0">
      <w:start w:val="1"/>
      <w:numFmt w:val="lowerLetter"/>
      <w:lvlText w:val="(%1)"/>
      <w:lvlJc w:val="left"/>
      <w:pPr>
        <w:tabs>
          <w:tab w:val="num" w:pos="720"/>
        </w:tabs>
        <w:ind w:left="720" w:hanging="360"/>
      </w:pPr>
      <w:rPr>
        <w:rFonts w:hint="default"/>
        <w:sz w:val="20"/>
      </w:rPr>
    </w:lvl>
    <w:lvl w:ilvl="1">
      <w:start w:val="1"/>
      <w:numFmt w:val="lowerRoman"/>
      <w:lvlText w:val="%2."/>
      <w:lvlJc w:val="righ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6372767">
    <w:abstractNumId w:val="6"/>
  </w:num>
  <w:num w:numId="2" w16cid:durableId="765689432">
    <w:abstractNumId w:val="12"/>
  </w:num>
  <w:num w:numId="3" w16cid:durableId="1520657688">
    <w:abstractNumId w:val="9"/>
  </w:num>
  <w:num w:numId="4" w16cid:durableId="76362979">
    <w:abstractNumId w:val="13"/>
  </w:num>
  <w:num w:numId="5" w16cid:durableId="755517273">
    <w:abstractNumId w:val="18"/>
  </w:num>
  <w:num w:numId="6" w16cid:durableId="1915432913">
    <w:abstractNumId w:val="14"/>
  </w:num>
  <w:num w:numId="7" w16cid:durableId="441923311">
    <w:abstractNumId w:val="2"/>
  </w:num>
  <w:num w:numId="8" w16cid:durableId="384791439">
    <w:abstractNumId w:val="20"/>
  </w:num>
  <w:num w:numId="9" w16cid:durableId="1882013673">
    <w:abstractNumId w:val="16"/>
  </w:num>
  <w:num w:numId="10" w16cid:durableId="1141263398">
    <w:abstractNumId w:val="7"/>
  </w:num>
  <w:num w:numId="11" w16cid:durableId="1199052595">
    <w:abstractNumId w:val="4"/>
  </w:num>
  <w:num w:numId="12" w16cid:durableId="1273321087">
    <w:abstractNumId w:val="3"/>
  </w:num>
  <w:num w:numId="13" w16cid:durableId="500512163">
    <w:abstractNumId w:val="15"/>
  </w:num>
  <w:num w:numId="14" w16cid:durableId="650018024">
    <w:abstractNumId w:val="11"/>
  </w:num>
  <w:num w:numId="15" w16cid:durableId="1191185025">
    <w:abstractNumId w:val="1"/>
  </w:num>
  <w:num w:numId="16" w16cid:durableId="385185097">
    <w:abstractNumId w:val="19"/>
  </w:num>
  <w:num w:numId="17" w16cid:durableId="1765297384">
    <w:abstractNumId w:val="5"/>
  </w:num>
  <w:num w:numId="18" w16cid:durableId="739332065">
    <w:abstractNumId w:val="8"/>
  </w:num>
  <w:num w:numId="19" w16cid:durableId="1617372298">
    <w:abstractNumId w:val="17"/>
  </w:num>
  <w:num w:numId="20" w16cid:durableId="1591811902">
    <w:abstractNumId w:val="10"/>
  </w:num>
  <w:num w:numId="21" w16cid:durableId="2078355202">
    <w:abstractNumId w:val="21"/>
  </w:num>
  <w:num w:numId="22" w16cid:durableId="1924803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08E"/>
    <w:rsid w:val="00055AA0"/>
    <w:rsid w:val="0006740F"/>
    <w:rsid w:val="000A4BB8"/>
    <w:rsid w:val="000D4D86"/>
    <w:rsid w:val="000D5DBF"/>
    <w:rsid w:val="00110F3E"/>
    <w:rsid w:val="001611C8"/>
    <w:rsid w:val="001B012E"/>
    <w:rsid w:val="001B176F"/>
    <w:rsid w:val="001B708E"/>
    <w:rsid w:val="001C5FED"/>
    <w:rsid w:val="001C6C05"/>
    <w:rsid w:val="00242610"/>
    <w:rsid w:val="002547E6"/>
    <w:rsid w:val="00275AF2"/>
    <w:rsid w:val="00286A63"/>
    <w:rsid w:val="002C1443"/>
    <w:rsid w:val="002C1D3F"/>
    <w:rsid w:val="0030438C"/>
    <w:rsid w:val="003361C9"/>
    <w:rsid w:val="00337C38"/>
    <w:rsid w:val="00366981"/>
    <w:rsid w:val="003B1671"/>
    <w:rsid w:val="00410ABB"/>
    <w:rsid w:val="00466EA5"/>
    <w:rsid w:val="004972AB"/>
    <w:rsid w:val="004A71C7"/>
    <w:rsid w:val="0052129E"/>
    <w:rsid w:val="00530743"/>
    <w:rsid w:val="00531C94"/>
    <w:rsid w:val="005A61C9"/>
    <w:rsid w:val="005C4F7A"/>
    <w:rsid w:val="005D39BC"/>
    <w:rsid w:val="005F4971"/>
    <w:rsid w:val="006043B6"/>
    <w:rsid w:val="00626B5E"/>
    <w:rsid w:val="00694EDA"/>
    <w:rsid w:val="006C1AFF"/>
    <w:rsid w:val="006C50B9"/>
    <w:rsid w:val="006F370A"/>
    <w:rsid w:val="0078717A"/>
    <w:rsid w:val="00795F6F"/>
    <w:rsid w:val="007A6B90"/>
    <w:rsid w:val="007B0BA9"/>
    <w:rsid w:val="007C171E"/>
    <w:rsid w:val="0088396F"/>
    <w:rsid w:val="008A7AF2"/>
    <w:rsid w:val="00904962"/>
    <w:rsid w:val="009221C2"/>
    <w:rsid w:val="00945643"/>
    <w:rsid w:val="00986BF6"/>
    <w:rsid w:val="00992E9A"/>
    <w:rsid w:val="009C325B"/>
    <w:rsid w:val="009C45CB"/>
    <w:rsid w:val="00A251BE"/>
    <w:rsid w:val="00A6219A"/>
    <w:rsid w:val="00AE4ABF"/>
    <w:rsid w:val="00B827A8"/>
    <w:rsid w:val="00B854D8"/>
    <w:rsid w:val="00BB0F61"/>
    <w:rsid w:val="00BD574A"/>
    <w:rsid w:val="00C2580E"/>
    <w:rsid w:val="00C41F76"/>
    <w:rsid w:val="00C5552C"/>
    <w:rsid w:val="00C721B1"/>
    <w:rsid w:val="00C80D8E"/>
    <w:rsid w:val="00D06ACA"/>
    <w:rsid w:val="00D22CF8"/>
    <w:rsid w:val="00DA0122"/>
    <w:rsid w:val="00DA0C4C"/>
    <w:rsid w:val="00DE76ED"/>
    <w:rsid w:val="00DF7637"/>
    <w:rsid w:val="00E02541"/>
    <w:rsid w:val="00E262A7"/>
    <w:rsid w:val="00E615D5"/>
    <w:rsid w:val="00EC46BA"/>
    <w:rsid w:val="00EF01F6"/>
    <w:rsid w:val="00F03AD6"/>
    <w:rsid w:val="00F0617F"/>
    <w:rsid w:val="00F425D8"/>
    <w:rsid w:val="00FA099F"/>
    <w:rsid w:val="00FC00B6"/>
    <w:rsid w:val="00FC7C67"/>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BED1"/>
  <w15:chartTrackingRefBased/>
  <w15:docId w15:val="{8DF40653-6F57-45C3-8619-A664E30F2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F370A"/>
    <w:pPr>
      <w:keepNext/>
      <w:spacing w:before="240" w:after="60"/>
      <w:outlineLvl w:val="0"/>
    </w:pPr>
    <w:rPr>
      <w:rFonts w:eastAsia="SimSun"/>
      <w:b/>
      <w:bCs/>
      <w:caps/>
      <w:kern w:val="32"/>
      <w:szCs w:val="3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2CF8"/>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Strong">
    <w:name w:val="Strong"/>
    <w:basedOn w:val="DefaultParagraphFont"/>
    <w:uiPriority w:val="22"/>
    <w:qFormat/>
    <w:rsid w:val="00D22CF8"/>
    <w:rPr>
      <w:b/>
      <w:bCs/>
    </w:rPr>
  </w:style>
  <w:style w:type="character" w:styleId="Emphasis">
    <w:name w:val="Emphasis"/>
    <w:basedOn w:val="DefaultParagraphFont"/>
    <w:uiPriority w:val="20"/>
    <w:qFormat/>
    <w:rsid w:val="00D22CF8"/>
    <w:rPr>
      <w:i/>
      <w:iCs/>
    </w:rPr>
  </w:style>
  <w:style w:type="paragraph" w:styleId="Revision">
    <w:name w:val="Revision"/>
    <w:hidden/>
    <w:uiPriority w:val="99"/>
    <w:semiHidden/>
    <w:rsid w:val="00D22CF8"/>
    <w:pPr>
      <w:spacing w:after="0" w:line="240" w:lineRule="auto"/>
    </w:pPr>
  </w:style>
  <w:style w:type="character" w:styleId="CommentReference">
    <w:name w:val="annotation reference"/>
    <w:basedOn w:val="DefaultParagraphFont"/>
    <w:uiPriority w:val="99"/>
    <w:semiHidden/>
    <w:unhideWhenUsed/>
    <w:rsid w:val="004A71C7"/>
    <w:rPr>
      <w:sz w:val="16"/>
      <w:szCs w:val="16"/>
    </w:rPr>
  </w:style>
  <w:style w:type="paragraph" w:styleId="CommentText">
    <w:name w:val="annotation text"/>
    <w:basedOn w:val="Normal"/>
    <w:link w:val="CommentTextChar"/>
    <w:uiPriority w:val="99"/>
    <w:unhideWhenUsed/>
    <w:rsid w:val="004A71C7"/>
    <w:pPr>
      <w:spacing w:line="240" w:lineRule="auto"/>
    </w:pPr>
    <w:rPr>
      <w:sz w:val="20"/>
      <w:szCs w:val="20"/>
    </w:rPr>
  </w:style>
  <w:style w:type="character" w:customStyle="1" w:styleId="CommentTextChar">
    <w:name w:val="Comment Text Char"/>
    <w:basedOn w:val="DefaultParagraphFont"/>
    <w:link w:val="CommentText"/>
    <w:uiPriority w:val="99"/>
    <w:rsid w:val="004A71C7"/>
    <w:rPr>
      <w:sz w:val="20"/>
      <w:szCs w:val="20"/>
    </w:rPr>
  </w:style>
  <w:style w:type="paragraph" w:styleId="CommentSubject">
    <w:name w:val="annotation subject"/>
    <w:basedOn w:val="CommentText"/>
    <w:next w:val="CommentText"/>
    <w:link w:val="CommentSubjectChar"/>
    <w:uiPriority w:val="99"/>
    <w:semiHidden/>
    <w:unhideWhenUsed/>
    <w:rsid w:val="004A71C7"/>
    <w:rPr>
      <w:b/>
      <w:bCs/>
    </w:rPr>
  </w:style>
  <w:style w:type="character" w:customStyle="1" w:styleId="CommentSubjectChar">
    <w:name w:val="Comment Subject Char"/>
    <w:basedOn w:val="CommentTextChar"/>
    <w:link w:val="CommentSubject"/>
    <w:uiPriority w:val="99"/>
    <w:semiHidden/>
    <w:rsid w:val="004A71C7"/>
    <w:rPr>
      <w:b/>
      <w:bCs/>
      <w:sz w:val="20"/>
      <w:szCs w:val="20"/>
    </w:rPr>
  </w:style>
  <w:style w:type="paragraph" w:styleId="ListParagraph">
    <w:name w:val="List Paragraph"/>
    <w:basedOn w:val="Normal"/>
    <w:uiPriority w:val="34"/>
    <w:qFormat/>
    <w:rsid w:val="005A61C9"/>
    <w:pPr>
      <w:ind w:left="720"/>
      <w:contextualSpacing/>
    </w:pPr>
  </w:style>
  <w:style w:type="paragraph" w:styleId="Header">
    <w:name w:val="header"/>
    <w:basedOn w:val="Normal"/>
    <w:link w:val="HeaderChar"/>
    <w:uiPriority w:val="99"/>
    <w:unhideWhenUsed/>
    <w:rsid w:val="007A6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B90"/>
  </w:style>
  <w:style w:type="paragraph" w:styleId="Footer">
    <w:name w:val="footer"/>
    <w:basedOn w:val="Normal"/>
    <w:link w:val="FooterChar"/>
    <w:uiPriority w:val="99"/>
    <w:unhideWhenUsed/>
    <w:rsid w:val="007A6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B90"/>
  </w:style>
  <w:style w:type="character" w:customStyle="1" w:styleId="Heading1Char">
    <w:name w:val="Heading 1 Char"/>
    <w:basedOn w:val="DefaultParagraphFont"/>
    <w:link w:val="Heading1"/>
    <w:rsid w:val="006F370A"/>
    <w:rPr>
      <w:rFonts w:eastAsia="SimSun"/>
      <w:b/>
      <w:bCs/>
      <w:caps/>
      <w:kern w:val="32"/>
      <w:szCs w:val="3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388705">
      <w:bodyDiv w:val="1"/>
      <w:marLeft w:val="0"/>
      <w:marRight w:val="0"/>
      <w:marTop w:val="0"/>
      <w:marBottom w:val="0"/>
      <w:divBdr>
        <w:top w:val="none" w:sz="0" w:space="0" w:color="auto"/>
        <w:left w:val="none" w:sz="0" w:space="0" w:color="auto"/>
        <w:bottom w:val="none" w:sz="0" w:space="0" w:color="auto"/>
        <w:right w:val="none" w:sz="0" w:space="0" w:color="auto"/>
      </w:divBdr>
      <w:divsChild>
        <w:div w:id="891575190">
          <w:marLeft w:val="0"/>
          <w:marRight w:val="0"/>
          <w:marTop w:val="0"/>
          <w:marBottom w:val="0"/>
          <w:divBdr>
            <w:top w:val="none" w:sz="0" w:space="0" w:color="auto"/>
            <w:left w:val="none" w:sz="0" w:space="0" w:color="auto"/>
            <w:bottom w:val="none" w:sz="0" w:space="0" w:color="auto"/>
            <w:right w:val="none" w:sz="0" w:space="0" w:color="auto"/>
          </w:divBdr>
        </w:div>
        <w:div w:id="776867855">
          <w:marLeft w:val="0"/>
          <w:marRight w:val="0"/>
          <w:marTop w:val="0"/>
          <w:marBottom w:val="0"/>
          <w:divBdr>
            <w:top w:val="none" w:sz="0" w:space="0" w:color="auto"/>
            <w:left w:val="none" w:sz="0" w:space="0" w:color="auto"/>
            <w:bottom w:val="none" w:sz="0" w:space="0" w:color="auto"/>
            <w:right w:val="none" w:sz="0" w:space="0" w:color="auto"/>
          </w:divBdr>
        </w:div>
        <w:div w:id="192110899">
          <w:marLeft w:val="0"/>
          <w:marRight w:val="0"/>
          <w:marTop w:val="0"/>
          <w:marBottom w:val="0"/>
          <w:divBdr>
            <w:top w:val="none" w:sz="0" w:space="0" w:color="auto"/>
            <w:left w:val="none" w:sz="0" w:space="0" w:color="auto"/>
            <w:bottom w:val="none" w:sz="0" w:space="0" w:color="auto"/>
            <w:right w:val="none" w:sz="0" w:space="0" w:color="auto"/>
          </w:divBdr>
        </w:div>
        <w:div w:id="127940582">
          <w:marLeft w:val="0"/>
          <w:marRight w:val="0"/>
          <w:marTop w:val="0"/>
          <w:marBottom w:val="0"/>
          <w:divBdr>
            <w:top w:val="none" w:sz="0" w:space="0" w:color="auto"/>
            <w:left w:val="none" w:sz="0" w:space="0" w:color="auto"/>
            <w:bottom w:val="none" w:sz="0" w:space="0" w:color="auto"/>
            <w:right w:val="none" w:sz="0" w:space="0" w:color="auto"/>
          </w:divBdr>
        </w:div>
        <w:div w:id="505481005">
          <w:marLeft w:val="0"/>
          <w:marRight w:val="0"/>
          <w:marTop w:val="0"/>
          <w:marBottom w:val="0"/>
          <w:divBdr>
            <w:top w:val="none" w:sz="0" w:space="0" w:color="auto"/>
            <w:left w:val="none" w:sz="0" w:space="0" w:color="auto"/>
            <w:bottom w:val="none" w:sz="0" w:space="0" w:color="auto"/>
            <w:right w:val="none" w:sz="0" w:space="0" w:color="auto"/>
          </w:divBdr>
        </w:div>
        <w:div w:id="1360473656">
          <w:marLeft w:val="0"/>
          <w:marRight w:val="0"/>
          <w:marTop w:val="0"/>
          <w:marBottom w:val="0"/>
          <w:divBdr>
            <w:top w:val="none" w:sz="0" w:space="0" w:color="auto"/>
            <w:left w:val="none" w:sz="0" w:space="0" w:color="auto"/>
            <w:bottom w:val="none" w:sz="0" w:space="0" w:color="auto"/>
            <w:right w:val="none" w:sz="0" w:space="0" w:color="auto"/>
          </w:divBdr>
        </w:div>
        <w:div w:id="494616888">
          <w:marLeft w:val="0"/>
          <w:marRight w:val="0"/>
          <w:marTop w:val="0"/>
          <w:marBottom w:val="0"/>
          <w:divBdr>
            <w:top w:val="none" w:sz="0" w:space="0" w:color="auto"/>
            <w:left w:val="none" w:sz="0" w:space="0" w:color="auto"/>
            <w:bottom w:val="none" w:sz="0" w:space="0" w:color="auto"/>
            <w:right w:val="none" w:sz="0" w:space="0" w:color="auto"/>
          </w:divBdr>
        </w:div>
        <w:div w:id="678966701">
          <w:marLeft w:val="0"/>
          <w:marRight w:val="0"/>
          <w:marTop w:val="0"/>
          <w:marBottom w:val="0"/>
          <w:divBdr>
            <w:top w:val="none" w:sz="0" w:space="0" w:color="auto"/>
            <w:left w:val="none" w:sz="0" w:space="0" w:color="auto"/>
            <w:bottom w:val="none" w:sz="0" w:space="0" w:color="auto"/>
            <w:right w:val="none" w:sz="0" w:space="0" w:color="auto"/>
          </w:divBdr>
        </w:div>
        <w:div w:id="917440824">
          <w:marLeft w:val="0"/>
          <w:marRight w:val="0"/>
          <w:marTop w:val="0"/>
          <w:marBottom w:val="0"/>
          <w:divBdr>
            <w:top w:val="none" w:sz="0" w:space="0" w:color="auto"/>
            <w:left w:val="none" w:sz="0" w:space="0" w:color="auto"/>
            <w:bottom w:val="none" w:sz="0" w:space="0" w:color="auto"/>
            <w:right w:val="none" w:sz="0" w:space="0" w:color="auto"/>
          </w:divBdr>
        </w:div>
        <w:div w:id="930242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09782-CD07-4B8F-A892-F989EE824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WIPO</dc:creator>
  <cp:keywords/>
  <dc:description/>
  <cp:lastModifiedBy>SEILER Joséphine</cp:lastModifiedBy>
  <cp:revision>3</cp:revision>
  <cp:lastPrinted>2023-11-02T15:35:00Z</cp:lastPrinted>
  <dcterms:created xsi:type="dcterms:W3CDTF">2023-11-02T15:32:00Z</dcterms:created>
  <dcterms:modified xsi:type="dcterms:W3CDTF">2023-11-02T15:42:00Z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2023-10-24T08:24:38Z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e45960c8-a91f-4543-9a99-f4fafc12d32e</vt:lpwstr>
  </property>
  <property fmtid="{D5CDD505-2E9C-101B-9397-08002B2CF9AE}" pid="8" name="MSIP_Label_20773ee6-353b-4fb9-a59d-0b94c8c67bea_ContentBits">
    <vt:lpwstr>0</vt:lpwstr>
  </property>
</Properties>
</file>