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569F" w14:textId="77777777" w:rsidR="008B2CC1" w:rsidRPr="008B2CC1" w:rsidRDefault="00873EE5" w:rsidP="00F11D94">
      <w:pPr>
        <w:spacing w:after="120"/>
        <w:jc w:val="right"/>
      </w:pPr>
      <w:r>
        <w:rPr>
          <w:noProof/>
          <w:sz w:val="28"/>
          <w:szCs w:val="28"/>
          <w:lang w:eastAsia="en-US"/>
        </w:rPr>
        <w:drawing>
          <wp:inline distT="0" distB="0" distL="0" distR="0" wp14:anchorId="4C9029CD" wp14:editId="51A08DB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7698312" wp14:editId="45D5F7F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C5FEB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5464F5B7" w14:textId="77777777"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65686">
        <w:rPr>
          <w:rFonts w:ascii="Arial Black" w:hAnsi="Arial Black"/>
          <w:caps/>
          <w:sz w:val="15"/>
          <w:szCs w:val="15"/>
        </w:rPr>
        <w:t>1</w:t>
      </w:r>
      <w:r>
        <w:rPr>
          <w:rFonts w:ascii="Arial Black" w:hAnsi="Arial Black"/>
          <w:caps/>
          <w:sz w:val="15"/>
          <w:szCs w:val="15"/>
        </w:rPr>
        <w:t>/</w:t>
      </w:r>
      <w:bookmarkStart w:id="0" w:name="Code"/>
      <w:bookmarkEnd w:id="0"/>
      <w:r w:rsidR="00971B85">
        <w:rPr>
          <w:rFonts w:ascii="Arial Black" w:hAnsi="Arial Black"/>
          <w:caps/>
          <w:sz w:val="15"/>
          <w:szCs w:val="15"/>
        </w:rPr>
        <w:t>23</w:t>
      </w:r>
      <w:r w:rsidR="008B4B5E">
        <w:rPr>
          <w:rFonts w:ascii="Arial Black" w:hAnsi="Arial Black"/>
          <w:caps/>
          <w:sz w:val="15"/>
          <w:szCs w:val="15"/>
        </w:rPr>
        <w:t xml:space="preserve"> </w:t>
      </w:r>
    </w:p>
    <w:p w14:paraId="40335329"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71B85">
        <w:rPr>
          <w:rFonts w:ascii="Arial Black" w:hAnsi="Arial Black"/>
          <w:caps/>
          <w:sz w:val="15"/>
          <w:szCs w:val="15"/>
        </w:rPr>
        <w:t>English</w:t>
      </w:r>
    </w:p>
    <w:bookmarkEnd w:id="1"/>
    <w:p w14:paraId="0C0A1208" w14:textId="67D2C8A3"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9A7C50">
        <w:rPr>
          <w:rFonts w:ascii="Arial Black" w:hAnsi="Arial Black"/>
          <w:caps/>
          <w:sz w:val="15"/>
          <w:szCs w:val="15"/>
        </w:rPr>
        <w:t>november 6</w:t>
      </w:r>
      <w:r w:rsidR="0075089F">
        <w:rPr>
          <w:rFonts w:ascii="Arial Black" w:hAnsi="Arial Black"/>
          <w:caps/>
          <w:sz w:val="15"/>
          <w:szCs w:val="15"/>
        </w:rPr>
        <w:t>, 2023</w:t>
      </w:r>
    </w:p>
    <w:bookmarkEnd w:id="2"/>
    <w:p w14:paraId="796270FA" w14:textId="77777777" w:rsidR="008B2CC1" w:rsidRPr="000817DB" w:rsidRDefault="000817DB" w:rsidP="00CE65D4">
      <w:pPr>
        <w:spacing w:after="600"/>
        <w:rPr>
          <w:b/>
          <w:sz w:val="28"/>
          <w:szCs w:val="28"/>
        </w:rPr>
      </w:pPr>
      <w:r w:rsidRPr="000817DB">
        <w:rPr>
          <w:b/>
          <w:sz w:val="28"/>
          <w:szCs w:val="28"/>
        </w:rPr>
        <w:t>Committee on WIPO Standards (CWS)</w:t>
      </w:r>
    </w:p>
    <w:p w14:paraId="5095303D" w14:textId="77777777" w:rsidR="008B2CC1" w:rsidRPr="000817DB" w:rsidRDefault="00F65686" w:rsidP="008B2CC1">
      <w:pPr>
        <w:rPr>
          <w:b/>
          <w:sz w:val="28"/>
          <w:szCs w:val="24"/>
        </w:rPr>
      </w:pPr>
      <w:r>
        <w:rPr>
          <w:b/>
          <w:sz w:val="24"/>
        </w:rPr>
        <w:t>Elev</w:t>
      </w:r>
      <w:r w:rsidR="000817DB" w:rsidRPr="000817DB">
        <w:rPr>
          <w:b/>
          <w:sz w:val="24"/>
        </w:rPr>
        <w:t>enth Session</w:t>
      </w:r>
    </w:p>
    <w:p w14:paraId="06687319" w14:textId="77777777" w:rsidR="008B2CC1" w:rsidRPr="000817DB" w:rsidRDefault="000817DB" w:rsidP="00CE65D4">
      <w:pPr>
        <w:spacing w:after="720"/>
        <w:rPr>
          <w:sz w:val="24"/>
        </w:rPr>
      </w:pPr>
      <w:r w:rsidRPr="000817DB">
        <w:rPr>
          <w:b/>
          <w:sz w:val="24"/>
        </w:rPr>
        <w:t xml:space="preserve">Geneva, </w:t>
      </w:r>
      <w:r w:rsidR="00237381">
        <w:rPr>
          <w:b/>
          <w:sz w:val="24"/>
        </w:rPr>
        <w:t>December</w:t>
      </w:r>
      <w:r w:rsidRPr="000817DB">
        <w:rPr>
          <w:b/>
          <w:sz w:val="24"/>
        </w:rPr>
        <w:t xml:space="preserve"> </w:t>
      </w:r>
      <w:r w:rsidR="00237381">
        <w:rPr>
          <w:b/>
          <w:sz w:val="24"/>
        </w:rPr>
        <w:t>4</w:t>
      </w:r>
      <w:r w:rsidRPr="000817DB">
        <w:rPr>
          <w:b/>
          <w:sz w:val="24"/>
        </w:rPr>
        <w:t xml:space="preserve"> to </w:t>
      </w:r>
      <w:r w:rsidR="00237381">
        <w:rPr>
          <w:b/>
          <w:sz w:val="24"/>
        </w:rPr>
        <w:t>8</w:t>
      </w:r>
      <w:r w:rsidRPr="000817DB">
        <w:rPr>
          <w:b/>
          <w:sz w:val="24"/>
        </w:rPr>
        <w:t>, 202</w:t>
      </w:r>
      <w:r w:rsidR="00F65686">
        <w:rPr>
          <w:b/>
          <w:sz w:val="24"/>
        </w:rPr>
        <w:t>3</w:t>
      </w:r>
    </w:p>
    <w:p w14:paraId="70143EE0" w14:textId="77777777" w:rsidR="008B2CC1" w:rsidRPr="00620CB4" w:rsidRDefault="00620CB4" w:rsidP="00620CB4">
      <w:pPr>
        <w:pStyle w:val="Heading1"/>
        <w:spacing w:after="360"/>
        <w:rPr>
          <w:b w:val="0"/>
          <w:bCs w:val="0"/>
        </w:rPr>
      </w:pPr>
      <w:bookmarkStart w:id="3" w:name="TitleOfDoc"/>
      <w:r>
        <w:rPr>
          <w:b w:val="0"/>
          <w:bCs w:val="0"/>
        </w:rPr>
        <w:t>Propos</w:t>
      </w:r>
      <w:r w:rsidR="00E35357">
        <w:rPr>
          <w:b w:val="0"/>
          <w:bCs w:val="0"/>
        </w:rPr>
        <w:t>al for the</w:t>
      </w:r>
      <w:r>
        <w:rPr>
          <w:b w:val="0"/>
          <w:bCs w:val="0"/>
        </w:rPr>
        <w:t xml:space="preserve"> guidelines for the data cleaning of names</w:t>
      </w:r>
    </w:p>
    <w:p w14:paraId="53BD0B70" w14:textId="77777777" w:rsidR="008B2CC1" w:rsidRPr="0029753D" w:rsidRDefault="0029753D" w:rsidP="00CE65D4">
      <w:pPr>
        <w:spacing w:after="960"/>
        <w:rPr>
          <w:rFonts w:eastAsia="Malgun Gothic"/>
          <w:i/>
          <w:lang w:eastAsia="ko-KR"/>
        </w:rPr>
      </w:pPr>
      <w:bookmarkStart w:id="4" w:name="Prepared"/>
      <w:bookmarkEnd w:id="3"/>
      <w:r>
        <w:rPr>
          <w:rFonts w:eastAsia="Malgun Gothic" w:hint="eastAsia"/>
          <w:i/>
          <w:lang w:eastAsia="ko-KR"/>
        </w:rPr>
        <w:t>D</w:t>
      </w:r>
      <w:r>
        <w:rPr>
          <w:rFonts w:eastAsia="Malgun Gothic"/>
          <w:i/>
          <w:lang w:eastAsia="ko-KR"/>
        </w:rPr>
        <w:t>ocument prepared by the Name Standardization Task Force Co-Leaders</w:t>
      </w:r>
    </w:p>
    <w:bookmarkEnd w:id="4"/>
    <w:p w14:paraId="166CAF77" w14:textId="77777777" w:rsidR="00363232" w:rsidRDefault="00363232" w:rsidP="00363232">
      <w:pPr>
        <w:pStyle w:val="Heading1"/>
        <w:spacing w:after="0"/>
        <w:rPr>
          <w:b w:val="0"/>
          <w:bCs w:val="0"/>
        </w:rPr>
      </w:pPr>
      <w:r>
        <w:rPr>
          <w:b w:val="0"/>
          <w:bCs w:val="0"/>
        </w:rPr>
        <w:t>BACKGROUND</w:t>
      </w:r>
    </w:p>
    <w:p w14:paraId="629431A9" w14:textId="3B05061A" w:rsidR="00601A20" w:rsidRDefault="00363232" w:rsidP="00601A20">
      <w:pPr>
        <w:spacing w:after="240"/>
        <w:rPr>
          <w:rFonts w:eastAsia="Malgun Gothic"/>
          <w:lang w:eastAsia="ko-KR"/>
        </w:rPr>
      </w:pPr>
      <w:r>
        <w:fldChar w:fldCharType="begin"/>
      </w:r>
      <w:r>
        <w:instrText xml:space="preserve"> AUTONUM  </w:instrText>
      </w:r>
      <w:r>
        <w:fldChar w:fldCharType="end"/>
      </w:r>
      <w:r>
        <w:tab/>
      </w:r>
      <w:r w:rsidR="005C5BCF">
        <w:t>At its fifth session of the Committee on WIPO Standards (CWS), held in 2017, a new Task was added to the CWS work program: Task No.55.  The Name Standardization Task Force was created at the same session and assigned this Task No. 55, the description of which was:</w:t>
      </w:r>
    </w:p>
    <w:p w14:paraId="7F7DD13D" w14:textId="77777777" w:rsidR="005C5BCF" w:rsidRDefault="005C5BCF" w:rsidP="005C5BCF">
      <w:pPr>
        <w:spacing w:after="240"/>
        <w:ind w:left="567"/>
      </w:pPr>
      <w:r>
        <w:t>“</w:t>
      </w:r>
      <w:r w:rsidRPr="005A6824">
        <w:rPr>
          <w:i/>
          <w:iCs/>
        </w:rPr>
        <w:t>Envisaging developing a WIPO standard assisting Industrial Property Offices (IPOs) in providing better “quality at source” in relation to applicant names, prepare a proposal for future actions aimed at the standardization of applicant names in IP documents and present it for consideration by the CWS.</w:t>
      </w:r>
      <w:r w:rsidRPr="005A6824">
        <w:t>”</w:t>
      </w:r>
      <w:r>
        <w:t xml:space="preserve"> </w:t>
      </w:r>
    </w:p>
    <w:p w14:paraId="662BB9A3" w14:textId="1A63C5B3" w:rsidR="005C5BCF" w:rsidRPr="004B38AB" w:rsidRDefault="005C5BCF" w:rsidP="004B38AB">
      <w:pPr>
        <w:spacing w:after="240"/>
        <w:ind w:left="567"/>
      </w:pPr>
      <w:r>
        <w:t>(See paragraphs 85</w:t>
      </w:r>
      <w:r w:rsidR="002955A7">
        <w:t xml:space="preserve"> to </w:t>
      </w:r>
      <w:r>
        <w:t>88 of document CWS/5/22</w:t>
      </w:r>
      <w:r w:rsidR="004B38AB">
        <w:t>.</w:t>
      </w:r>
      <w:r>
        <w:t xml:space="preserve">) </w:t>
      </w:r>
    </w:p>
    <w:p w14:paraId="6A41FA88" w14:textId="7245E26E" w:rsidR="00601A20" w:rsidRPr="00BF5506" w:rsidRDefault="00363232" w:rsidP="00601A20">
      <w:pPr>
        <w:pStyle w:val="ONUMFS"/>
        <w:numPr>
          <w:ilvl w:val="0"/>
          <w:numId w:val="0"/>
        </w:numPr>
        <w:rPr>
          <w:rFonts w:eastAsia="Malgun Gothic"/>
          <w:lang w:eastAsia="ko-KR"/>
        </w:rPr>
      </w:pPr>
      <w:r>
        <w:fldChar w:fldCharType="begin"/>
      </w:r>
      <w:r>
        <w:instrText xml:space="preserve"> AUTONUM  </w:instrText>
      </w:r>
      <w:r>
        <w:fldChar w:fldCharType="end"/>
      </w:r>
      <w:r>
        <w:tab/>
      </w:r>
      <w:r w:rsidR="00601A20" w:rsidRPr="00BF5506">
        <w:rPr>
          <w:rFonts w:eastAsia="Malgun Gothic"/>
          <w:lang w:eastAsia="ko-KR"/>
        </w:rPr>
        <w:t>At</w:t>
      </w:r>
      <w:r w:rsidR="00601A20" w:rsidRPr="00BF5506">
        <w:t xml:space="preserve"> </w:t>
      </w:r>
      <w:r w:rsidR="00601A20" w:rsidRPr="00BF5506">
        <w:rPr>
          <w:rFonts w:eastAsia="Malgun Gothic"/>
          <w:lang w:eastAsia="ko-KR"/>
        </w:rPr>
        <w:t>its</w:t>
      </w:r>
      <w:r w:rsidR="00601A20" w:rsidRPr="00BF5506">
        <w:t xml:space="preserve"> </w:t>
      </w:r>
      <w:r w:rsidR="00601A20" w:rsidRPr="00BF5506">
        <w:rPr>
          <w:rFonts w:eastAsia="Malgun Gothic"/>
          <w:lang w:eastAsia="ko-KR"/>
        </w:rPr>
        <w:t>seventh</w:t>
      </w:r>
      <w:r w:rsidR="00601A20" w:rsidRPr="00BF5506">
        <w:t xml:space="preserve"> </w:t>
      </w:r>
      <w:r w:rsidR="00601A20" w:rsidRPr="00BF5506">
        <w:rPr>
          <w:rFonts w:eastAsia="Malgun Gothic"/>
          <w:lang w:eastAsia="ko-KR"/>
        </w:rPr>
        <w:t>session</w:t>
      </w:r>
      <w:r w:rsidR="00601A20" w:rsidRPr="00BF5506">
        <w:t xml:space="preserve"> </w:t>
      </w:r>
      <w:r w:rsidR="00601A20" w:rsidRPr="00BF5506">
        <w:rPr>
          <w:rFonts w:eastAsia="Malgun Gothic"/>
          <w:lang w:eastAsia="ko-KR"/>
        </w:rPr>
        <w:t>in</w:t>
      </w:r>
      <w:r w:rsidR="00601A20" w:rsidRPr="00BF5506">
        <w:t xml:space="preserve"> </w:t>
      </w:r>
      <w:r w:rsidR="00601A20" w:rsidRPr="00BF5506">
        <w:rPr>
          <w:rFonts w:eastAsia="Malgun Gothic"/>
          <w:lang w:eastAsia="ko-KR"/>
        </w:rPr>
        <w:t>2019,</w:t>
      </w:r>
      <w:r w:rsidR="00601A20">
        <w:t xml:space="preserve"> the CWS noted that the Secretariat had circulated a survey on</w:t>
      </w:r>
      <w:r w:rsidR="005C5BCF">
        <w:t xml:space="preserve"> the</w:t>
      </w:r>
      <w:r w:rsidR="00601A20">
        <w:t xml:space="preserve"> use of identifiers for applicants by </w:t>
      </w:r>
      <w:r w:rsidR="00601A20">
        <w:rPr>
          <w:rFonts w:eastAsia="Malgun Gothic" w:hint="eastAsia"/>
          <w:lang w:eastAsia="ko-KR"/>
        </w:rPr>
        <w:t>Industrial</w:t>
      </w:r>
      <w:r w:rsidR="00601A20">
        <w:rPr>
          <w:rFonts w:eastAsia="Malgun Gothic"/>
          <w:lang w:eastAsia="ko-KR"/>
        </w:rPr>
        <w:t xml:space="preserve"> </w:t>
      </w:r>
      <w:r w:rsidR="00601A20">
        <w:rPr>
          <w:rFonts w:eastAsia="Malgun Gothic" w:hint="eastAsia"/>
          <w:lang w:eastAsia="ko-KR"/>
        </w:rPr>
        <w:t>Property</w:t>
      </w:r>
      <w:r w:rsidR="00601A20">
        <w:rPr>
          <w:rFonts w:eastAsia="Malgun Gothic"/>
          <w:lang w:eastAsia="ko-KR"/>
        </w:rPr>
        <w:t xml:space="preserve"> </w:t>
      </w:r>
      <w:r w:rsidR="00601A20">
        <w:rPr>
          <w:rFonts w:eastAsia="Malgun Gothic" w:hint="eastAsia"/>
          <w:lang w:eastAsia="ko-KR"/>
        </w:rPr>
        <w:t>Offices</w:t>
      </w:r>
      <w:r w:rsidR="00601A20">
        <w:rPr>
          <w:rFonts w:eastAsia="Malgun Gothic"/>
          <w:lang w:eastAsia="ko-KR"/>
        </w:rPr>
        <w:t xml:space="preserve"> </w:t>
      </w:r>
      <w:r w:rsidR="00601A20">
        <w:rPr>
          <w:rFonts w:eastAsia="Malgun Gothic" w:hint="eastAsia"/>
          <w:lang w:eastAsia="ko-KR"/>
        </w:rPr>
        <w:t>(IPOs)</w:t>
      </w:r>
      <w:r w:rsidR="00601A20">
        <w:rPr>
          <w:rFonts w:eastAsia="Malgun Gothic"/>
          <w:lang w:eastAsia="ko-KR"/>
        </w:rPr>
        <w:t xml:space="preserve"> in November 2018, as agreed at the sixth session of the CWS. </w:t>
      </w:r>
      <w:r w:rsidR="005C5BCF">
        <w:rPr>
          <w:rFonts w:eastAsia="Malgun Gothic"/>
          <w:lang w:eastAsia="ko-KR"/>
        </w:rPr>
        <w:t xml:space="preserve"> </w:t>
      </w:r>
      <w:r w:rsidR="00601A20">
        <w:rPr>
          <w:rFonts w:eastAsia="Malgun Gothic" w:hint="eastAsia"/>
          <w:lang w:eastAsia="ko-KR"/>
        </w:rPr>
        <w:t>S</w:t>
      </w:r>
      <w:r w:rsidR="00601A20">
        <w:rPr>
          <w:rFonts w:eastAsia="Malgun Gothic"/>
          <w:lang w:eastAsia="ko-KR"/>
        </w:rPr>
        <w:t xml:space="preserve">ince the survey on </w:t>
      </w:r>
      <w:r w:rsidR="005C5BCF">
        <w:rPr>
          <w:rFonts w:eastAsia="Malgun Gothic"/>
          <w:lang w:eastAsia="ko-KR"/>
        </w:rPr>
        <w:t xml:space="preserve">the </w:t>
      </w:r>
      <w:r w:rsidR="00601A20">
        <w:rPr>
          <w:rFonts w:eastAsia="Malgun Gothic"/>
          <w:lang w:eastAsia="ko-KR"/>
        </w:rPr>
        <w:t xml:space="preserve">use of identifiers was completed, the Task Force proposed to revise the description of Task No. 55 by </w:t>
      </w:r>
      <w:r w:rsidR="005C5BCF">
        <w:rPr>
          <w:rFonts w:eastAsia="Malgun Gothic"/>
          <w:lang w:eastAsia="ko-KR"/>
        </w:rPr>
        <w:t>reference to this</w:t>
      </w:r>
      <w:r w:rsidR="00601A20">
        <w:rPr>
          <w:rFonts w:eastAsia="Malgun Gothic"/>
          <w:lang w:eastAsia="ko-KR"/>
        </w:rPr>
        <w:t xml:space="preserve"> survey. </w:t>
      </w:r>
      <w:r w:rsidR="005C5BCF">
        <w:rPr>
          <w:rFonts w:eastAsia="Malgun Gothic"/>
          <w:lang w:eastAsia="ko-KR"/>
        </w:rPr>
        <w:t xml:space="preserve"> </w:t>
      </w:r>
      <w:r w:rsidR="00601A20">
        <w:rPr>
          <w:rFonts w:eastAsia="Malgun Gothic"/>
          <w:lang w:eastAsia="ko-KR"/>
        </w:rPr>
        <w:t>T</w:t>
      </w:r>
      <w:r w:rsidR="00601A20" w:rsidRPr="00BF5506">
        <w:rPr>
          <w:rFonts w:eastAsia="Malgun Gothic"/>
          <w:lang w:eastAsia="ko-KR"/>
        </w:rPr>
        <w:t>he</w:t>
      </w:r>
      <w:r w:rsidR="00601A20" w:rsidRPr="00BF5506">
        <w:t xml:space="preserve"> </w:t>
      </w:r>
      <w:r w:rsidR="00601A20" w:rsidRPr="00BF5506">
        <w:rPr>
          <w:rFonts w:eastAsia="Malgun Gothic"/>
          <w:lang w:eastAsia="ko-KR"/>
        </w:rPr>
        <w:t>CWS</w:t>
      </w:r>
      <w:r w:rsidR="00601A20" w:rsidRPr="00BF5506">
        <w:t xml:space="preserve"> </w:t>
      </w:r>
      <w:r w:rsidR="00601A20" w:rsidRPr="00BF5506">
        <w:rPr>
          <w:rFonts w:eastAsia="Malgun Gothic"/>
          <w:lang w:eastAsia="ko-KR"/>
        </w:rPr>
        <w:t>approved</w:t>
      </w:r>
      <w:r w:rsidR="00601A20" w:rsidRPr="00BF5506">
        <w:t xml:space="preserve"> </w:t>
      </w:r>
      <w:r w:rsidR="00601A20" w:rsidRPr="00BF5506">
        <w:rPr>
          <w:rFonts w:eastAsia="Malgun Gothic"/>
          <w:lang w:eastAsia="ko-KR"/>
        </w:rPr>
        <w:t>the</w:t>
      </w:r>
      <w:r w:rsidR="00601A20" w:rsidRPr="00BF5506">
        <w:t xml:space="preserve"> </w:t>
      </w:r>
      <w:r w:rsidR="00601A20" w:rsidRPr="00BF5506">
        <w:rPr>
          <w:rFonts w:eastAsia="Malgun Gothic"/>
          <w:lang w:eastAsia="ko-KR"/>
        </w:rPr>
        <w:t>revised</w:t>
      </w:r>
      <w:r w:rsidR="00601A20" w:rsidRPr="00BF5506">
        <w:t xml:space="preserve"> </w:t>
      </w:r>
      <w:r w:rsidR="00601A20" w:rsidRPr="00BF5506">
        <w:rPr>
          <w:rFonts w:eastAsia="Malgun Gothic"/>
          <w:lang w:eastAsia="ko-KR"/>
        </w:rPr>
        <w:t>description</w:t>
      </w:r>
      <w:r w:rsidR="00601A20" w:rsidRPr="00BF5506">
        <w:t xml:space="preserve"> </w:t>
      </w:r>
      <w:r w:rsidR="00601A20" w:rsidRPr="00BF5506">
        <w:rPr>
          <w:rFonts w:eastAsia="Malgun Gothic"/>
          <w:lang w:eastAsia="ko-KR"/>
        </w:rPr>
        <w:t>of</w:t>
      </w:r>
      <w:r w:rsidR="00601A20" w:rsidRPr="00BF5506">
        <w:t xml:space="preserve"> </w:t>
      </w:r>
      <w:r w:rsidR="00601A20" w:rsidRPr="00BF5506">
        <w:rPr>
          <w:rFonts w:eastAsia="Malgun Gothic"/>
          <w:lang w:eastAsia="ko-KR"/>
        </w:rPr>
        <w:t>Task</w:t>
      </w:r>
      <w:r w:rsidR="00601A20" w:rsidRPr="00BF5506">
        <w:t xml:space="preserve"> </w:t>
      </w:r>
      <w:r w:rsidR="00601A20" w:rsidRPr="00BF5506">
        <w:rPr>
          <w:rFonts w:eastAsia="Malgun Gothic"/>
          <w:lang w:eastAsia="ko-KR"/>
        </w:rPr>
        <w:t>No.</w:t>
      </w:r>
      <w:r w:rsidR="00601A20" w:rsidRPr="00BF5506">
        <w:t xml:space="preserve"> </w:t>
      </w:r>
      <w:r w:rsidR="00601A20" w:rsidRPr="00BF5506">
        <w:rPr>
          <w:rFonts w:eastAsia="Malgun Gothic"/>
          <w:lang w:eastAsia="ko-KR"/>
        </w:rPr>
        <w:t>55, whi</w:t>
      </w:r>
      <w:r w:rsidR="00601A20">
        <w:rPr>
          <w:rFonts w:eastAsia="Malgun Gothic" w:hint="eastAsia"/>
          <w:lang w:eastAsia="ko-KR"/>
        </w:rPr>
        <w:t>c</w:t>
      </w:r>
      <w:r w:rsidR="00601A20" w:rsidRPr="00BF5506">
        <w:rPr>
          <w:rFonts w:eastAsia="Malgun Gothic"/>
          <w:lang w:eastAsia="ko-KR"/>
        </w:rPr>
        <w:t xml:space="preserve">h </w:t>
      </w:r>
      <w:r w:rsidR="005C5BCF">
        <w:rPr>
          <w:rFonts w:eastAsia="Malgun Gothic"/>
          <w:lang w:eastAsia="ko-KR"/>
        </w:rPr>
        <w:t xml:space="preserve">now </w:t>
      </w:r>
      <w:r w:rsidR="00601A20" w:rsidRPr="00BF5506">
        <w:rPr>
          <w:rFonts w:eastAsia="Malgun Gothic"/>
          <w:lang w:eastAsia="ko-KR"/>
        </w:rPr>
        <w:t>reads:</w:t>
      </w:r>
    </w:p>
    <w:p w14:paraId="2423B0E7" w14:textId="77777777" w:rsidR="00280B75" w:rsidRDefault="00601A20" w:rsidP="00601A20">
      <w:pPr>
        <w:pStyle w:val="ONUMFS"/>
        <w:numPr>
          <w:ilvl w:val="0"/>
          <w:numId w:val="0"/>
        </w:numPr>
        <w:ind w:leftChars="200" w:left="440"/>
        <w:rPr>
          <w:rFonts w:eastAsia="Malgun Gothic"/>
          <w:i/>
          <w:lang w:eastAsia="ko-KR"/>
        </w:rPr>
      </w:pPr>
      <w:r w:rsidRPr="00AB581F">
        <w:rPr>
          <w:rFonts w:eastAsia="Malgun Gothic"/>
          <w:i/>
          <w:lang w:eastAsia="ko-KR"/>
        </w:rPr>
        <w:t>“Envisaging</w:t>
      </w:r>
      <w:r w:rsidRPr="00AB581F">
        <w:rPr>
          <w:i/>
        </w:rPr>
        <w:t xml:space="preserve"> </w:t>
      </w:r>
      <w:r w:rsidRPr="00AB581F">
        <w:rPr>
          <w:rFonts w:eastAsia="Malgun Gothic"/>
          <w:i/>
          <w:lang w:eastAsia="ko-KR"/>
        </w:rPr>
        <w:t>dev</w:t>
      </w:r>
      <w:r w:rsidRPr="00AB581F">
        <w:rPr>
          <w:rFonts w:eastAsia="Malgun Gothic" w:hint="eastAsia"/>
          <w:i/>
          <w:lang w:eastAsia="ko-KR"/>
        </w:rPr>
        <w:t>e</w:t>
      </w:r>
      <w:r w:rsidRPr="00AB581F">
        <w:rPr>
          <w:rFonts w:eastAsia="Malgun Gothic"/>
          <w:i/>
          <w:lang w:eastAsia="ko-KR"/>
        </w:rPr>
        <w:t>l</w:t>
      </w:r>
      <w:r w:rsidRPr="00AB581F">
        <w:rPr>
          <w:rFonts w:eastAsia="Malgun Gothic" w:hint="eastAsia"/>
          <w:i/>
          <w:lang w:eastAsia="ko-KR"/>
        </w:rPr>
        <w:t>o</w:t>
      </w:r>
      <w:r w:rsidRPr="00AB581F">
        <w:rPr>
          <w:rFonts w:eastAsia="Malgun Gothic"/>
          <w:i/>
          <w:lang w:eastAsia="ko-KR"/>
        </w:rPr>
        <w:t xml:space="preserve">ping </w:t>
      </w:r>
      <w:r w:rsidRPr="00AB581F">
        <w:rPr>
          <w:rFonts w:eastAsia="Malgun Gothic" w:hint="eastAsia"/>
          <w:i/>
          <w:lang w:eastAsia="ko-KR"/>
        </w:rPr>
        <w:t>a</w:t>
      </w:r>
      <w:r w:rsidRPr="00AB581F">
        <w:rPr>
          <w:rFonts w:eastAsia="Malgun Gothic"/>
          <w:i/>
          <w:lang w:eastAsia="ko-KR"/>
        </w:rPr>
        <w:t xml:space="preserve"> </w:t>
      </w:r>
      <w:r w:rsidRPr="00AB581F">
        <w:rPr>
          <w:rFonts w:eastAsia="Malgun Gothic" w:hint="eastAsia"/>
          <w:i/>
          <w:lang w:eastAsia="ko-KR"/>
        </w:rPr>
        <w:t>WIPO</w:t>
      </w:r>
      <w:r w:rsidRPr="00AB581F">
        <w:rPr>
          <w:rFonts w:eastAsia="Malgun Gothic"/>
          <w:i/>
          <w:lang w:eastAsia="ko-KR"/>
        </w:rPr>
        <w:t xml:space="preserve"> </w:t>
      </w:r>
      <w:r w:rsidRPr="00AB581F">
        <w:rPr>
          <w:rFonts w:eastAsia="Malgun Gothic" w:hint="eastAsia"/>
          <w:i/>
          <w:lang w:eastAsia="ko-KR"/>
        </w:rPr>
        <w:t>standard</w:t>
      </w:r>
      <w:r w:rsidRPr="00AB581F">
        <w:rPr>
          <w:rFonts w:eastAsia="Malgun Gothic"/>
          <w:i/>
          <w:lang w:eastAsia="ko-KR"/>
        </w:rPr>
        <w:t xml:space="preserve"> </w:t>
      </w:r>
      <w:r w:rsidRPr="00AB581F">
        <w:rPr>
          <w:rFonts w:eastAsia="Malgun Gothic" w:hint="eastAsia"/>
          <w:i/>
          <w:lang w:eastAsia="ko-KR"/>
        </w:rPr>
        <w:t>assisting</w:t>
      </w:r>
      <w:r w:rsidRPr="00AB581F">
        <w:rPr>
          <w:rFonts w:eastAsia="Malgun Gothic"/>
          <w:i/>
          <w:lang w:eastAsia="ko-KR"/>
        </w:rPr>
        <w:t xml:space="preserve"> </w:t>
      </w:r>
      <w:r w:rsidRPr="00AB581F">
        <w:rPr>
          <w:rFonts w:eastAsia="Malgun Gothic" w:hint="eastAsia"/>
          <w:i/>
          <w:lang w:eastAsia="ko-KR"/>
        </w:rPr>
        <w:t>Industrial</w:t>
      </w:r>
      <w:r w:rsidRPr="00AB581F">
        <w:rPr>
          <w:rFonts w:eastAsia="Malgun Gothic"/>
          <w:i/>
          <w:lang w:eastAsia="ko-KR"/>
        </w:rPr>
        <w:t xml:space="preserve"> </w:t>
      </w:r>
      <w:r w:rsidRPr="00AB581F">
        <w:rPr>
          <w:rFonts w:eastAsia="Malgun Gothic" w:hint="eastAsia"/>
          <w:i/>
          <w:lang w:eastAsia="ko-KR"/>
        </w:rPr>
        <w:t>Property</w:t>
      </w:r>
      <w:r w:rsidRPr="00AB581F">
        <w:rPr>
          <w:rFonts w:eastAsia="Malgun Gothic"/>
          <w:i/>
          <w:lang w:eastAsia="ko-KR"/>
        </w:rPr>
        <w:t xml:space="preserve"> </w:t>
      </w:r>
      <w:r w:rsidRPr="00AB581F">
        <w:rPr>
          <w:rFonts w:eastAsia="Malgun Gothic" w:hint="eastAsia"/>
          <w:i/>
          <w:lang w:eastAsia="ko-KR"/>
        </w:rPr>
        <w:t>Offices</w:t>
      </w:r>
      <w:r w:rsidRPr="00AB581F">
        <w:rPr>
          <w:rFonts w:eastAsia="Malgun Gothic"/>
          <w:i/>
          <w:lang w:eastAsia="ko-KR"/>
        </w:rPr>
        <w:t xml:space="preserve"> </w:t>
      </w:r>
      <w:r w:rsidRPr="00AB581F">
        <w:rPr>
          <w:rFonts w:eastAsia="Malgun Gothic" w:hint="eastAsia"/>
          <w:i/>
          <w:lang w:eastAsia="ko-KR"/>
        </w:rPr>
        <w:t>(IPOs)</w:t>
      </w:r>
      <w:r w:rsidRPr="00AB581F">
        <w:rPr>
          <w:rFonts w:eastAsia="Malgun Gothic"/>
          <w:i/>
          <w:lang w:eastAsia="ko-KR"/>
        </w:rPr>
        <w:t xml:space="preserve"> </w:t>
      </w:r>
      <w:r w:rsidRPr="00AB581F">
        <w:rPr>
          <w:rFonts w:eastAsia="Malgun Gothic" w:hint="eastAsia"/>
          <w:i/>
          <w:lang w:eastAsia="ko-KR"/>
        </w:rPr>
        <w:t>in</w:t>
      </w:r>
      <w:r w:rsidRPr="00AB581F">
        <w:rPr>
          <w:rFonts w:eastAsia="Malgun Gothic"/>
          <w:i/>
          <w:lang w:eastAsia="ko-KR"/>
        </w:rPr>
        <w:t xml:space="preserve"> </w:t>
      </w:r>
      <w:r w:rsidRPr="00AB581F">
        <w:rPr>
          <w:rFonts w:eastAsia="Malgun Gothic" w:hint="eastAsia"/>
          <w:i/>
          <w:lang w:eastAsia="ko-KR"/>
        </w:rPr>
        <w:t>providing</w:t>
      </w:r>
      <w:r w:rsidRPr="00AB581F">
        <w:rPr>
          <w:rFonts w:eastAsia="Malgun Gothic"/>
          <w:i/>
          <w:lang w:eastAsia="ko-KR"/>
        </w:rPr>
        <w:t xml:space="preserve"> </w:t>
      </w:r>
      <w:r w:rsidRPr="00AB581F">
        <w:rPr>
          <w:rFonts w:eastAsia="Malgun Gothic" w:hint="eastAsia"/>
          <w:i/>
          <w:lang w:eastAsia="ko-KR"/>
        </w:rPr>
        <w:t>better</w:t>
      </w:r>
      <w:r w:rsidRPr="00AB581F">
        <w:rPr>
          <w:rFonts w:eastAsia="Malgun Gothic"/>
          <w:i/>
          <w:lang w:eastAsia="ko-KR"/>
        </w:rPr>
        <w:t xml:space="preserve"> ‘</w:t>
      </w:r>
      <w:r w:rsidRPr="00AB581F">
        <w:rPr>
          <w:rFonts w:eastAsia="Malgun Gothic" w:hint="eastAsia"/>
          <w:i/>
          <w:lang w:eastAsia="ko-KR"/>
        </w:rPr>
        <w:t>quality</w:t>
      </w:r>
      <w:r w:rsidRPr="00AB581F">
        <w:rPr>
          <w:rFonts w:eastAsia="Malgun Gothic"/>
          <w:i/>
          <w:lang w:eastAsia="ko-KR"/>
        </w:rPr>
        <w:t xml:space="preserve"> </w:t>
      </w:r>
      <w:r w:rsidRPr="00AB581F">
        <w:rPr>
          <w:rFonts w:eastAsia="Malgun Gothic" w:hint="eastAsia"/>
          <w:i/>
          <w:lang w:eastAsia="ko-KR"/>
        </w:rPr>
        <w:t>at</w:t>
      </w:r>
      <w:r w:rsidRPr="00AB581F">
        <w:rPr>
          <w:rFonts w:eastAsia="Malgun Gothic"/>
          <w:i/>
          <w:lang w:eastAsia="ko-KR"/>
        </w:rPr>
        <w:t xml:space="preserve"> </w:t>
      </w:r>
      <w:r w:rsidRPr="00AB581F">
        <w:rPr>
          <w:rFonts w:eastAsia="Malgun Gothic" w:hint="eastAsia"/>
          <w:i/>
          <w:lang w:eastAsia="ko-KR"/>
        </w:rPr>
        <w:t>source</w:t>
      </w:r>
      <w:r w:rsidRPr="00AB581F">
        <w:rPr>
          <w:rFonts w:eastAsia="Malgun Gothic"/>
          <w:i/>
          <w:lang w:eastAsia="ko-KR"/>
        </w:rPr>
        <w:t xml:space="preserve">’ </w:t>
      </w:r>
      <w:r w:rsidRPr="00AB581F">
        <w:rPr>
          <w:rFonts w:eastAsia="Malgun Gothic" w:hint="eastAsia"/>
          <w:i/>
          <w:lang w:eastAsia="ko-KR"/>
        </w:rPr>
        <w:t>in</w:t>
      </w:r>
      <w:r w:rsidRPr="00AB581F">
        <w:rPr>
          <w:rFonts w:eastAsia="Malgun Gothic"/>
          <w:i/>
          <w:lang w:eastAsia="ko-KR"/>
        </w:rPr>
        <w:t xml:space="preserve"> </w:t>
      </w:r>
      <w:r w:rsidRPr="00AB581F">
        <w:rPr>
          <w:rFonts w:eastAsia="Malgun Gothic" w:hint="eastAsia"/>
          <w:i/>
          <w:lang w:eastAsia="ko-KR"/>
        </w:rPr>
        <w:t>relation</w:t>
      </w:r>
      <w:r w:rsidRPr="00AB581F">
        <w:rPr>
          <w:rFonts w:eastAsia="Malgun Gothic"/>
          <w:i/>
          <w:lang w:eastAsia="ko-KR"/>
        </w:rPr>
        <w:t xml:space="preserve"> </w:t>
      </w:r>
      <w:r w:rsidRPr="00AB581F">
        <w:rPr>
          <w:rFonts w:eastAsia="Malgun Gothic" w:hint="eastAsia"/>
          <w:i/>
          <w:lang w:eastAsia="ko-KR"/>
        </w:rPr>
        <w:t>to</w:t>
      </w:r>
      <w:r w:rsidRPr="00AB581F">
        <w:rPr>
          <w:rFonts w:eastAsia="Malgun Gothic"/>
          <w:i/>
          <w:lang w:eastAsia="ko-KR"/>
        </w:rPr>
        <w:t xml:space="preserve"> applicant </w:t>
      </w:r>
      <w:r w:rsidRPr="00AB581F">
        <w:rPr>
          <w:rFonts w:eastAsia="Malgun Gothic" w:hint="eastAsia"/>
          <w:i/>
          <w:lang w:eastAsia="ko-KR"/>
        </w:rPr>
        <w:t>name,</w:t>
      </w:r>
      <w:r w:rsidRPr="00AB581F">
        <w:rPr>
          <w:rFonts w:eastAsia="Malgun Gothic"/>
          <w:i/>
          <w:lang w:eastAsia="ko-KR"/>
        </w:rPr>
        <w:t xml:space="preserve"> </w:t>
      </w:r>
      <w:r w:rsidRPr="00AB581F">
        <w:rPr>
          <w:rFonts w:eastAsia="Malgun Gothic" w:hint="eastAsia"/>
          <w:i/>
          <w:lang w:eastAsia="ko-KR"/>
        </w:rPr>
        <w:t>prepare</w:t>
      </w:r>
      <w:r w:rsidRPr="00AB581F">
        <w:rPr>
          <w:rFonts w:eastAsia="Malgun Gothic"/>
          <w:i/>
          <w:lang w:eastAsia="ko-KR"/>
        </w:rPr>
        <w:t xml:space="preserve"> </w:t>
      </w:r>
      <w:r w:rsidRPr="00AB581F">
        <w:rPr>
          <w:rFonts w:eastAsia="Malgun Gothic" w:hint="eastAsia"/>
          <w:i/>
          <w:lang w:eastAsia="ko-KR"/>
        </w:rPr>
        <w:t>a</w:t>
      </w:r>
      <w:r w:rsidRPr="00AB581F">
        <w:rPr>
          <w:rFonts w:eastAsia="Malgun Gothic"/>
          <w:i/>
          <w:lang w:eastAsia="ko-KR"/>
        </w:rPr>
        <w:t xml:space="preserve"> </w:t>
      </w:r>
      <w:r w:rsidRPr="00AB581F">
        <w:rPr>
          <w:rFonts w:eastAsia="Malgun Gothic" w:hint="eastAsia"/>
          <w:i/>
          <w:lang w:eastAsia="ko-KR"/>
        </w:rPr>
        <w:t>proposal</w:t>
      </w:r>
      <w:r w:rsidRPr="00AB581F">
        <w:rPr>
          <w:rFonts w:eastAsia="Malgun Gothic"/>
          <w:i/>
          <w:lang w:eastAsia="ko-KR"/>
        </w:rPr>
        <w:t xml:space="preserve"> </w:t>
      </w:r>
      <w:r w:rsidRPr="00AB581F">
        <w:rPr>
          <w:rFonts w:eastAsia="Malgun Gothic" w:hint="eastAsia"/>
          <w:i/>
          <w:lang w:eastAsia="ko-KR"/>
        </w:rPr>
        <w:t>for</w:t>
      </w:r>
      <w:r w:rsidRPr="00AB581F">
        <w:rPr>
          <w:rFonts w:eastAsia="Malgun Gothic"/>
          <w:i/>
          <w:lang w:eastAsia="ko-KR"/>
        </w:rPr>
        <w:t xml:space="preserve"> future </w:t>
      </w:r>
      <w:r w:rsidRPr="00AB581F">
        <w:rPr>
          <w:rFonts w:eastAsia="Malgun Gothic" w:hint="eastAsia"/>
          <w:i/>
          <w:lang w:eastAsia="ko-KR"/>
        </w:rPr>
        <w:t>actions</w:t>
      </w:r>
      <w:r w:rsidRPr="00AB581F">
        <w:rPr>
          <w:rFonts w:eastAsia="Malgun Gothic"/>
          <w:i/>
          <w:lang w:eastAsia="ko-KR"/>
        </w:rPr>
        <w:t xml:space="preserve"> </w:t>
      </w:r>
      <w:r w:rsidRPr="00AB581F">
        <w:rPr>
          <w:rFonts w:eastAsia="Malgun Gothic" w:hint="eastAsia"/>
          <w:i/>
          <w:lang w:eastAsia="ko-KR"/>
        </w:rPr>
        <w:t>aimed</w:t>
      </w:r>
      <w:r w:rsidRPr="00AB581F">
        <w:rPr>
          <w:rFonts w:eastAsia="Malgun Gothic"/>
          <w:i/>
          <w:lang w:eastAsia="ko-KR"/>
        </w:rPr>
        <w:t xml:space="preserve"> </w:t>
      </w:r>
      <w:r w:rsidRPr="00AB581F">
        <w:rPr>
          <w:rFonts w:eastAsia="Malgun Gothic" w:hint="eastAsia"/>
          <w:i/>
          <w:lang w:eastAsia="ko-KR"/>
        </w:rPr>
        <w:t>at</w:t>
      </w:r>
      <w:r w:rsidRPr="00AB581F">
        <w:rPr>
          <w:rFonts w:eastAsia="Malgun Gothic"/>
          <w:i/>
          <w:lang w:eastAsia="ko-KR"/>
        </w:rPr>
        <w:t xml:space="preserve"> </w:t>
      </w:r>
      <w:r w:rsidRPr="00AB581F">
        <w:rPr>
          <w:rFonts w:eastAsia="Malgun Gothic" w:hint="eastAsia"/>
          <w:i/>
          <w:lang w:eastAsia="ko-KR"/>
        </w:rPr>
        <w:t>the</w:t>
      </w:r>
      <w:r w:rsidRPr="00AB581F">
        <w:rPr>
          <w:rFonts w:eastAsia="Malgun Gothic"/>
          <w:i/>
          <w:lang w:eastAsia="ko-KR"/>
        </w:rPr>
        <w:t xml:space="preserve"> </w:t>
      </w:r>
      <w:r w:rsidRPr="00AB581F">
        <w:rPr>
          <w:rFonts w:eastAsia="Malgun Gothic" w:hint="eastAsia"/>
          <w:i/>
          <w:lang w:eastAsia="ko-KR"/>
        </w:rPr>
        <w:t>standardization</w:t>
      </w:r>
      <w:r w:rsidRPr="00AB581F">
        <w:rPr>
          <w:rFonts w:eastAsia="Malgun Gothic"/>
          <w:i/>
          <w:lang w:eastAsia="ko-KR"/>
        </w:rPr>
        <w:t xml:space="preserve"> </w:t>
      </w:r>
      <w:r w:rsidRPr="00AB581F">
        <w:rPr>
          <w:rFonts w:eastAsia="Malgun Gothic" w:hint="eastAsia"/>
          <w:i/>
          <w:lang w:eastAsia="ko-KR"/>
        </w:rPr>
        <w:t>of</w:t>
      </w:r>
      <w:r w:rsidRPr="00AB581F">
        <w:rPr>
          <w:rFonts w:eastAsia="Malgun Gothic"/>
          <w:i/>
          <w:lang w:eastAsia="ko-KR"/>
        </w:rPr>
        <w:t xml:space="preserve"> </w:t>
      </w:r>
      <w:r w:rsidRPr="00AB581F">
        <w:rPr>
          <w:rFonts w:eastAsia="Malgun Gothic" w:hint="eastAsia"/>
          <w:i/>
          <w:lang w:eastAsia="ko-KR"/>
        </w:rPr>
        <w:t>applicant</w:t>
      </w:r>
      <w:r w:rsidRPr="00AB581F">
        <w:rPr>
          <w:rFonts w:eastAsia="Malgun Gothic"/>
          <w:i/>
          <w:lang w:eastAsia="ko-KR"/>
        </w:rPr>
        <w:t xml:space="preserve"> </w:t>
      </w:r>
      <w:r w:rsidRPr="00AB581F">
        <w:rPr>
          <w:rFonts w:eastAsia="Malgun Gothic" w:hint="eastAsia"/>
          <w:i/>
          <w:lang w:eastAsia="ko-KR"/>
        </w:rPr>
        <w:t>names</w:t>
      </w:r>
      <w:r w:rsidRPr="00AB581F">
        <w:rPr>
          <w:rFonts w:eastAsia="Malgun Gothic"/>
          <w:i/>
          <w:lang w:eastAsia="ko-KR"/>
        </w:rPr>
        <w:t xml:space="preserve"> </w:t>
      </w:r>
      <w:r w:rsidRPr="00AB581F">
        <w:rPr>
          <w:rFonts w:eastAsia="Malgun Gothic" w:hint="eastAsia"/>
          <w:i/>
          <w:lang w:eastAsia="ko-KR"/>
        </w:rPr>
        <w:t>in</w:t>
      </w:r>
      <w:r w:rsidRPr="00AB581F">
        <w:rPr>
          <w:rFonts w:eastAsia="Malgun Gothic"/>
          <w:i/>
          <w:lang w:eastAsia="ko-KR"/>
        </w:rPr>
        <w:t xml:space="preserve"> </w:t>
      </w:r>
      <w:r w:rsidRPr="00AB581F">
        <w:rPr>
          <w:rFonts w:eastAsia="Malgun Gothic" w:hint="eastAsia"/>
          <w:i/>
          <w:lang w:eastAsia="ko-KR"/>
        </w:rPr>
        <w:t>IP</w:t>
      </w:r>
      <w:r w:rsidRPr="00AB581F">
        <w:rPr>
          <w:rFonts w:eastAsia="Malgun Gothic"/>
          <w:i/>
          <w:lang w:eastAsia="ko-KR"/>
        </w:rPr>
        <w:t xml:space="preserve"> </w:t>
      </w:r>
      <w:r w:rsidRPr="00AB581F">
        <w:rPr>
          <w:rFonts w:eastAsia="Malgun Gothic" w:hint="eastAsia"/>
          <w:i/>
          <w:lang w:eastAsia="ko-KR"/>
        </w:rPr>
        <w:t>documents</w:t>
      </w:r>
      <w:r w:rsidRPr="00AB581F">
        <w:rPr>
          <w:rFonts w:eastAsia="Malgun Gothic"/>
          <w:i/>
          <w:lang w:eastAsia="ko-KR"/>
        </w:rPr>
        <w:t xml:space="preserve"> </w:t>
      </w:r>
      <w:r w:rsidRPr="00AB581F">
        <w:rPr>
          <w:rFonts w:eastAsia="Malgun Gothic" w:hint="eastAsia"/>
          <w:i/>
          <w:lang w:eastAsia="ko-KR"/>
        </w:rPr>
        <w:t>and</w:t>
      </w:r>
      <w:r w:rsidRPr="00AB581F">
        <w:rPr>
          <w:rFonts w:eastAsia="Malgun Gothic"/>
          <w:i/>
          <w:lang w:eastAsia="ko-KR"/>
        </w:rPr>
        <w:t xml:space="preserve"> </w:t>
      </w:r>
      <w:r w:rsidRPr="00AB581F">
        <w:rPr>
          <w:rFonts w:eastAsia="Malgun Gothic" w:hint="eastAsia"/>
          <w:i/>
          <w:lang w:eastAsia="ko-KR"/>
        </w:rPr>
        <w:t>present</w:t>
      </w:r>
      <w:r w:rsidRPr="00AB581F">
        <w:rPr>
          <w:rFonts w:eastAsia="Malgun Gothic"/>
          <w:i/>
          <w:lang w:eastAsia="ko-KR"/>
        </w:rPr>
        <w:t xml:space="preserve"> </w:t>
      </w:r>
      <w:r w:rsidRPr="00AB581F">
        <w:rPr>
          <w:rFonts w:eastAsia="Malgun Gothic" w:hint="eastAsia"/>
          <w:i/>
          <w:lang w:eastAsia="ko-KR"/>
        </w:rPr>
        <w:t>it</w:t>
      </w:r>
      <w:r w:rsidRPr="00AB581F">
        <w:rPr>
          <w:rFonts w:eastAsia="Malgun Gothic"/>
          <w:i/>
          <w:lang w:eastAsia="ko-KR"/>
        </w:rPr>
        <w:t xml:space="preserve"> </w:t>
      </w:r>
      <w:r w:rsidRPr="00AB581F">
        <w:rPr>
          <w:rFonts w:eastAsia="Malgun Gothic" w:hint="eastAsia"/>
          <w:i/>
          <w:lang w:eastAsia="ko-KR"/>
        </w:rPr>
        <w:t>for</w:t>
      </w:r>
      <w:r w:rsidRPr="00AB581F">
        <w:rPr>
          <w:rFonts w:eastAsia="Malgun Gothic"/>
          <w:i/>
          <w:lang w:eastAsia="ko-KR"/>
        </w:rPr>
        <w:t xml:space="preserve"> </w:t>
      </w:r>
      <w:r w:rsidRPr="00AB581F">
        <w:rPr>
          <w:rFonts w:eastAsia="Malgun Gothic" w:hint="eastAsia"/>
          <w:i/>
          <w:lang w:eastAsia="ko-KR"/>
        </w:rPr>
        <w:t>consideration</w:t>
      </w:r>
      <w:r w:rsidRPr="00AB581F">
        <w:rPr>
          <w:rFonts w:eastAsia="Malgun Gothic"/>
          <w:i/>
          <w:lang w:eastAsia="ko-KR"/>
        </w:rPr>
        <w:t xml:space="preserve"> </w:t>
      </w:r>
      <w:r w:rsidRPr="00AB581F">
        <w:rPr>
          <w:rFonts w:eastAsia="Malgun Gothic" w:hint="eastAsia"/>
          <w:i/>
          <w:lang w:eastAsia="ko-KR"/>
        </w:rPr>
        <w:t>by</w:t>
      </w:r>
      <w:r w:rsidRPr="00AB581F">
        <w:rPr>
          <w:rFonts w:eastAsia="Malgun Gothic"/>
          <w:i/>
          <w:lang w:eastAsia="ko-KR"/>
        </w:rPr>
        <w:t xml:space="preserve"> </w:t>
      </w:r>
      <w:r w:rsidRPr="00AB581F">
        <w:rPr>
          <w:rFonts w:eastAsia="Malgun Gothic" w:hint="eastAsia"/>
          <w:i/>
          <w:lang w:eastAsia="ko-KR"/>
        </w:rPr>
        <w:t>the</w:t>
      </w:r>
      <w:r w:rsidRPr="00AB581F">
        <w:rPr>
          <w:rFonts w:eastAsia="Malgun Gothic"/>
          <w:i/>
          <w:lang w:eastAsia="ko-KR"/>
        </w:rPr>
        <w:t xml:space="preserve"> </w:t>
      </w:r>
      <w:r w:rsidRPr="00AB581F">
        <w:rPr>
          <w:rFonts w:eastAsia="Malgun Gothic" w:hint="eastAsia"/>
          <w:i/>
          <w:lang w:eastAsia="ko-KR"/>
        </w:rPr>
        <w:t>CWS.</w:t>
      </w:r>
      <w:r w:rsidRPr="00AB581F">
        <w:rPr>
          <w:rFonts w:eastAsia="Malgun Gothic"/>
          <w:i/>
          <w:lang w:eastAsia="ko-KR"/>
        </w:rPr>
        <w:t>”</w:t>
      </w:r>
      <w:r>
        <w:rPr>
          <w:rFonts w:eastAsia="Malgun Gothic"/>
          <w:i/>
          <w:lang w:eastAsia="ko-KR"/>
        </w:rPr>
        <w:t xml:space="preserve"> </w:t>
      </w:r>
    </w:p>
    <w:p w14:paraId="003520F5" w14:textId="66F0BA4E" w:rsidR="00363232" w:rsidRDefault="00601A20" w:rsidP="00601A20">
      <w:pPr>
        <w:pStyle w:val="ONUMFS"/>
        <w:numPr>
          <w:ilvl w:val="0"/>
          <w:numId w:val="0"/>
        </w:numPr>
        <w:ind w:leftChars="200" w:left="440"/>
      </w:pPr>
      <w:r w:rsidRPr="00280B75">
        <w:t>(See paragraphs 72 to 79 of document CWS/7/29.)</w:t>
      </w:r>
    </w:p>
    <w:p w14:paraId="3C283880" w14:textId="2E9E7FE3" w:rsidR="005C5BCF" w:rsidRDefault="005C5BCF" w:rsidP="005C5BCF">
      <w:pPr>
        <w:spacing w:after="240"/>
      </w:pPr>
      <w:r>
        <w:lastRenderedPageBreak/>
        <w:fldChar w:fldCharType="begin"/>
      </w:r>
      <w:r>
        <w:instrText xml:space="preserve"> AUTONUM  </w:instrText>
      </w:r>
      <w:r>
        <w:fldChar w:fldCharType="end"/>
      </w:r>
      <w:r>
        <w:tab/>
        <w:t xml:space="preserve">A workshop was hosted by the International Bureau in 2019 to discuss name standardization issues.  Speakers were invited from both Offices and industry to share practices and possible solutions.  At this workshop, the International Bureau noted that IPOs had many different approaches to data cleanup for name standardization.  </w:t>
      </w:r>
    </w:p>
    <w:p w14:paraId="4528EB45" w14:textId="546671E3" w:rsidR="005C5BCF" w:rsidRPr="004B38AB" w:rsidRDefault="005C5BCF" w:rsidP="004B38AB">
      <w:pPr>
        <w:spacing w:after="240"/>
      </w:pPr>
      <w:r>
        <w:fldChar w:fldCharType="begin"/>
      </w:r>
      <w:r>
        <w:instrText xml:space="preserve"> AUTONUM  </w:instrText>
      </w:r>
      <w:r>
        <w:fldChar w:fldCharType="end"/>
      </w:r>
      <w:r>
        <w:tab/>
        <w:t xml:space="preserve">Further details regarding the progress made by the Task Force since the last session of the CWS on their work-plan can be found in document CWS/11/22. </w:t>
      </w:r>
    </w:p>
    <w:p w14:paraId="0BE32987" w14:textId="4C2146E1" w:rsidR="00363232" w:rsidRDefault="00363232" w:rsidP="00363232">
      <w:pPr>
        <w:pStyle w:val="Heading1"/>
        <w:spacing w:after="0"/>
        <w:rPr>
          <w:b w:val="0"/>
          <w:bCs w:val="0"/>
        </w:rPr>
      </w:pPr>
      <w:r>
        <w:rPr>
          <w:b w:val="0"/>
          <w:bCs w:val="0"/>
        </w:rPr>
        <w:t>PROPOSED GUIDELINES</w:t>
      </w:r>
    </w:p>
    <w:p w14:paraId="24BCE962" w14:textId="6D64798F" w:rsidR="00363232" w:rsidRDefault="00363232" w:rsidP="00363232">
      <w:pPr>
        <w:spacing w:after="240"/>
      </w:pPr>
      <w:r>
        <w:fldChar w:fldCharType="begin"/>
      </w:r>
      <w:r>
        <w:instrText xml:space="preserve"> AUTONUM  </w:instrText>
      </w:r>
      <w:r>
        <w:fldChar w:fldCharType="end"/>
      </w:r>
      <w:r>
        <w:tab/>
        <w:t xml:space="preserve"> </w:t>
      </w:r>
      <w:r w:rsidR="006E6C78">
        <w:t>T</w:t>
      </w:r>
      <w:r>
        <w:t>he Name Standardization Task Force</w:t>
      </w:r>
      <w:r w:rsidR="006E6C78">
        <w:t>, under the framework of Task No. 55,</w:t>
      </w:r>
      <w:r>
        <w:t xml:space="preserve"> </w:t>
      </w:r>
      <w:r w:rsidR="00B6601F">
        <w:t>prepared</w:t>
      </w:r>
      <w:r>
        <w:t xml:space="preserve"> a </w:t>
      </w:r>
      <w:r w:rsidR="00B6601F">
        <w:t xml:space="preserve">final proposal for </w:t>
      </w:r>
      <w:r w:rsidR="005C5BCF">
        <w:t xml:space="preserve">a set of </w:t>
      </w:r>
      <w:r>
        <w:t xml:space="preserve">guidelines to support </w:t>
      </w:r>
      <w:r w:rsidR="00B6601F">
        <w:t>IPOs</w:t>
      </w:r>
      <w:r>
        <w:t xml:space="preserve"> undertaking name</w:t>
      </w:r>
      <w:r w:rsidR="00B6601F">
        <w:t xml:space="preserve"> data cleaning</w:t>
      </w:r>
      <w:r>
        <w:t>.  These guidelines are provided as the Annex to the present document.</w:t>
      </w:r>
    </w:p>
    <w:p w14:paraId="7E520941" w14:textId="6AC7EB27" w:rsidR="00363232" w:rsidRDefault="00363232" w:rsidP="00363232">
      <w:pPr>
        <w:spacing w:after="240"/>
      </w:pPr>
      <w:r>
        <w:fldChar w:fldCharType="begin"/>
      </w:r>
      <w:r>
        <w:instrText xml:space="preserve"> AUTONUM  </w:instrText>
      </w:r>
      <w:r>
        <w:fldChar w:fldCharType="end"/>
      </w:r>
      <w:r>
        <w:tab/>
        <w:t>These guidelines were prepared to provide general and high-level recommendations.  Variations in factors such as legal requirements, data practices</w:t>
      </w:r>
      <w:r w:rsidR="006E6C78">
        <w:t>,</w:t>
      </w:r>
      <w:r>
        <w:t xml:space="preserve"> </w:t>
      </w:r>
      <w:r w:rsidR="006E6C78">
        <w:t xml:space="preserve">the </w:t>
      </w:r>
      <w:r>
        <w:t xml:space="preserve">purpose of </w:t>
      </w:r>
      <w:r w:rsidR="006E6C78">
        <w:t xml:space="preserve">the </w:t>
      </w:r>
      <w:r>
        <w:t>clean</w:t>
      </w:r>
      <w:r w:rsidR="006E6C78">
        <w:t>-</w:t>
      </w:r>
      <w:r>
        <w:t xml:space="preserve">up, </w:t>
      </w:r>
      <w:r w:rsidR="006E6C78">
        <w:t xml:space="preserve">the </w:t>
      </w:r>
      <w:r>
        <w:t xml:space="preserve">intended use of </w:t>
      </w:r>
      <w:r w:rsidR="006E6C78">
        <w:t xml:space="preserve">the </w:t>
      </w:r>
      <w:r>
        <w:t xml:space="preserve">data, resource requirements, and technical considerations mean that there is no single approach that works best across all IPOs. </w:t>
      </w:r>
      <w:r w:rsidR="006E6C78">
        <w:t xml:space="preserve"> </w:t>
      </w:r>
      <w:r>
        <w:t>These recommendations are intended to reflect general practices that can be applied at any IPO in support of clean</w:t>
      </w:r>
      <w:r w:rsidR="006E6C78">
        <w:t>ing</w:t>
      </w:r>
      <w:r>
        <w:t xml:space="preserve"> customer</w:t>
      </w:r>
      <w:r w:rsidR="00B6601F">
        <w:t>s’ name</w:t>
      </w:r>
      <w:r>
        <w:t xml:space="preserve"> data, which in turn supports better name standardization and name matching techniques by downstream users.</w:t>
      </w:r>
    </w:p>
    <w:p w14:paraId="391C0B1E" w14:textId="1F33577A" w:rsidR="00B6601F" w:rsidRDefault="00B6601F" w:rsidP="00363232">
      <w:pPr>
        <w:spacing w:after="240"/>
      </w:pPr>
      <w:r>
        <w:fldChar w:fldCharType="begin"/>
      </w:r>
      <w:r>
        <w:instrText xml:space="preserve"> AUTONUM  </w:instrText>
      </w:r>
      <w:r>
        <w:fldChar w:fldCharType="end"/>
      </w:r>
      <w:r>
        <w:tab/>
        <w:t xml:space="preserve">The Task Force notes that </w:t>
      </w:r>
      <w:r w:rsidRPr="00B6601F">
        <w:t xml:space="preserve">WIPO Standard ST.20 provides recommendations to produce indexes to patent documents </w:t>
      </w:r>
      <w:r w:rsidR="00954FDF">
        <w:t>disclosing</w:t>
      </w:r>
      <w:r w:rsidR="00954FDF" w:rsidRPr="00B6601F">
        <w:t xml:space="preserve"> </w:t>
      </w:r>
      <w:r w:rsidRPr="00B6601F">
        <w:t xml:space="preserve">names of applicants and other customers, and to promote a uniform presentation of names occurring in </w:t>
      </w:r>
      <w:r w:rsidR="00954FDF">
        <w:t>these</w:t>
      </w:r>
      <w:r w:rsidR="00954FDF" w:rsidRPr="00B6601F">
        <w:t xml:space="preserve"> </w:t>
      </w:r>
      <w:r w:rsidRPr="00B6601F">
        <w:t>indexes</w:t>
      </w:r>
      <w:r w:rsidR="00954FDF">
        <w:t>,</w:t>
      </w:r>
      <w:r w:rsidRPr="00B6601F">
        <w:t xml:space="preserve"> as well as a uniform method of ordering the names in the index itself.  </w:t>
      </w:r>
      <w:r w:rsidR="00954FDF">
        <w:t xml:space="preserve">The finalized guidelines therefore will include a reference to this Standard and supports its use. </w:t>
      </w:r>
    </w:p>
    <w:p w14:paraId="2C39FEEC" w14:textId="67D17F0B" w:rsidR="00363232" w:rsidRDefault="00363232" w:rsidP="00363232">
      <w:pPr>
        <w:spacing w:after="240"/>
        <w:rPr>
          <w:color w:val="000000" w:themeColor="text1"/>
        </w:rPr>
      </w:pPr>
      <w:r>
        <w:fldChar w:fldCharType="begin"/>
      </w:r>
      <w:r>
        <w:instrText xml:space="preserve"> AUTONUM  </w:instrText>
      </w:r>
      <w:r>
        <w:fldChar w:fldCharType="end"/>
      </w:r>
      <w:r>
        <w:tab/>
        <w:t xml:space="preserve">If approved by the CWS at the current session, </w:t>
      </w:r>
      <w:r w:rsidR="00B6601F">
        <w:t xml:space="preserve">it is proposed that the CWS requests the Secretariat to publish </w:t>
      </w:r>
      <w:r>
        <w:t xml:space="preserve">these guidelines in Part 3 of the WIPO Handbook at: </w:t>
      </w:r>
      <w:hyperlink r:id="rId9" w:history="1">
        <w:r w:rsidRPr="00901191">
          <w:rPr>
            <w:rStyle w:val="Hyperlink"/>
            <w:color w:val="000000" w:themeColor="text1"/>
          </w:rPr>
          <w:t>https://www.wipo.int/standards/en/part_03_standards.html</w:t>
        </w:r>
      </w:hyperlink>
      <w:r w:rsidR="00901191">
        <w:rPr>
          <w:rStyle w:val="Hyperlink"/>
          <w:color w:val="000000" w:themeColor="text1"/>
          <w:u w:val="none"/>
        </w:rPr>
        <w:t xml:space="preserve">. </w:t>
      </w:r>
      <w:r w:rsidRPr="00901191">
        <w:rPr>
          <w:color w:val="000000" w:themeColor="text1"/>
        </w:rPr>
        <w:t xml:space="preserve"> </w:t>
      </w:r>
    </w:p>
    <w:p w14:paraId="03D7E6AF" w14:textId="77777777" w:rsidR="00901191" w:rsidRDefault="00901191" w:rsidP="00363232">
      <w:pPr>
        <w:spacing w:after="240"/>
      </w:pPr>
    </w:p>
    <w:p w14:paraId="47F56466" w14:textId="5E180BFF" w:rsidR="00363232" w:rsidRDefault="00363232" w:rsidP="00B6601F">
      <w:pPr>
        <w:spacing w:after="240"/>
        <w:ind w:left="4860"/>
        <w:rPr>
          <w:i/>
          <w:iCs/>
        </w:rPr>
      </w:pPr>
      <w:r>
        <w:fldChar w:fldCharType="begin"/>
      </w:r>
      <w:r>
        <w:instrText xml:space="preserve"> AUTONUM  </w:instrText>
      </w:r>
      <w:r>
        <w:fldChar w:fldCharType="end"/>
      </w:r>
      <w:r>
        <w:tab/>
      </w:r>
      <w:r>
        <w:rPr>
          <w:i/>
          <w:iCs/>
        </w:rPr>
        <w:t>The CWS is invited</w:t>
      </w:r>
      <w:r w:rsidR="00B6601F">
        <w:rPr>
          <w:i/>
          <w:iCs/>
        </w:rPr>
        <w:t xml:space="preserve"> to</w:t>
      </w:r>
      <w:r>
        <w:rPr>
          <w:i/>
          <w:iCs/>
        </w:rPr>
        <w:t>:</w:t>
      </w:r>
    </w:p>
    <w:p w14:paraId="2C196D87" w14:textId="6B0E0358" w:rsidR="00363232" w:rsidRDefault="00363232" w:rsidP="00B6601F">
      <w:pPr>
        <w:pStyle w:val="ListParagraph"/>
        <w:numPr>
          <w:ilvl w:val="0"/>
          <w:numId w:val="7"/>
        </w:numPr>
        <w:spacing w:after="240"/>
        <w:rPr>
          <w:i/>
          <w:iCs/>
        </w:rPr>
      </w:pPr>
      <w:r>
        <w:rPr>
          <w:i/>
          <w:iCs/>
        </w:rPr>
        <w:t>take note of the content of the present document and the Annex to the present document;</w:t>
      </w:r>
      <w:r w:rsidR="0030479C">
        <w:rPr>
          <w:i/>
          <w:iCs/>
        </w:rPr>
        <w:t xml:space="preserve"> and</w:t>
      </w:r>
    </w:p>
    <w:p w14:paraId="668BB107" w14:textId="77777777" w:rsidR="00363232" w:rsidRDefault="00363232" w:rsidP="00B6601F">
      <w:pPr>
        <w:pStyle w:val="ListParagraph"/>
        <w:spacing w:after="240"/>
        <w:ind w:left="5220"/>
        <w:rPr>
          <w:i/>
          <w:iCs/>
        </w:rPr>
      </w:pPr>
    </w:p>
    <w:p w14:paraId="0DC910B1" w14:textId="42984AF3" w:rsidR="0030479C" w:rsidRDefault="0030479C" w:rsidP="00B6601F">
      <w:pPr>
        <w:pStyle w:val="ListParagraph"/>
        <w:numPr>
          <w:ilvl w:val="0"/>
          <w:numId w:val="7"/>
        </w:numPr>
        <w:spacing w:after="240"/>
        <w:rPr>
          <w:i/>
          <w:iCs/>
        </w:rPr>
      </w:pPr>
      <w:r>
        <w:rPr>
          <w:i/>
          <w:iCs/>
        </w:rPr>
        <w:t xml:space="preserve">consider and </w:t>
      </w:r>
      <w:r w:rsidR="00363232">
        <w:rPr>
          <w:i/>
          <w:iCs/>
        </w:rPr>
        <w:t xml:space="preserve">approve the guidelines </w:t>
      </w:r>
      <w:r>
        <w:rPr>
          <w:i/>
          <w:iCs/>
        </w:rPr>
        <w:t xml:space="preserve">as </w:t>
      </w:r>
      <w:r w:rsidR="00363232">
        <w:rPr>
          <w:i/>
          <w:iCs/>
        </w:rPr>
        <w:t xml:space="preserve">referenced </w:t>
      </w:r>
      <w:r>
        <w:rPr>
          <w:i/>
          <w:iCs/>
        </w:rPr>
        <w:t xml:space="preserve">to </w:t>
      </w:r>
      <w:r w:rsidR="00363232">
        <w:rPr>
          <w:i/>
          <w:iCs/>
        </w:rPr>
        <w:t xml:space="preserve">in paragraphs </w:t>
      </w:r>
      <w:r>
        <w:rPr>
          <w:i/>
          <w:iCs/>
        </w:rPr>
        <w:t xml:space="preserve">5 to </w:t>
      </w:r>
      <w:r w:rsidR="004B38AB">
        <w:rPr>
          <w:i/>
          <w:iCs/>
        </w:rPr>
        <w:t>7</w:t>
      </w:r>
      <w:r>
        <w:rPr>
          <w:i/>
          <w:iCs/>
        </w:rPr>
        <w:t xml:space="preserve"> above</w:t>
      </w:r>
      <w:r w:rsidR="00363232">
        <w:rPr>
          <w:i/>
          <w:iCs/>
        </w:rPr>
        <w:t xml:space="preserve"> and as</w:t>
      </w:r>
      <w:r>
        <w:rPr>
          <w:i/>
          <w:iCs/>
        </w:rPr>
        <w:t xml:space="preserve"> reproduced in the</w:t>
      </w:r>
      <w:r w:rsidR="00363232">
        <w:rPr>
          <w:i/>
          <w:iCs/>
        </w:rPr>
        <w:t xml:space="preserve"> Annex to the present document</w:t>
      </w:r>
      <w:r>
        <w:rPr>
          <w:i/>
          <w:iCs/>
        </w:rPr>
        <w:t xml:space="preserve">; </w:t>
      </w:r>
      <w:r w:rsidR="00363232">
        <w:rPr>
          <w:i/>
          <w:iCs/>
        </w:rPr>
        <w:t>and</w:t>
      </w:r>
    </w:p>
    <w:p w14:paraId="75922160" w14:textId="77777777" w:rsidR="0030479C" w:rsidRPr="00F42B01" w:rsidRDefault="0030479C" w:rsidP="00F42B01">
      <w:pPr>
        <w:pStyle w:val="ListParagraph"/>
        <w:rPr>
          <w:i/>
          <w:iCs/>
        </w:rPr>
      </w:pPr>
    </w:p>
    <w:p w14:paraId="18134358" w14:textId="6F08A872" w:rsidR="00363232" w:rsidRPr="0030479C" w:rsidRDefault="0030479C" w:rsidP="00B6601F">
      <w:pPr>
        <w:pStyle w:val="ListParagraph"/>
        <w:numPr>
          <w:ilvl w:val="0"/>
          <w:numId w:val="7"/>
        </w:numPr>
        <w:spacing w:after="240"/>
        <w:rPr>
          <w:i/>
          <w:iCs/>
        </w:rPr>
      </w:pPr>
      <w:r w:rsidRPr="0030479C">
        <w:rPr>
          <w:i/>
          <w:iCs/>
        </w:rPr>
        <w:t>request the Secretariat to publish the guidelines</w:t>
      </w:r>
      <w:r w:rsidR="00363232" w:rsidRPr="0030479C">
        <w:rPr>
          <w:i/>
          <w:iCs/>
        </w:rPr>
        <w:t xml:space="preserve"> </w:t>
      </w:r>
      <w:r w:rsidRPr="00F42B01">
        <w:rPr>
          <w:i/>
          <w:iCs/>
        </w:rPr>
        <w:t>in Part 3 of the WIPO Handbook as referred to paragraph 8 above.</w:t>
      </w:r>
    </w:p>
    <w:p w14:paraId="360B4CBA" w14:textId="77777777" w:rsidR="00363232" w:rsidRDefault="00363232" w:rsidP="00363232">
      <w:pPr>
        <w:pStyle w:val="ListParagraph"/>
        <w:rPr>
          <w:i/>
          <w:iCs/>
        </w:rPr>
      </w:pPr>
    </w:p>
    <w:p w14:paraId="6A8B5987" w14:textId="77777777" w:rsidR="00363232" w:rsidRDefault="00363232" w:rsidP="00363232">
      <w:pPr>
        <w:spacing w:after="240"/>
        <w:jc w:val="right"/>
        <w:rPr>
          <w:i/>
          <w:iCs/>
        </w:rPr>
      </w:pPr>
    </w:p>
    <w:p w14:paraId="7EF687B3" w14:textId="77777777" w:rsidR="00363232" w:rsidRPr="004B38AB" w:rsidRDefault="00363232" w:rsidP="00363232">
      <w:pPr>
        <w:spacing w:after="240"/>
        <w:jc w:val="right"/>
      </w:pPr>
      <w:r w:rsidRPr="004B38AB">
        <w:t>[Annex follows]</w:t>
      </w:r>
    </w:p>
    <w:p w14:paraId="52C0E14D" w14:textId="77777777" w:rsidR="002928D3" w:rsidRDefault="002928D3" w:rsidP="003D352A">
      <w:pPr>
        <w:spacing w:after="220"/>
      </w:pPr>
    </w:p>
    <w:sectPr w:rsidR="002928D3" w:rsidSect="00971B8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7A94" w14:textId="77777777" w:rsidR="002D1D39" w:rsidRDefault="002D1D39">
      <w:r>
        <w:separator/>
      </w:r>
    </w:p>
  </w:endnote>
  <w:endnote w:type="continuationSeparator" w:id="0">
    <w:p w14:paraId="0D6D8C61" w14:textId="77777777" w:rsidR="002D1D39" w:rsidRDefault="002D1D39" w:rsidP="003B38C1">
      <w:r>
        <w:separator/>
      </w:r>
    </w:p>
    <w:p w14:paraId="3EAF3051" w14:textId="77777777" w:rsidR="002D1D39" w:rsidRPr="003B38C1" w:rsidRDefault="002D1D39" w:rsidP="003B38C1">
      <w:pPr>
        <w:spacing w:after="60"/>
        <w:rPr>
          <w:sz w:val="17"/>
        </w:rPr>
      </w:pPr>
      <w:r>
        <w:rPr>
          <w:sz w:val="17"/>
        </w:rPr>
        <w:t>[Endnote continued from previous page]</w:t>
      </w:r>
    </w:p>
  </w:endnote>
  <w:endnote w:type="continuationNotice" w:id="1">
    <w:p w14:paraId="06BB5B1F" w14:textId="77777777" w:rsidR="002D1D39" w:rsidRPr="003B38C1" w:rsidRDefault="002D1D3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88C2" w14:textId="77777777" w:rsidR="00901191" w:rsidRDefault="00901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423D" w14:textId="343F7047" w:rsidR="00237381" w:rsidRDefault="00237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F404" w14:textId="58DD136F" w:rsidR="00237381" w:rsidRDefault="0023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C0B8" w14:textId="77777777" w:rsidR="002D1D39" w:rsidRDefault="002D1D39">
      <w:r>
        <w:separator/>
      </w:r>
    </w:p>
  </w:footnote>
  <w:footnote w:type="continuationSeparator" w:id="0">
    <w:p w14:paraId="38B816D0" w14:textId="77777777" w:rsidR="002D1D39" w:rsidRDefault="002D1D39" w:rsidP="008B60B2">
      <w:r>
        <w:separator/>
      </w:r>
    </w:p>
    <w:p w14:paraId="095002F5" w14:textId="77777777" w:rsidR="002D1D39" w:rsidRPr="00ED77FB" w:rsidRDefault="002D1D39" w:rsidP="008B60B2">
      <w:pPr>
        <w:spacing w:after="60"/>
        <w:rPr>
          <w:sz w:val="17"/>
          <w:szCs w:val="17"/>
        </w:rPr>
      </w:pPr>
      <w:r w:rsidRPr="00ED77FB">
        <w:rPr>
          <w:sz w:val="17"/>
          <w:szCs w:val="17"/>
        </w:rPr>
        <w:t>[Footnote continued from previous page]</w:t>
      </w:r>
    </w:p>
  </w:footnote>
  <w:footnote w:type="continuationNotice" w:id="1">
    <w:p w14:paraId="2F5CC867" w14:textId="77777777" w:rsidR="002D1D39" w:rsidRPr="00ED77FB" w:rsidRDefault="002D1D3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6320" w14:textId="77777777" w:rsidR="00901191" w:rsidRDefault="00901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058C" w14:textId="1120DBF2" w:rsidR="00EC4E49" w:rsidRDefault="00971B85" w:rsidP="00477D6B">
    <w:pPr>
      <w:jc w:val="right"/>
    </w:pPr>
    <w:bookmarkStart w:id="5" w:name="Code2"/>
    <w:bookmarkEnd w:id="5"/>
    <w:r>
      <w:t>CWS/11/23</w:t>
    </w:r>
  </w:p>
  <w:p w14:paraId="253AB223" w14:textId="77777777" w:rsidR="00EC4E49" w:rsidRDefault="00EC4E49" w:rsidP="00477D6B">
    <w:pPr>
      <w:jc w:val="right"/>
    </w:pPr>
    <w:r>
      <w:t xml:space="preserve">page </w:t>
    </w:r>
    <w:r>
      <w:fldChar w:fldCharType="begin"/>
    </w:r>
    <w:r>
      <w:instrText xml:space="preserve"> PAGE  \* MERGEFORMAT </w:instrText>
    </w:r>
    <w:r>
      <w:fldChar w:fldCharType="separate"/>
    </w:r>
    <w:r w:rsidR="00F65686">
      <w:rPr>
        <w:noProof/>
      </w:rPr>
      <w:t>1</w:t>
    </w:r>
    <w:r>
      <w:fldChar w:fldCharType="end"/>
    </w:r>
  </w:p>
  <w:p w14:paraId="57D0C03B" w14:textId="77777777" w:rsidR="00EC4E49" w:rsidRDefault="00EC4E49" w:rsidP="00477D6B">
    <w:pPr>
      <w:jc w:val="right"/>
    </w:pPr>
  </w:p>
  <w:p w14:paraId="7E6B7743"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2F88" w14:textId="77777777" w:rsidR="00901191" w:rsidRDefault="0090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7001685">
    <w:abstractNumId w:val="2"/>
  </w:num>
  <w:num w:numId="2" w16cid:durableId="1695614664">
    <w:abstractNumId w:val="5"/>
  </w:num>
  <w:num w:numId="3" w16cid:durableId="445391815">
    <w:abstractNumId w:val="0"/>
  </w:num>
  <w:num w:numId="4" w16cid:durableId="360715225">
    <w:abstractNumId w:val="6"/>
  </w:num>
  <w:num w:numId="5" w16cid:durableId="1521310447">
    <w:abstractNumId w:val="1"/>
  </w:num>
  <w:num w:numId="6" w16cid:durableId="1081490509">
    <w:abstractNumId w:val="3"/>
  </w:num>
  <w:num w:numId="7" w16cid:durableId="233397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85"/>
    <w:rsid w:val="0001647B"/>
    <w:rsid w:val="00043CAA"/>
    <w:rsid w:val="00075432"/>
    <w:rsid w:val="000817DB"/>
    <w:rsid w:val="000968ED"/>
    <w:rsid w:val="000E6767"/>
    <w:rsid w:val="000F5E56"/>
    <w:rsid w:val="001024FE"/>
    <w:rsid w:val="001362EE"/>
    <w:rsid w:val="00142868"/>
    <w:rsid w:val="001832A6"/>
    <w:rsid w:val="001C6808"/>
    <w:rsid w:val="002121FA"/>
    <w:rsid w:val="00237381"/>
    <w:rsid w:val="002634C4"/>
    <w:rsid w:val="00280B75"/>
    <w:rsid w:val="002928D3"/>
    <w:rsid w:val="002955A7"/>
    <w:rsid w:val="0029753D"/>
    <w:rsid w:val="002D1D39"/>
    <w:rsid w:val="002F1FE6"/>
    <w:rsid w:val="002F4E68"/>
    <w:rsid w:val="0030479C"/>
    <w:rsid w:val="00312F7F"/>
    <w:rsid w:val="003228B7"/>
    <w:rsid w:val="003372DE"/>
    <w:rsid w:val="003508A3"/>
    <w:rsid w:val="00363232"/>
    <w:rsid w:val="003673CF"/>
    <w:rsid w:val="003845C1"/>
    <w:rsid w:val="003A6F89"/>
    <w:rsid w:val="003B38C1"/>
    <w:rsid w:val="003D352A"/>
    <w:rsid w:val="00423E3E"/>
    <w:rsid w:val="00427AF4"/>
    <w:rsid w:val="004400E2"/>
    <w:rsid w:val="00452785"/>
    <w:rsid w:val="00461632"/>
    <w:rsid w:val="004647DA"/>
    <w:rsid w:val="00474062"/>
    <w:rsid w:val="00477D6B"/>
    <w:rsid w:val="004B38AB"/>
    <w:rsid w:val="004D39C4"/>
    <w:rsid w:val="0053057A"/>
    <w:rsid w:val="00560A29"/>
    <w:rsid w:val="00594D27"/>
    <w:rsid w:val="005C5BCF"/>
    <w:rsid w:val="005F39E2"/>
    <w:rsid w:val="00601760"/>
    <w:rsid w:val="00601A20"/>
    <w:rsid w:val="00605827"/>
    <w:rsid w:val="00620CB4"/>
    <w:rsid w:val="00646050"/>
    <w:rsid w:val="006713CA"/>
    <w:rsid w:val="00676C5C"/>
    <w:rsid w:val="00695558"/>
    <w:rsid w:val="006B1012"/>
    <w:rsid w:val="006D5E0F"/>
    <w:rsid w:val="006E6C78"/>
    <w:rsid w:val="006F65E4"/>
    <w:rsid w:val="007058FB"/>
    <w:rsid w:val="00714DBB"/>
    <w:rsid w:val="00725BC5"/>
    <w:rsid w:val="0075089F"/>
    <w:rsid w:val="007920CC"/>
    <w:rsid w:val="007B6A58"/>
    <w:rsid w:val="007C6745"/>
    <w:rsid w:val="007D1613"/>
    <w:rsid w:val="007F2DA9"/>
    <w:rsid w:val="00873EE5"/>
    <w:rsid w:val="008B2CC1"/>
    <w:rsid w:val="008B4B5E"/>
    <w:rsid w:val="008B60B2"/>
    <w:rsid w:val="008D7EE0"/>
    <w:rsid w:val="00901191"/>
    <w:rsid w:val="0090731E"/>
    <w:rsid w:val="00915E0A"/>
    <w:rsid w:val="00916EE2"/>
    <w:rsid w:val="00954FDF"/>
    <w:rsid w:val="00966A22"/>
    <w:rsid w:val="0096722F"/>
    <w:rsid w:val="00971B85"/>
    <w:rsid w:val="00980843"/>
    <w:rsid w:val="009A7C50"/>
    <w:rsid w:val="009E2791"/>
    <w:rsid w:val="009E3F6F"/>
    <w:rsid w:val="009F3BF9"/>
    <w:rsid w:val="009F499F"/>
    <w:rsid w:val="00A42DAF"/>
    <w:rsid w:val="00A45BD8"/>
    <w:rsid w:val="00A778BF"/>
    <w:rsid w:val="00A85B8E"/>
    <w:rsid w:val="00AC205C"/>
    <w:rsid w:val="00AF5C73"/>
    <w:rsid w:val="00B05A69"/>
    <w:rsid w:val="00B40598"/>
    <w:rsid w:val="00B50B99"/>
    <w:rsid w:val="00B62CD9"/>
    <w:rsid w:val="00B6601F"/>
    <w:rsid w:val="00B9734B"/>
    <w:rsid w:val="00BC117B"/>
    <w:rsid w:val="00C11BFE"/>
    <w:rsid w:val="00C94629"/>
    <w:rsid w:val="00CE65D4"/>
    <w:rsid w:val="00D45252"/>
    <w:rsid w:val="00D71B4D"/>
    <w:rsid w:val="00D93D55"/>
    <w:rsid w:val="00DB0415"/>
    <w:rsid w:val="00E161A2"/>
    <w:rsid w:val="00E335FE"/>
    <w:rsid w:val="00E35357"/>
    <w:rsid w:val="00E37DA5"/>
    <w:rsid w:val="00E5021F"/>
    <w:rsid w:val="00E671A6"/>
    <w:rsid w:val="00EC4E49"/>
    <w:rsid w:val="00ED77FB"/>
    <w:rsid w:val="00F021A6"/>
    <w:rsid w:val="00F11D94"/>
    <w:rsid w:val="00F42B01"/>
    <w:rsid w:val="00F65686"/>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66B87"/>
  <w15:docId w15:val="{E110DB78-C16E-4E27-B077-9297E50E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363232"/>
    <w:rPr>
      <w:rFonts w:ascii="Arial" w:eastAsia="SimSun" w:hAnsi="Arial" w:cs="Arial"/>
      <w:b/>
      <w:bCs/>
      <w:caps/>
      <w:kern w:val="32"/>
      <w:sz w:val="22"/>
      <w:szCs w:val="32"/>
      <w:lang w:val="en-US" w:eastAsia="zh-CN"/>
    </w:rPr>
  </w:style>
  <w:style w:type="character" w:styleId="Hyperlink">
    <w:name w:val="Hyperlink"/>
    <w:basedOn w:val="DefaultParagraphFont"/>
    <w:semiHidden/>
    <w:unhideWhenUsed/>
    <w:rsid w:val="00363232"/>
    <w:rPr>
      <w:color w:val="0000FF" w:themeColor="hyperlink"/>
      <w:u w:val="single"/>
    </w:rPr>
  </w:style>
  <w:style w:type="paragraph" w:styleId="ListParagraph">
    <w:name w:val="List Paragraph"/>
    <w:basedOn w:val="Normal"/>
    <w:uiPriority w:val="34"/>
    <w:qFormat/>
    <w:rsid w:val="00363232"/>
    <w:pPr>
      <w:ind w:left="720"/>
      <w:contextualSpacing/>
    </w:pPr>
  </w:style>
  <w:style w:type="paragraph" w:styleId="Revision">
    <w:name w:val="Revision"/>
    <w:hidden/>
    <w:uiPriority w:val="99"/>
    <w:semiHidden/>
    <w:rsid w:val="00280B75"/>
    <w:rPr>
      <w:rFonts w:ascii="Arial" w:eastAsia="SimSun" w:hAnsi="Arial" w:cs="Arial"/>
      <w:sz w:val="22"/>
      <w:lang w:val="en-US" w:eastAsia="zh-CN"/>
    </w:rPr>
  </w:style>
  <w:style w:type="character" w:styleId="CommentReference">
    <w:name w:val="annotation reference"/>
    <w:basedOn w:val="DefaultParagraphFont"/>
    <w:semiHidden/>
    <w:unhideWhenUsed/>
    <w:rsid w:val="005C5BCF"/>
    <w:rPr>
      <w:sz w:val="16"/>
      <w:szCs w:val="16"/>
    </w:rPr>
  </w:style>
  <w:style w:type="paragraph" w:styleId="CommentSubject">
    <w:name w:val="annotation subject"/>
    <w:basedOn w:val="CommentText"/>
    <w:next w:val="CommentText"/>
    <w:link w:val="CommentSubjectChar"/>
    <w:semiHidden/>
    <w:unhideWhenUsed/>
    <w:rsid w:val="005C5BCF"/>
    <w:rPr>
      <w:b/>
      <w:bCs/>
      <w:sz w:val="20"/>
    </w:rPr>
  </w:style>
  <w:style w:type="character" w:customStyle="1" w:styleId="CommentTextChar">
    <w:name w:val="Comment Text Char"/>
    <w:basedOn w:val="DefaultParagraphFont"/>
    <w:link w:val="CommentText"/>
    <w:semiHidden/>
    <w:rsid w:val="005C5BC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C5BCF"/>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part_03_standard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30AC-9C69-4167-8242-5D409340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631</Words>
  <Characters>3601</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CWS/11/</vt:lpstr>
      <vt:lpstr>CWS/11/</vt:lpstr>
    </vt:vector>
  </TitlesOfParts>
  <Company>WIPO</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KIPO</dc:creator>
  <cp:keywords>CWS/11</cp:keywords>
  <cp:lastModifiedBy>SEILER Joséphine</cp:lastModifiedBy>
  <cp:revision>10</cp:revision>
  <cp:lastPrinted>2023-11-06T08:28:00Z</cp:lastPrinted>
  <dcterms:created xsi:type="dcterms:W3CDTF">2023-10-29T21:02:00Z</dcterms:created>
  <dcterms:modified xsi:type="dcterms:W3CDTF">2023-11-06T08:35:00Z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2023-10-30T10:08:18Z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ec8783b5-0618-4101-948a-96fd1af161f5</vt:lpwstr>
  </property>
  <property fmtid="{D5CDD505-2E9C-101B-9397-08002B2CF9AE}" pid="14" name="MSIP_Label_20773ee6-353b-4fb9-a59d-0b94c8c67bea_ContentBits">
    <vt:lpwstr>0</vt:lpwstr>
  </property>
</Properties>
</file>