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EC4E49" w:rsidRPr="002B67F3" w14:paraId="332A6C82" w14:textId="77777777" w:rsidTr="00361450">
        <w:tc>
          <w:tcPr>
            <w:tcW w:w="4513" w:type="dxa"/>
            <w:tcBorders>
              <w:bottom w:val="single" w:sz="4" w:space="0" w:color="auto"/>
            </w:tcBorders>
            <w:tcMar>
              <w:bottom w:w="170" w:type="dxa"/>
            </w:tcMar>
          </w:tcPr>
          <w:p w14:paraId="7AC37266" w14:textId="77777777" w:rsidR="00EC4E49" w:rsidRPr="002B67F3" w:rsidRDefault="00EC4E49" w:rsidP="00916EE2"/>
        </w:tc>
        <w:tc>
          <w:tcPr>
            <w:tcW w:w="4337" w:type="dxa"/>
            <w:tcBorders>
              <w:bottom w:val="single" w:sz="4" w:space="0" w:color="auto"/>
            </w:tcBorders>
            <w:tcMar>
              <w:left w:w="0" w:type="dxa"/>
              <w:right w:w="0" w:type="dxa"/>
            </w:tcMar>
          </w:tcPr>
          <w:p w14:paraId="3708BEF2" w14:textId="77777777" w:rsidR="00EC4E49" w:rsidRPr="002B67F3" w:rsidRDefault="00542C96" w:rsidP="00916EE2">
            <w:r w:rsidRPr="002B67F3">
              <w:rPr>
                <w:noProof/>
              </w:rPr>
              <w:drawing>
                <wp:inline distT="0" distB="0" distL="0" distR="0" wp14:anchorId="3CA87E9B" wp14:editId="270DE277">
                  <wp:extent cx="185610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592288C" w14:textId="77777777" w:rsidR="00EC4E49" w:rsidRPr="002B67F3" w:rsidRDefault="00EC4E49" w:rsidP="00916EE2">
            <w:pPr>
              <w:jc w:val="right"/>
            </w:pPr>
            <w:r w:rsidRPr="002B67F3">
              <w:rPr>
                <w:b/>
                <w:sz w:val="40"/>
                <w:szCs w:val="40"/>
              </w:rPr>
              <w:t>E</w:t>
            </w:r>
          </w:p>
        </w:tc>
      </w:tr>
      <w:tr w:rsidR="008B2CC1" w:rsidRPr="002B67F3" w14:paraId="551DC359" w14:textId="77777777" w:rsidTr="00916EE2">
        <w:trPr>
          <w:trHeight w:hRule="exact" w:val="340"/>
        </w:trPr>
        <w:tc>
          <w:tcPr>
            <w:tcW w:w="9356" w:type="dxa"/>
            <w:gridSpan w:val="3"/>
            <w:tcBorders>
              <w:top w:val="single" w:sz="4" w:space="0" w:color="auto"/>
            </w:tcBorders>
            <w:tcMar>
              <w:top w:w="170" w:type="dxa"/>
              <w:left w:w="0" w:type="dxa"/>
              <w:right w:w="0" w:type="dxa"/>
            </w:tcMar>
            <w:vAlign w:val="bottom"/>
          </w:tcPr>
          <w:p w14:paraId="7D919568" w14:textId="1674BA84" w:rsidR="008B2CC1" w:rsidRPr="002B67F3" w:rsidRDefault="00AB1326" w:rsidP="00AB1326">
            <w:pPr>
              <w:jc w:val="right"/>
              <w:rPr>
                <w:rFonts w:ascii="Arial Black" w:hAnsi="Arial Black"/>
                <w:caps/>
                <w:sz w:val="15"/>
              </w:rPr>
            </w:pPr>
            <w:r w:rsidRPr="002B67F3">
              <w:rPr>
                <w:rFonts w:ascii="Arial Black" w:hAnsi="Arial Black"/>
                <w:caps/>
                <w:sz w:val="15"/>
              </w:rPr>
              <w:t>CWS/</w:t>
            </w:r>
            <w:r w:rsidR="00661D6F" w:rsidRPr="002B67F3">
              <w:rPr>
                <w:rFonts w:ascii="Arial Black" w:hAnsi="Arial Black"/>
                <w:caps/>
                <w:sz w:val="15"/>
              </w:rPr>
              <w:t>11</w:t>
            </w:r>
            <w:r w:rsidR="00774501" w:rsidRPr="002B67F3">
              <w:rPr>
                <w:rFonts w:ascii="Arial Black" w:hAnsi="Arial Black"/>
                <w:caps/>
                <w:sz w:val="15"/>
              </w:rPr>
              <w:t>/</w:t>
            </w:r>
            <w:bookmarkStart w:id="0" w:name="Code"/>
            <w:bookmarkEnd w:id="0"/>
            <w:r w:rsidR="008A5263" w:rsidRPr="002B67F3">
              <w:rPr>
                <w:rFonts w:ascii="Arial Black" w:hAnsi="Arial Black"/>
                <w:caps/>
                <w:sz w:val="15"/>
              </w:rPr>
              <w:t>24</w:t>
            </w:r>
          </w:p>
        </w:tc>
      </w:tr>
      <w:tr w:rsidR="008B2CC1" w:rsidRPr="002B67F3" w14:paraId="1FA784B2" w14:textId="77777777" w:rsidTr="00916EE2">
        <w:trPr>
          <w:trHeight w:hRule="exact" w:val="170"/>
        </w:trPr>
        <w:tc>
          <w:tcPr>
            <w:tcW w:w="9356" w:type="dxa"/>
            <w:gridSpan w:val="3"/>
            <w:noWrap/>
            <w:tcMar>
              <w:left w:w="0" w:type="dxa"/>
              <w:right w:w="0" w:type="dxa"/>
            </w:tcMar>
            <w:vAlign w:val="bottom"/>
          </w:tcPr>
          <w:p w14:paraId="71DBFDE1" w14:textId="77777777" w:rsidR="008B2CC1" w:rsidRPr="002B67F3" w:rsidRDefault="008B2CC1" w:rsidP="00916EE2">
            <w:pPr>
              <w:jc w:val="right"/>
              <w:rPr>
                <w:rFonts w:ascii="Arial Black" w:hAnsi="Arial Black"/>
                <w:caps/>
                <w:sz w:val="15"/>
              </w:rPr>
            </w:pPr>
            <w:r w:rsidRPr="002B67F3">
              <w:rPr>
                <w:rFonts w:ascii="Arial Black" w:hAnsi="Arial Black"/>
                <w:caps/>
                <w:sz w:val="15"/>
              </w:rPr>
              <w:t>ORIGINAL:</w:t>
            </w:r>
            <w:r w:rsidR="00A42DAF" w:rsidRPr="002B67F3">
              <w:rPr>
                <w:rFonts w:ascii="Arial Black" w:hAnsi="Arial Black"/>
                <w:caps/>
                <w:sz w:val="15"/>
              </w:rPr>
              <w:t xml:space="preserve"> </w:t>
            </w:r>
            <w:r w:rsidRPr="002B67F3">
              <w:rPr>
                <w:rFonts w:ascii="Arial Black" w:hAnsi="Arial Black"/>
                <w:caps/>
                <w:sz w:val="15"/>
              </w:rPr>
              <w:t xml:space="preserve"> </w:t>
            </w:r>
            <w:bookmarkStart w:id="1" w:name="Original"/>
            <w:bookmarkEnd w:id="1"/>
            <w:r w:rsidR="00650F84" w:rsidRPr="002B67F3">
              <w:rPr>
                <w:rFonts w:ascii="Arial Black" w:hAnsi="Arial Black"/>
                <w:caps/>
                <w:sz w:val="15"/>
              </w:rPr>
              <w:t>English</w:t>
            </w:r>
          </w:p>
        </w:tc>
      </w:tr>
      <w:tr w:rsidR="008B2CC1" w:rsidRPr="002B67F3" w14:paraId="5566A60F" w14:textId="77777777" w:rsidTr="00916EE2">
        <w:trPr>
          <w:trHeight w:hRule="exact" w:val="198"/>
        </w:trPr>
        <w:tc>
          <w:tcPr>
            <w:tcW w:w="9356" w:type="dxa"/>
            <w:gridSpan w:val="3"/>
            <w:tcMar>
              <w:left w:w="0" w:type="dxa"/>
              <w:right w:w="0" w:type="dxa"/>
            </w:tcMar>
            <w:vAlign w:val="bottom"/>
          </w:tcPr>
          <w:p w14:paraId="789A6020" w14:textId="2454C4CF" w:rsidR="008B2CC1" w:rsidRPr="002B67F3" w:rsidRDefault="008B2CC1" w:rsidP="00A703B9">
            <w:pPr>
              <w:jc w:val="right"/>
              <w:rPr>
                <w:rFonts w:ascii="Arial Black" w:hAnsi="Arial Black"/>
                <w:caps/>
                <w:sz w:val="15"/>
              </w:rPr>
            </w:pPr>
            <w:r w:rsidRPr="002B67F3">
              <w:rPr>
                <w:rFonts w:ascii="Arial Black" w:hAnsi="Arial Black"/>
                <w:caps/>
                <w:sz w:val="15"/>
              </w:rPr>
              <w:t>DATE:</w:t>
            </w:r>
            <w:r w:rsidR="00A42DAF" w:rsidRPr="002B67F3">
              <w:rPr>
                <w:rFonts w:ascii="Arial Black" w:hAnsi="Arial Black"/>
                <w:caps/>
                <w:sz w:val="15"/>
              </w:rPr>
              <w:t xml:space="preserve"> </w:t>
            </w:r>
            <w:bookmarkStart w:id="2" w:name="Date"/>
            <w:bookmarkEnd w:id="2"/>
            <w:r w:rsidR="00170BFA">
              <w:rPr>
                <w:rFonts w:ascii="Arial Black" w:hAnsi="Arial Black"/>
                <w:caps/>
                <w:sz w:val="15"/>
              </w:rPr>
              <w:t>NOVember 2</w:t>
            </w:r>
            <w:r w:rsidR="00C17BE5" w:rsidRPr="002B67F3">
              <w:rPr>
                <w:rFonts w:ascii="Arial Black" w:hAnsi="Arial Black"/>
                <w:caps/>
                <w:sz w:val="15"/>
              </w:rPr>
              <w:t xml:space="preserve">, </w:t>
            </w:r>
            <w:r w:rsidR="00650F84" w:rsidRPr="002B67F3">
              <w:rPr>
                <w:rFonts w:ascii="Arial Black" w:hAnsi="Arial Black"/>
                <w:caps/>
                <w:sz w:val="15"/>
              </w:rPr>
              <w:t>20</w:t>
            </w:r>
            <w:r w:rsidR="00AB1326" w:rsidRPr="002B67F3">
              <w:rPr>
                <w:rFonts w:ascii="Arial Black" w:hAnsi="Arial Black"/>
                <w:caps/>
                <w:sz w:val="15"/>
              </w:rPr>
              <w:t>2</w:t>
            </w:r>
            <w:r w:rsidR="00661D6F" w:rsidRPr="002B67F3">
              <w:rPr>
                <w:rFonts w:ascii="Arial Black" w:hAnsi="Arial Black"/>
                <w:caps/>
                <w:sz w:val="15"/>
              </w:rPr>
              <w:t>3</w:t>
            </w:r>
          </w:p>
        </w:tc>
      </w:tr>
    </w:tbl>
    <w:p w14:paraId="5DFD5FCB" w14:textId="77777777" w:rsidR="008B2CC1" w:rsidRPr="002B67F3" w:rsidRDefault="008B2CC1" w:rsidP="008B2CC1"/>
    <w:p w14:paraId="5C50E07C" w14:textId="77777777" w:rsidR="008B2CC1" w:rsidRPr="002B67F3" w:rsidRDefault="008B2CC1" w:rsidP="00BD3100">
      <w:pPr>
        <w:tabs>
          <w:tab w:val="left" w:pos="2961"/>
        </w:tabs>
        <w:rPr>
          <w:i/>
        </w:rPr>
      </w:pPr>
    </w:p>
    <w:p w14:paraId="7500BBC4" w14:textId="77777777" w:rsidR="008B2CC1" w:rsidRPr="002B67F3" w:rsidRDefault="008B2CC1" w:rsidP="008B2CC1"/>
    <w:p w14:paraId="38304737" w14:textId="77777777" w:rsidR="008B2CC1" w:rsidRPr="002B67F3" w:rsidRDefault="008B2CC1" w:rsidP="008B2CC1"/>
    <w:p w14:paraId="2F28C9F2" w14:textId="77777777" w:rsidR="008B2CC1" w:rsidRPr="002B67F3" w:rsidRDefault="00774501" w:rsidP="008B2CC1">
      <w:pPr>
        <w:rPr>
          <w:b/>
          <w:sz w:val="28"/>
          <w:szCs w:val="28"/>
        </w:rPr>
      </w:pPr>
      <w:r w:rsidRPr="002B67F3">
        <w:rPr>
          <w:b/>
          <w:sz w:val="28"/>
          <w:szCs w:val="28"/>
        </w:rPr>
        <w:t>Committee on WIPO Standards (CWS)</w:t>
      </w:r>
    </w:p>
    <w:p w14:paraId="4AD80EE6" w14:textId="77777777" w:rsidR="003845C1" w:rsidRPr="002B67F3" w:rsidRDefault="003845C1" w:rsidP="003845C1"/>
    <w:p w14:paraId="5DC05A0E" w14:textId="77777777" w:rsidR="003845C1" w:rsidRPr="002B67F3" w:rsidRDefault="003845C1" w:rsidP="003845C1"/>
    <w:p w14:paraId="374BB662" w14:textId="674E9D3C" w:rsidR="008B2CC1" w:rsidRPr="002B67F3" w:rsidRDefault="00661D6F" w:rsidP="008B2CC1">
      <w:pPr>
        <w:rPr>
          <w:b/>
          <w:sz w:val="24"/>
          <w:szCs w:val="24"/>
        </w:rPr>
      </w:pPr>
      <w:r w:rsidRPr="002B67F3">
        <w:rPr>
          <w:b/>
          <w:sz w:val="24"/>
          <w:szCs w:val="24"/>
        </w:rPr>
        <w:t xml:space="preserve">Eleventh </w:t>
      </w:r>
      <w:r w:rsidR="00774501" w:rsidRPr="002B67F3">
        <w:rPr>
          <w:b/>
          <w:sz w:val="24"/>
          <w:szCs w:val="24"/>
        </w:rPr>
        <w:t>Session</w:t>
      </w:r>
    </w:p>
    <w:p w14:paraId="6EA0ABA2" w14:textId="305A2F08" w:rsidR="008B2CC1" w:rsidRPr="002B67F3" w:rsidRDefault="00774501" w:rsidP="00BC1DFC">
      <w:pPr>
        <w:rPr>
          <w:b/>
          <w:sz w:val="24"/>
          <w:szCs w:val="24"/>
        </w:rPr>
      </w:pPr>
      <w:r w:rsidRPr="002B67F3">
        <w:rPr>
          <w:b/>
          <w:sz w:val="24"/>
          <w:szCs w:val="24"/>
        </w:rPr>
        <w:t xml:space="preserve">Geneva, </w:t>
      </w:r>
      <w:r w:rsidR="00661D6F" w:rsidRPr="002B67F3">
        <w:rPr>
          <w:b/>
          <w:sz w:val="24"/>
          <w:szCs w:val="24"/>
        </w:rPr>
        <w:t>December 4 to 8</w:t>
      </w:r>
      <w:r w:rsidRPr="002B67F3">
        <w:rPr>
          <w:b/>
          <w:sz w:val="24"/>
          <w:szCs w:val="24"/>
        </w:rPr>
        <w:t>, 20</w:t>
      </w:r>
      <w:r w:rsidR="00AB1326" w:rsidRPr="002B67F3">
        <w:rPr>
          <w:b/>
          <w:sz w:val="24"/>
          <w:szCs w:val="24"/>
        </w:rPr>
        <w:t>2</w:t>
      </w:r>
      <w:r w:rsidR="00661D6F" w:rsidRPr="002B67F3">
        <w:rPr>
          <w:b/>
          <w:sz w:val="24"/>
          <w:szCs w:val="24"/>
        </w:rPr>
        <w:t>3</w:t>
      </w:r>
    </w:p>
    <w:p w14:paraId="24E5647B" w14:textId="77777777" w:rsidR="008B2CC1" w:rsidRPr="002B67F3" w:rsidRDefault="008B2CC1" w:rsidP="008B2CC1"/>
    <w:p w14:paraId="0F4C9BA0" w14:textId="77777777" w:rsidR="008B2CC1" w:rsidRPr="002B67F3" w:rsidRDefault="008B2CC1" w:rsidP="008B2CC1"/>
    <w:p w14:paraId="08FB13E8" w14:textId="77777777" w:rsidR="008B2CC1" w:rsidRPr="002B67F3" w:rsidRDefault="008B2CC1" w:rsidP="008B2CC1"/>
    <w:p w14:paraId="23376966" w14:textId="049E251F" w:rsidR="008B2CC1" w:rsidRPr="002B67F3" w:rsidRDefault="00291EEB" w:rsidP="008B2CC1">
      <w:pPr>
        <w:rPr>
          <w:caps/>
          <w:sz w:val="24"/>
        </w:rPr>
      </w:pPr>
      <w:bookmarkStart w:id="3" w:name="TitleOfDoc"/>
      <w:bookmarkEnd w:id="3"/>
      <w:r w:rsidRPr="002B67F3">
        <w:rPr>
          <w:caps/>
          <w:sz w:val="24"/>
        </w:rPr>
        <w:t xml:space="preserve">Report by </w:t>
      </w:r>
      <w:r w:rsidR="00274B4B" w:rsidRPr="002B67F3">
        <w:rPr>
          <w:caps/>
          <w:sz w:val="24"/>
        </w:rPr>
        <w:t xml:space="preserve">the </w:t>
      </w:r>
      <w:r w:rsidR="00A935E3" w:rsidRPr="002B67F3">
        <w:rPr>
          <w:caps/>
          <w:sz w:val="24"/>
        </w:rPr>
        <w:t xml:space="preserve">PART 7 </w:t>
      </w:r>
      <w:r w:rsidR="00274B4B" w:rsidRPr="002B67F3">
        <w:rPr>
          <w:caps/>
          <w:sz w:val="24"/>
        </w:rPr>
        <w:t>Task Force (Task No. 5</w:t>
      </w:r>
      <w:r w:rsidR="00A935E3" w:rsidRPr="002B67F3">
        <w:rPr>
          <w:caps/>
          <w:sz w:val="24"/>
        </w:rPr>
        <w:t>0</w:t>
      </w:r>
      <w:r w:rsidR="00274B4B" w:rsidRPr="002B67F3">
        <w:rPr>
          <w:caps/>
          <w:sz w:val="24"/>
        </w:rPr>
        <w:t>)</w:t>
      </w:r>
    </w:p>
    <w:p w14:paraId="1FD337C9" w14:textId="77777777" w:rsidR="008B2CC1" w:rsidRPr="002B67F3" w:rsidRDefault="008B2CC1" w:rsidP="008B2CC1"/>
    <w:p w14:paraId="050FE9AC" w14:textId="25A7D095" w:rsidR="008B2CC1" w:rsidRPr="002B67F3" w:rsidRDefault="00650F84" w:rsidP="008B2CC1">
      <w:pPr>
        <w:rPr>
          <w:i/>
        </w:rPr>
      </w:pPr>
      <w:bookmarkStart w:id="4" w:name="Prepared"/>
      <w:bookmarkEnd w:id="4"/>
      <w:r w:rsidRPr="002B67F3">
        <w:rPr>
          <w:i/>
        </w:rPr>
        <w:t xml:space="preserve">Document prepared by the </w:t>
      </w:r>
      <w:r w:rsidR="00A935E3" w:rsidRPr="002B67F3">
        <w:rPr>
          <w:i/>
        </w:rPr>
        <w:t>Part 7</w:t>
      </w:r>
      <w:r w:rsidR="00EC3AA3" w:rsidRPr="002B67F3">
        <w:rPr>
          <w:i/>
        </w:rPr>
        <w:t xml:space="preserve"> </w:t>
      </w:r>
      <w:r w:rsidR="006A7AB6" w:rsidRPr="002B67F3">
        <w:rPr>
          <w:i/>
        </w:rPr>
        <w:t>Task Force Leader</w:t>
      </w:r>
    </w:p>
    <w:p w14:paraId="73CA4351" w14:textId="36F86C64" w:rsidR="002928D3" w:rsidRPr="002B67F3" w:rsidRDefault="002928D3" w:rsidP="00980EF3"/>
    <w:p w14:paraId="7362F996" w14:textId="662B6358" w:rsidR="00DA6220" w:rsidRPr="002B67F3" w:rsidRDefault="00DA6220" w:rsidP="00980EF3"/>
    <w:p w14:paraId="298F0B26" w14:textId="1FB5467F" w:rsidR="00DA6220" w:rsidRPr="002B67F3" w:rsidRDefault="00DA6220" w:rsidP="00980EF3"/>
    <w:p w14:paraId="085E2CFD" w14:textId="77777777" w:rsidR="00A703B9" w:rsidRPr="002B67F3" w:rsidRDefault="00A703B9" w:rsidP="00980EF3"/>
    <w:p w14:paraId="07262171" w14:textId="4001FF1D" w:rsidR="00274B4B" w:rsidRPr="002B67F3" w:rsidRDefault="00274B4B" w:rsidP="00DA6220">
      <w:pPr>
        <w:pStyle w:val="Heading2"/>
        <w:spacing w:before="0"/>
        <w:rPr>
          <w:rFonts w:eastAsia="Malgun Gothic"/>
          <w:caps w:val="0"/>
          <w:szCs w:val="22"/>
        </w:rPr>
      </w:pPr>
      <w:r w:rsidRPr="002B67F3">
        <w:rPr>
          <w:rFonts w:eastAsia="Malgun Gothic"/>
          <w:caps w:val="0"/>
          <w:szCs w:val="22"/>
        </w:rPr>
        <w:t>SUMMARY</w:t>
      </w:r>
    </w:p>
    <w:p w14:paraId="27A4DA65" w14:textId="6FB3CCBA" w:rsidR="00274B4B" w:rsidRPr="002B67F3" w:rsidRDefault="00274B4B" w:rsidP="00274B4B">
      <w:pPr>
        <w:rPr>
          <w:iCs/>
        </w:rPr>
      </w:pPr>
      <w:r w:rsidRPr="002B67F3">
        <w:fldChar w:fldCharType="begin"/>
      </w:r>
      <w:r w:rsidRPr="002B67F3">
        <w:instrText xml:space="preserve"> AUTONUM  </w:instrText>
      </w:r>
      <w:r w:rsidRPr="002B67F3">
        <w:fldChar w:fldCharType="end"/>
      </w:r>
      <w:r w:rsidRPr="002B67F3">
        <w:tab/>
        <w:t xml:space="preserve">The </w:t>
      </w:r>
      <w:r w:rsidR="00210A4D" w:rsidRPr="002B67F3">
        <w:t xml:space="preserve">Part 7 </w:t>
      </w:r>
      <w:r w:rsidRPr="002B67F3">
        <w:t xml:space="preserve">Task Force </w:t>
      </w:r>
      <w:r w:rsidR="00AD73D1" w:rsidRPr="002B67F3">
        <w:t xml:space="preserve">works under the framework of </w:t>
      </w:r>
      <w:r w:rsidR="00B1384E" w:rsidRPr="002B67F3">
        <w:t>Task No. 5</w:t>
      </w:r>
      <w:r w:rsidR="00210A4D" w:rsidRPr="002B67F3">
        <w:t>0</w:t>
      </w:r>
      <w:r w:rsidR="00B1384E" w:rsidRPr="002B67F3">
        <w:t xml:space="preserve"> and</w:t>
      </w:r>
      <w:r w:rsidR="00366CCD" w:rsidRPr="002B67F3">
        <w:t xml:space="preserve"> </w:t>
      </w:r>
      <w:r w:rsidR="002A12E8" w:rsidRPr="002B67F3">
        <w:t xml:space="preserve">reports its activities </w:t>
      </w:r>
      <w:r w:rsidR="00AD73D1" w:rsidRPr="002B67F3">
        <w:t xml:space="preserve">since the last session of the Committee on WIPO Standards (CWS) noting </w:t>
      </w:r>
      <w:r w:rsidR="002A12E8" w:rsidRPr="002B67F3">
        <w:t xml:space="preserve">some issues </w:t>
      </w:r>
      <w:r w:rsidR="00AD73D1" w:rsidRPr="002B67F3">
        <w:t xml:space="preserve">which were experienced.  </w:t>
      </w:r>
      <w:r w:rsidR="002B67F3">
        <w:t xml:space="preserve"> Investigation into whether the two surveys scheduled for distribution this year resulted in</w:t>
      </w:r>
      <w:r w:rsidR="00887C5B">
        <w:t xml:space="preserve"> the citation practices survey being revised and likely conducted in 2024 and the bibliographic information in patent gazettes survey only being revised if the CWS wishes to revise either WIPO Standard ST.11 or ST.19. </w:t>
      </w:r>
      <w:r w:rsidR="002B67F3">
        <w:t xml:space="preserve"> </w:t>
      </w:r>
      <w:r w:rsidR="002A12E8" w:rsidRPr="002B67F3">
        <w:t xml:space="preserve"> </w:t>
      </w:r>
    </w:p>
    <w:p w14:paraId="7E620C87" w14:textId="77777777" w:rsidR="00274B4B" w:rsidRPr="002B67F3" w:rsidRDefault="00274B4B" w:rsidP="00274B4B"/>
    <w:p w14:paraId="5BC66C08" w14:textId="6FD9E0AF" w:rsidR="00DA6220" w:rsidRPr="002B67F3" w:rsidRDefault="00DA6220" w:rsidP="00DA6220">
      <w:pPr>
        <w:pStyle w:val="Heading2"/>
        <w:spacing w:before="0"/>
        <w:rPr>
          <w:rFonts w:eastAsia="Malgun Gothic"/>
          <w:caps w:val="0"/>
          <w:szCs w:val="22"/>
        </w:rPr>
      </w:pPr>
      <w:r w:rsidRPr="002B67F3">
        <w:rPr>
          <w:rFonts w:eastAsia="Malgun Gothic"/>
          <w:caps w:val="0"/>
          <w:szCs w:val="22"/>
        </w:rPr>
        <w:t>BACKGROUND</w:t>
      </w:r>
    </w:p>
    <w:p w14:paraId="1575648E" w14:textId="7FC32EB3" w:rsidR="005F7AC5" w:rsidRPr="002B67F3" w:rsidRDefault="00CC3127" w:rsidP="00495B26">
      <w:pPr>
        <w:spacing w:after="240"/>
      </w:pPr>
      <w:r w:rsidRPr="002B67F3">
        <w:fldChar w:fldCharType="begin"/>
      </w:r>
      <w:r w:rsidRPr="002B67F3">
        <w:instrText xml:space="preserve"> AUTONUM  </w:instrText>
      </w:r>
      <w:r w:rsidRPr="002B67F3">
        <w:fldChar w:fldCharType="end"/>
      </w:r>
      <w:r w:rsidRPr="002B67F3">
        <w:tab/>
      </w:r>
      <w:r w:rsidR="005F7AC5" w:rsidRPr="002B67F3">
        <w:t>At its ninth session in 2021, the CWS approved the revised work plan for updating Part 7 of the WIPO Handbook, including a survey on calendar dates in 2022.  The CWS approved a simplified process for updating Part 7 where results will be collected and published without presenting the questionnaire or the results to the CWS for approval.  The CWS requested the Task Force to schedule an update to Part 7.9 on citation practices (see paragraphs 110 to 114 of document CWS/9/25)</w:t>
      </w:r>
    </w:p>
    <w:p w14:paraId="4A86B122" w14:textId="2B725FE4" w:rsidR="008A0922" w:rsidRPr="002B67F3" w:rsidRDefault="008A5263" w:rsidP="008A0922">
      <w:pPr>
        <w:spacing w:after="240"/>
      </w:pPr>
      <w:r w:rsidRPr="002B67F3">
        <w:fldChar w:fldCharType="begin"/>
      </w:r>
      <w:r w:rsidRPr="002B67F3">
        <w:instrText xml:space="preserve"> AUTONUM  </w:instrText>
      </w:r>
      <w:r w:rsidRPr="002B67F3">
        <w:fldChar w:fldCharType="end"/>
      </w:r>
      <w:r w:rsidRPr="002B67F3">
        <w:tab/>
      </w:r>
      <w:r w:rsidR="008A0922" w:rsidRPr="002B67F3">
        <w:t>At its tenth session in 2022, the CWS was informed that the Secretariat issued circular C.CWS 162 inviting Intellectual Property Offices (IPOs) to take the survey on representation of calendar dates</w:t>
      </w:r>
      <w:r w:rsidR="00AD73D1" w:rsidRPr="002B67F3">
        <w:t xml:space="preserve">. </w:t>
      </w:r>
      <w:r w:rsidR="00F36D12">
        <w:t xml:space="preserve"> </w:t>
      </w:r>
      <w:r w:rsidR="00AD73D1" w:rsidRPr="002B67F3">
        <w:t>They further noted</w:t>
      </w:r>
      <w:r w:rsidR="008A0922" w:rsidRPr="002B67F3">
        <w:t xml:space="preserve"> the analysis of responses received </w:t>
      </w:r>
      <w:r w:rsidR="00AD73D1" w:rsidRPr="002B67F3">
        <w:t xml:space="preserve">which were </w:t>
      </w:r>
      <w:r w:rsidR="008A0922" w:rsidRPr="002B67F3">
        <w:t xml:space="preserve">provided in document CWS/10/18. </w:t>
      </w:r>
    </w:p>
    <w:p w14:paraId="15180857" w14:textId="77777777" w:rsidR="00E0052F" w:rsidRDefault="00E0052F">
      <w:r>
        <w:br w:type="page"/>
      </w:r>
    </w:p>
    <w:p w14:paraId="22952E76" w14:textId="7536A01E" w:rsidR="00AF50F7" w:rsidRPr="002B67F3" w:rsidRDefault="008A5263" w:rsidP="008A0922">
      <w:pPr>
        <w:spacing w:after="240"/>
      </w:pPr>
      <w:r w:rsidRPr="002B67F3">
        <w:lastRenderedPageBreak/>
        <w:fldChar w:fldCharType="begin"/>
      </w:r>
      <w:r w:rsidRPr="002B67F3">
        <w:instrText xml:space="preserve"> AUTONUM  </w:instrText>
      </w:r>
      <w:r w:rsidRPr="002B67F3">
        <w:fldChar w:fldCharType="end"/>
      </w:r>
      <w:r w:rsidRPr="002B67F3">
        <w:tab/>
      </w:r>
      <w:r w:rsidR="008A0922" w:rsidRPr="002B67F3">
        <w:t xml:space="preserve">At </w:t>
      </w:r>
      <w:r w:rsidR="00AD73D1" w:rsidRPr="002B67F3">
        <w:t>the same</w:t>
      </w:r>
      <w:r w:rsidR="008A0922" w:rsidRPr="002B67F3">
        <w:t xml:space="preserve"> session in 2022, the CWS also </w:t>
      </w:r>
      <w:r w:rsidRPr="002B67F3">
        <w:t xml:space="preserve">considered and approved </w:t>
      </w:r>
      <w:r w:rsidR="008A0922" w:rsidRPr="002B67F3">
        <w:t xml:space="preserve">the </w:t>
      </w:r>
      <w:r w:rsidR="00AD73D1" w:rsidRPr="002B67F3">
        <w:t>updated</w:t>
      </w:r>
      <w:r w:rsidRPr="002B67F3">
        <w:t xml:space="preserve"> work plan of the Part 7 Task Force, which is reproduced </w:t>
      </w:r>
      <w:r w:rsidR="00AD73D1" w:rsidRPr="002B67F3">
        <w:t xml:space="preserve">in the table </w:t>
      </w:r>
      <w:r w:rsidRPr="002B67F3">
        <w:t>below.</w:t>
      </w:r>
    </w:p>
    <w:tbl>
      <w:tblPr>
        <w:tblStyle w:val="TableGrid"/>
        <w:tblpPr w:leftFromText="180" w:rightFromText="180" w:vertAnchor="text" w:tblpY="1"/>
        <w:tblOverlap w:val="never"/>
        <w:tblW w:w="8995" w:type="dxa"/>
        <w:tblLayout w:type="fixed"/>
        <w:tblCellMar>
          <w:top w:w="57" w:type="dxa"/>
          <w:bottom w:w="57" w:type="dxa"/>
        </w:tblCellMar>
        <w:tblLook w:val="04A0" w:firstRow="1" w:lastRow="0" w:firstColumn="1" w:lastColumn="0" w:noHBand="0" w:noVBand="1"/>
      </w:tblPr>
      <w:tblGrid>
        <w:gridCol w:w="1555"/>
        <w:gridCol w:w="3543"/>
        <w:gridCol w:w="1276"/>
        <w:gridCol w:w="2621"/>
      </w:tblGrid>
      <w:tr w:rsidR="008A5263" w:rsidRPr="002B67F3" w14:paraId="200BFF20" w14:textId="77777777" w:rsidTr="008A5263">
        <w:trPr>
          <w:trHeight w:val="721"/>
        </w:trPr>
        <w:tc>
          <w:tcPr>
            <w:tcW w:w="1555" w:type="dxa"/>
            <w:shd w:val="clear" w:color="auto" w:fill="D9D9D9" w:themeFill="background1" w:themeFillShade="D9"/>
            <w:vAlign w:val="center"/>
          </w:tcPr>
          <w:p w14:paraId="66A34530" w14:textId="77777777" w:rsidR="008A5263" w:rsidRPr="002B67F3" w:rsidRDefault="008A5263" w:rsidP="008A5263">
            <w:pPr>
              <w:spacing w:after="60"/>
              <w:jc w:val="center"/>
              <w:rPr>
                <w:b/>
              </w:rPr>
            </w:pPr>
            <w:r w:rsidRPr="002B67F3">
              <w:rPr>
                <w:b/>
              </w:rPr>
              <w:t>Section</w:t>
            </w:r>
          </w:p>
        </w:tc>
        <w:tc>
          <w:tcPr>
            <w:tcW w:w="3543" w:type="dxa"/>
            <w:shd w:val="clear" w:color="auto" w:fill="D9D9D9" w:themeFill="background1" w:themeFillShade="D9"/>
            <w:vAlign w:val="center"/>
          </w:tcPr>
          <w:p w14:paraId="20A235C1" w14:textId="77777777" w:rsidR="008A5263" w:rsidRPr="002B67F3" w:rsidRDefault="008A5263" w:rsidP="008A5263">
            <w:pPr>
              <w:spacing w:after="60"/>
              <w:jc w:val="center"/>
              <w:rPr>
                <w:b/>
              </w:rPr>
            </w:pPr>
            <w:r w:rsidRPr="002B67F3">
              <w:rPr>
                <w:b/>
              </w:rPr>
              <w:t>Topic</w:t>
            </w:r>
          </w:p>
        </w:tc>
        <w:tc>
          <w:tcPr>
            <w:tcW w:w="1276" w:type="dxa"/>
            <w:shd w:val="clear" w:color="auto" w:fill="D9D9D9" w:themeFill="background1" w:themeFillShade="D9"/>
            <w:vAlign w:val="center"/>
          </w:tcPr>
          <w:p w14:paraId="09F4F57F" w14:textId="77777777" w:rsidR="008A5263" w:rsidRPr="002B67F3" w:rsidRDefault="008A5263" w:rsidP="008A5263">
            <w:pPr>
              <w:spacing w:after="60"/>
              <w:jc w:val="center"/>
              <w:rPr>
                <w:b/>
              </w:rPr>
            </w:pPr>
            <w:r w:rsidRPr="002B67F3">
              <w:rPr>
                <w:b/>
              </w:rPr>
              <w:t>Last</w:t>
            </w:r>
          </w:p>
          <w:p w14:paraId="157ACE73" w14:textId="77777777" w:rsidR="008A5263" w:rsidRPr="002B67F3" w:rsidRDefault="008A5263" w:rsidP="008A5263">
            <w:pPr>
              <w:spacing w:after="60"/>
              <w:jc w:val="center"/>
              <w:rPr>
                <w:b/>
              </w:rPr>
            </w:pPr>
            <w:r w:rsidRPr="002B67F3">
              <w:rPr>
                <w:b/>
              </w:rPr>
              <w:t>Published</w:t>
            </w:r>
          </w:p>
        </w:tc>
        <w:tc>
          <w:tcPr>
            <w:tcW w:w="2621" w:type="dxa"/>
            <w:shd w:val="clear" w:color="auto" w:fill="D9D9D9" w:themeFill="background1" w:themeFillShade="D9"/>
            <w:vAlign w:val="center"/>
          </w:tcPr>
          <w:p w14:paraId="234EC5EE" w14:textId="77777777" w:rsidR="008A5263" w:rsidRPr="002B67F3" w:rsidRDefault="008A5263" w:rsidP="008A5263">
            <w:pPr>
              <w:spacing w:after="60"/>
              <w:jc w:val="center"/>
              <w:rPr>
                <w:b/>
              </w:rPr>
            </w:pPr>
            <w:r w:rsidRPr="002B67F3">
              <w:rPr>
                <w:b/>
              </w:rPr>
              <w:t>Status</w:t>
            </w:r>
          </w:p>
        </w:tc>
      </w:tr>
      <w:tr w:rsidR="008A5263" w:rsidRPr="002B67F3" w14:paraId="3948DCFC" w14:textId="77777777" w:rsidTr="008A5263">
        <w:tc>
          <w:tcPr>
            <w:tcW w:w="1555" w:type="dxa"/>
            <w:tcBorders>
              <w:top w:val="single" w:sz="4" w:space="0" w:color="auto"/>
              <w:bottom w:val="single" w:sz="4" w:space="0" w:color="auto"/>
            </w:tcBorders>
            <w:shd w:val="clear" w:color="auto" w:fill="auto"/>
          </w:tcPr>
          <w:p w14:paraId="074722EE" w14:textId="77777777" w:rsidR="008A5263" w:rsidRPr="002B67F3" w:rsidRDefault="008A5263" w:rsidP="008A5263">
            <w:pPr>
              <w:spacing w:after="60"/>
            </w:pPr>
            <w:r w:rsidRPr="002B67F3">
              <w:t>Part 7.9</w:t>
            </w:r>
          </w:p>
        </w:tc>
        <w:tc>
          <w:tcPr>
            <w:tcW w:w="3543" w:type="dxa"/>
          </w:tcPr>
          <w:p w14:paraId="4F13AFB2" w14:textId="77777777" w:rsidR="008A5263" w:rsidRPr="00E0052F" w:rsidRDefault="008A5263" w:rsidP="008A5263">
            <w:pPr>
              <w:spacing w:after="60"/>
            </w:pPr>
            <w:r w:rsidRPr="00E0052F">
              <w:t>Citation practices</w:t>
            </w:r>
          </w:p>
        </w:tc>
        <w:tc>
          <w:tcPr>
            <w:tcW w:w="1276" w:type="dxa"/>
            <w:shd w:val="clear" w:color="auto" w:fill="auto"/>
          </w:tcPr>
          <w:p w14:paraId="41481216" w14:textId="77777777" w:rsidR="008A5263" w:rsidRPr="002B67F3" w:rsidRDefault="008A5263" w:rsidP="008A5263">
            <w:pPr>
              <w:spacing w:after="60"/>
              <w:jc w:val="center"/>
            </w:pPr>
            <w:r w:rsidRPr="002B67F3">
              <w:t>2008</w:t>
            </w:r>
          </w:p>
        </w:tc>
        <w:tc>
          <w:tcPr>
            <w:tcW w:w="2621" w:type="dxa"/>
          </w:tcPr>
          <w:p w14:paraId="04EAA858" w14:textId="77777777" w:rsidR="008A5263" w:rsidRPr="002B67F3" w:rsidRDefault="008A5263" w:rsidP="008A5263">
            <w:pPr>
              <w:spacing w:after="60"/>
              <w:jc w:val="center"/>
            </w:pPr>
            <w:r w:rsidRPr="002B67F3">
              <w:t>update 2023</w:t>
            </w:r>
          </w:p>
        </w:tc>
      </w:tr>
      <w:tr w:rsidR="008A5263" w:rsidRPr="002B67F3" w14:paraId="57293499" w14:textId="77777777" w:rsidTr="008A5263">
        <w:tc>
          <w:tcPr>
            <w:tcW w:w="1555" w:type="dxa"/>
            <w:tcBorders>
              <w:top w:val="single" w:sz="4" w:space="0" w:color="auto"/>
              <w:bottom w:val="single" w:sz="4" w:space="0" w:color="auto"/>
            </w:tcBorders>
            <w:shd w:val="clear" w:color="auto" w:fill="auto"/>
          </w:tcPr>
          <w:p w14:paraId="3B527F0C" w14:textId="77777777" w:rsidR="008A5263" w:rsidRPr="002B67F3" w:rsidRDefault="008A5263" w:rsidP="008A5263">
            <w:pPr>
              <w:spacing w:after="60"/>
            </w:pPr>
            <w:r w:rsidRPr="002B67F3">
              <w:t>Part 7.6</w:t>
            </w:r>
          </w:p>
        </w:tc>
        <w:tc>
          <w:tcPr>
            <w:tcW w:w="3543" w:type="dxa"/>
          </w:tcPr>
          <w:p w14:paraId="66E0BE7B" w14:textId="77777777" w:rsidR="008A5263" w:rsidRPr="00E0052F" w:rsidRDefault="008A5263" w:rsidP="008A5263">
            <w:pPr>
              <w:spacing w:after="60"/>
            </w:pPr>
            <w:r w:rsidRPr="00E0052F">
              <w:t>Bibliographic information in patent gazettes</w:t>
            </w:r>
          </w:p>
        </w:tc>
        <w:tc>
          <w:tcPr>
            <w:tcW w:w="1276" w:type="dxa"/>
            <w:shd w:val="clear" w:color="auto" w:fill="auto"/>
          </w:tcPr>
          <w:p w14:paraId="56F86DB1" w14:textId="77777777" w:rsidR="008A5263" w:rsidRPr="002B67F3" w:rsidRDefault="008A5263" w:rsidP="008A5263">
            <w:pPr>
              <w:spacing w:after="60"/>
              <w:jc w:val="center"/>
            </w:pPr>
            <w:r w:rsidRPr="002B67F3">
              <w:t>1990</w:t>
            </w:r>
          </w:p>
        </w:tc>
        <w:tc>
          <w:tcPr>
            <w:tcW w:w="2621" w:type="dxa"/>
          </w:tcPr>
          <w:p w14:paraId="1395068E" w14:textId="77777777" w:rsidR="008A5263" w:rsidRPr="002B67F3" w:rsidRDefault="008A5263" w:rsidP="008A5263">
            <w:pPr>
              <w:spacing w:after="60"/>
              <w:jc w:val="center"/>
            </w:pPr>
            <w:r w:rsidRPr="002B67F3">
              <w:t>update 2023</w:t>
            </w:r>
          </w:p>
        </w:tc>
      </w:tr>
      <w:tr w:rsidR="008A5263" w:rsidRPr="002B67F3" w14:paraId="1C8D7687" w14:textId="77777777" w:rsidTr="008A5263">
        <w:tc>
          <w:tcPr>
            <w:tcW w:w="1555" w:type="dxa"/>
            <w:shd w:val="clear" w:color="auto" w:fill="auto"/>
          </w:tcPr>
          <w:p w14:paraId="62D3C891" w14:textId="77777777" w:rsidR="008A5263" w:rsidRPr="002B67F3" w:rsidRDefault="008A5263" w:rsidP="008A5263">
            <w:pPr>
              <w:spacing w:after="60"/>
            </w:pPr>
            <w:r w:rsidRPr="002B67F3">
              <w:t>Part 7.2.6 &amp;</w:t>
            </w:r>
          </w:p>
          <w:p w14:paraId="71C24D99" w14:textId="77777777" w:rsidR="008A5263" w:rsidRPr="002B67F3" w:rsidRDefault="008A5263" w:rsidP="008A5263">
            <w:pPr>
              <w:spacing w:after="60"/>
            </w:pPr>
            <w:r w:rsidRPr="002B67F3">
              <w:t>Part 7.2.7</w:t>
            </w:r>
          </w:p>
        </w:tc>
        <w:tc>
          <w:tcPr>
            <w:tcW w:w="3543" w:type="dxa"/>
          </w:tcPr>
          <w:p w14:paraId="4627C823" w14:textId="77777777" w:rsidR="008A5263" w:rsidRPr="002B67F3" w:rsidRDefault="008A5263" w:rsidP="008A5263">
            <w:pPr>
              <w:spacing w:after="60"/>
            </w:pPr>
            <w:r w:rsidRPr="002B67F3">
              <w:t>Application numbering – current practices &amp; former practices</w:t>
            </w:r>
          </w:p>
        </w:tc>
        <w:tc>
          <w:tcPr>
            <w:tcW w:w="1276" w:type="dxa"/>
            <w:shd w:val="clear" w:color="auto" w:fill="auto"/>
          </w:tcPr>
          <w:p w14:paraId="7F35D3BB" w14:textId="77777777" w:rsidR="008A5263" w:rsidRPr="002B67F3" w:rsidRDefault="008A5263" w:rsidP="008A5263">
            <w:pPr>
              <w:spacing w:after="60"/>
              <w:jc w:val="center"/>
            </w:pPr>
            <w:r w:rsidRPr="002B67F3">
              <w:t>2017</w:t>
            </w:r>
          </w:p>
        </w:tc>
        <w:tc>
          <w:tcPr>
            <w:tcW w:w="2621" w:type="dxa"/>
          </w:tcPr>
          <w:p w14:paraId="4F08B826" w14:textId="77777777" w:rsidR="008A5263" w:rsidRPr="002B67F3" w:rsidRDefault="008A5263" w:rsidP="008A5263">
            <w:pPr>
              <w:spacing w:after="60"/>
              <w:jc w:val="center"/>
            </w:pPr>
            <w:r w:rsidRPr="002B67F3">
              <w:t>update 2024</w:t>
            </w:r>
          </w:p>
        </w:tc>
      </w:tr>
      <w:tr w:rsidR="008A5263" w:rsidRPr="002B67F3" w14:paraId="7384A712" w14:textId="77777777" w:rsidTr="008A5263">
        <w:tc>
          <w:tcPr>
            <w:tcW w:w="1555" w:type="dxa"/>
            <w:shd w:val="clear" w:color="auto" w:fill="auto"/>
          </w:tcPr>
          <w:p w14:paraId="7A08E205" w14:textId="77777777" w:rsidR="008A5263" w:rsidRPr="002B67F3" w:rsidRDefault="008A5263" w:rsidP="008A5263">
            <w:pPr>
              <w:spacing w:after="60"/>
            </w:pPr>
            <w:r w:rsidRPr="002B67F3">
              <w:t>Part 7.3</w:t>
            </w:r>
          </w:p>
        </w:tc>
        <w:tc>
          <w:tcPr>
            <w:tcW w:w="3543" w:type="dxa"/>
          </w:tcPr>
          <w:p w14:paraId="41D3D6DF" w14:textId="77777777" w:rsidR="008A5263" w:rsidRPr="002B67F3" w:rsidRDefault="008A5263" w:rsidP="008A5263">
            <w:pPr>
              <w:spacing w:after="60"/>
            </w:pPr>
            <w:r w:rsidRPr="002B67F3">
              <w:t>Examples and kinds of patent documents</w:t>
            </w:r>
          </w:p>
        </w:tc>
        <w:tc>
          <w:tcPr>
            <w:tcW w:w="1276" w:type="dxa"/>
            <w:shd w:val="clear" w:color="auto" w:fill="auto"/>
          </w:tcPr>
          <w:p w14:paraId="76E708FE" w14:textId="77777777" w:rsidR="008A5263" w:rsidRPr="002B67F3" w:rsidRDefault="008A5263" w:rsidP="008A5263">
            <w:pPr>
              <w:spacing w:after="60"/>
              <w:jc w:val="center"/>
            </w:pPr>
            <w:r w:rsidRPr="002B67F3">
              <w:t>2016</w:t>
            </w:r>
          </w:p>
        </w:tc>
        <w:tc>
          <w:tcPr>
            <w:tcW w:w="2621" w:type="dxa"/>
          </w:tcPr>
          <w:p w14:paraId="1850EC44" w14:textId="77777777" w:rsidR="008A5263" w:rsidRPr="002B67F3" w:rsidRDefault="008A5263" w:rsidP="008A5263">
            <w:pPr>
              <w:spacing w:after="60"/>
              <w:jc w:val="center"/>
            </w:pPr>
            <w:r w:rsidRPr="002B67F3">
              <w:t>update 2025</w:t>
            </w:r>
          </w:p>
        </w:tc>
      </w:tr>
    </w:tbl>
    <w:p w14:paraId="1A9F9594" w14:textId="083EAF6E" w:rsidR="00606ED8" w:rsidRPr="002B67F3" w:rsidRDefault="008A5263" w:rsidP="008A5263">
      <w:pPr>
        <w:spacing w:after="240"/>
      </w:pPr>
      <w:r w:rsidRPr="002B67F3">
        <w:br w:type="textWrapping" w:clear="all"/>
      </w:r>
      <w:r w:rsidRPr="002B67F3">
        <w:fldChar w:fldCharType="begin"/>
      </w:r>
      <w:r w:rsidRPr="002B67F3">
        <w:instrText xml:space="preserve"> AUTONUM  </w:instrText>
      </w:r>
      <w:r w:rsidRPr="002B67F3">
        <w:fldChar w:fldCharType="end"/>
      </w:r>
      <w:r w:rsidRPr="002B67F3">
        <w:tab/>
        <w:t xml:space="preserve">The CWS noted that the two </w:t>
      </w:r>
      <w:r w:rsidR="00AD73D1" w:rsidRPr="002B67F3">
        <w:t xml:space="preserve">planned </w:t>
      </w:r>
      <w:r w:rsidRPr="002B67F3">
        <w:t xml:space="preserve">surveys to update Part 7.6 and Part 7.9 would be conducted with the simplified process approved at its ninth session: collecting and publishing results without presenting the questionnaire or the results to the CWS for approval, but </w:t>
      </w:r>
      <w:r w:rsidR="00AD73D1" w:rsidRPr="002B67F3">
        <w:t xml:space="preserve">instead </w:t>
      </w:r>
      <w:r w:rsidRPr="002B67F3">
        <w:t xml:space="preserve">presenting </w:t>
      </w:r>
      <w:r w:rsidR="00AD73D1" w:rsidRPr="002B67F3">
        <w:t xml:space="preserve">the </w:t>
      </w:r>
      <w:r w:rsidRPr="002B67F3">
        <w:t>analysis of conducted surveys for consideration and approval by the CWS (see paragraph 114 of document CWS/9/25).  The CWS will be notified of published results at the following session.</w:t>
      </w:r>
    </w:p>
    <w:p w14:paraId="652038F5" w14:textId="6C98C36D" w:rsidR="006935A9" w:rsidRPr="002B67F3" w:rsidRDefault="00BC0AF3" w:rsidP="00606ED8">
      <w:pPr>
        <w:pStyle w:val="Heading2"/>
        <w:spacing w:before="0"/>
      </w:pPr>
      <w:r w:rsidRPr="002B67F3">
        <w:t>Progress</w:t>
      </w:r>
      <w:r w:rsidR="001477A8" w:rsidRPr="002B67F3">
        <w:t xml:space="preserve"> report</w:t>
      </w:r>
      <w:r w:rsidRPr="002B67F3">
        <w:t xml:space="preserve"> on Task No. 5</w:t>
      </w:r>
      <w:r w:rsidR="008A5263" w:rsidRPr="002B67F3">
        <w:t>0</w:t>
      </w:r>
    </w:p>
    <w:p w14:paraId="2C5D597F" w14:textId="77777777" w:rsidR="00274B4B" w:rsidRPr="00E0052F" w:rsidRDefault="00274B4B" w:rsidP="00606ED8">
      <w:pPr>
        <w:pStyle w:val="Heading3"/>
        <w:spacing w:before="0" w:after="0"/>
      </w:pPr>
      <w:r w:rsidRPr="00E0052F">
        <w:t>Objectives</w:t>
      </w:r>
    </w:p>
    <w:p w14:paraId="67E0E839" w14:textId="09613142" w:rsidR="00BC0AF3" w:rsidRPr="002B67F3" w:rsidRDefault="0096517D" w:rsidP="00606ED8">
      <w:pPr>
        <w:pStyle w:val="ONUMFS"/>
        <w:numPr>
          <w:ilvl w:val="0"/>
          <w:numId w:val="0"/>
        </w:numPr>
        <w:spacing w:after="0"/>
        <w:rPr>
          <w:lang w:eastAsia="en-US"/>
        </w:rPr>
      </w:pPr>
      <w:r w:rsidRPr="002B67F3">
        <w:rPr>
          <w:lang w:eastAsia="en-US"/>
        </w:rPr>
        <w:fldChar w:fldCharType="begin"/>
      </w:r>
      <w:r w:rsidRPr="002B67F3">
        <w:rPr>
          <w:lang w:eastAsia="en-US"/>
        </w:rPr>
        <w:instrText xml:space="preserve"> AUTONUM  </w:instrText>
      </w:r>
      <w:r w:rsidRPr="002B67F3">
        <w:rPr>
          <w:lang w:eastAsia="en-US"/>
        </w:rPr>
        <w:fldChar w:fldCharType="end"/>
      </w:r>
      <w:r w:rsidRPr="002B67F3">
        <w:rPr>
          <w:lang w:eastAsia="en-US"/>
        </w:rPr>
        <w:tab/>
      </w:r>
      <w:r w:rsidR="008A5263" w:rsidRPr="002B67F3">
        <w:rPr>
          <w:lang w:eastAsia="en-US"/>
        </w:rPr>
        <w:t xml:space="preserve">According to </w:t>
      </w:r>
      <w:r w:rsidR="00AD73D1" w:rsidRPr="002B67F3">
        <w:rPr>
          <w:lang w:eastAsia="en-US"/>
        </w:rPr>
        <w:t xml:space="preserve">its </w:t>
      </w:r>
      <w:r w:rsidR="008A5263" w:rsidRPr="002B67F3">
        <w:rPr>
          <w:lang w:eastAsia="en-US"/>
        </w:rPr>
        <w:t>description, t</w:t>
      </w:r>
      <w:r w:rsidR="00BC0AF3" w:rsidRPr="002B67F3">
        <w:rPr>
          <w:lang w:eastAsia="en-US"/>
        </w:rPr>
        <w:t>he objective</w:t>
      </w:r>
      <w:r w:rsidR="00AD73D1" w:rsidRPr="002B67F3">
        <w:rPr>
          <w:lang w:eastAsia="en-US"/>
        </w:rPr>
        <w:t xml:space="preserve"> of Task No. 50</w:t>
      </w:r>
      <w:r w:rsidR="00BC0AF3" w:rsidRPr="002B67F3">
        <w:rPr>
          <w:lang w:eastAsia="en-US"/>
        </w:rPr>
        <w:t xml:space="preserve"> is </w:t>
      </w:r>
      <w:r w:rsidR="008A5263" w:rsidRPr="002B67F3">
        <w:rPr>
          <w:lang w:eastAsia="en-US"/>
        </w:rPr>
        <w:t xml:space="preserve">to ensure the necessary maintenance and update of surveys published in Part 7 of the WIPO Handbook on Industrial Property Information and Documentation. </w:t>
      </w:r>
    </w:p>
    <w:p w14:paraId="38CC983D" w14:textId="77777777" w:rsidR="00606ED8" w:rsidRPr="002B67F3" w:rsidRDefault="00606ED8" w:rsidP="00606ED8">
      <w:pPr>
        <w:pStyle w:val="ONUMFS"/>
        <w:numPr>
          <w:ilvl w:val="0"/>
          <w:numId w:val="0"/>
        </w:numPr>
        <w:spacing w:after="0"/>
        <w:rPr>
          <w:lang w:eastAsia="en-US"/>
        </w:rPr>
      </w:pPr>
    </w:p>
    <w:p w14:paraId="7333F795" w14:textId="7ECF77D4" w:rsidR="00BC0AF3" w:rsidRPr="002B67F3" w:rsidRDefault="00BC0AF3" w:rsidP="00606ED8">
      <w:pPr>
        <w:pStyle w:val="Heading3"/>
        <w:spacing w:before="0" w:after="0"/>
      </w:pPr>
      <w:r w:rsidRPr="002B67F3">
        <w:t>Relevant actions for 2023</w:t>
      </w:r>
    </w:p>
    <w:p w14:paraId="17DB825A" w14:textId="67F19BEF" w:rsidR="008A5263" w:rsidRPr="002B67F3" w:rsidRDefault="0096517D" w:rsidP="008A5263">
      <w:pPr>
        <w:spacing w:after="240"/>
      </w:pPr>
      <w:r w:rsidRPr="002B67F3">
        <w:rPr>
          <w:iCs/>
        </w:rPr>
        <w:fldChar w:fldCharType="begin"/>
      </w:r>
      <w:r w:rsidRPr="002B67F3">
        <w:rPr>
          <w:iCs/>
        </w:rPr>
        <w:instrText xml:space="preserve"> AUTONUM  </w:instrText>
      </w:r>
      <w:r w:rsidRPr="002B67F3">
        <w:rPr>
          <w:iCs/>
        </w:rPr>
        <w:fldChar w:fldCharType="end"/>
      </w:r>
      <w:r w:rsidRPr="002B67F3">
        <w:rPr>
          <w:iCs/>
        </w:rPr>
        <w:tab/>
      </w:r>
      <w:r w:rsidR="008A5263" w:rsidRPr="002B67F3">
        <w:rPr>
          <w:iCs/>
        </w:rPr>
        <w:t xml:space="preserve">The Secretariat updated </w:t>
      </w:r>
      <w:r w:rsidR="008A5263" w:rsidRPr="002B67F3">
        <w:rPr>
          <w:szCs w:val="22"/>
        </w:rPr>
        <w:t>Part 7.1 of the WIPO Handbook with the survey results</w:t>
      </w:r>
      <w:r w:rsidR="001308BE" w:rsidRPr="002B67F3">
        <w:rPr>
          <w:szCs w:val="22"/>
        </w:rPr>
        <w:t xml:space="preserve"> </w:t>
      </w:r>
      <w:r w:rsidR="001308BE" w:rsidRPr="002B67F3">
        <w:t>on representation of calendar dates, which was reported</w:t>
      </w:r>
      <w:r w:rsidR="008A5263" w:rsidRPr="002B67F3">
        <w:rPr>
          <w:szCs w:val="22"/>
        </w:rPr>
        <w:t xml:space="preserve"> </w:t>
      </w:r>
      <w:r w:rsidR="001308BE" w:rsidRPr="002B67F3">
        <w:rPr>
          <w:szCs w:val="22"/>
        </w:rPr>
        <w:t xml:space="preserve">to the tenth session of the CWS in </w:t>
      </w:r>
      <w:r w:rsidR="008A5263" w:rsidRPr="002B67F3">
        <w:t xml:space="preserve">January 2023. </w:t>
      </w:r>
    </w:p>
    <w:p w14:paraId="10DC7CFE" w14:textId="31BFD270" w:rsidR="00ED1BDD" w:rsidRPr="00E0052F" w:rsidRDefault="00F360A9" w:rsidP="00ED1BDD">
      <w:pPr>
        <w:spacing w:after="240"/>
      </w:pPr>
      <w:r w:rsidRPr="002B67F3">
        <w:fldChar w:fldCharType="begin"/>
      </w:r>
      <w:r w:rsidRPr="002B67F3">
        <w:instrText xml:space="preserve"> AUTONUM  </w:instrText>
      </w:r>
      <w:r w:rsidRPr="002B67F3">
        <w:fldChar w:fldCharType="end"/>
      </w:r>
      <w:r w:rsidRPr="002B67F3">
        <w:tab/>
      </w:r>
      <w:r w:rsidR="00ED1BDD" w:rsidRPr="002B67F3">
        <w:t xml:space="preserve">The Task Force discussed how to conduct the two surveys </w:t>
      </w:r>
      <w:r w:rsidR="002B68B4" w:rsidRPr="002B67F3">
        <w:t xml:space="preserve">which </w:t>
      </w:r>
      <w:r w:rsidR="002B67F3">
        <w:t>were</w:t>
      </w:r>
      <w:r w:rsidR="002B67F3" w:rsidRPr="002B67F3">
        <w:t xml:space="preserve"> </w:t>
      </w:r>
      <w:r w:rsidR="00ED1BDD" w:rsidRPr="002B67F3">
        <w:t xml:space="preserve">planned </w:t>
      </w:r>
      <w:r w:rsidR="002B68B4" w:rsidRPr="002B67F3">
        <w:t>to</w:t>
      </w:r>
      <w:r w:rsidR="002B67F3">
        <w:t xml:space="preserve"> be</w:t>
      </w:r>
      <w:r w:rsidR="002B68B4" w:rsidRPr="002B67F3">
        <w:t xml:space="preserve"> conduct</w:t>
      </w:r>
      <w:r w:rsidR="002B67F3">
        <w:t>ed</w:t>
      </w:r>
      <w:r w:rsidR="002B68B4" w:rsidRPr="002B67F3">
        <w:t xml:space="preserve"> </w:t>
      </w:r>
      <w:r w:rsidR="00ED1BDD" w:rsidRPr="002B67F3">
        <w:t xml:space="preserve">in 2023 </w:t>
      </w:r>
      <w:r w:rsidR="002B67F3">
        <w:t>but</w:t>
      </w:r>
      <w:r w:rsidR="002B67F3" w:rsidRPr="002B67F3">
        <w:t xml:space="preserve"> </w:t>
      </w:r>
      <w:r w:rsidR="00ED1BDD" w:rsidRPr="002B67F3">
        <w:t xml:space="preserve">identified some issues.  In relation to the </w:t>
      </w:r>
      <w:r w:rsidRPr="002B67F3">
        <w:t xml:space="preserve">survey to </w:t>
      </w:r>
      <w:r w:rsidR="0047264D" w:rsidRPr="002B67F3">
        <w:t xml:space="preserve">update </w:t>
      </w:r>
      <w:r w:rsidRPr="002B67F3">
        <w:t xml:space="preserve">the </w:t>
      </w:r>
      <w:r w:rsidR="00ED1BDD" w:rsidRPr="002B67F3">
        <w:t>WIPO Handbook Part 7.</w:t>
      </w:r>
      <w:r w:rsidR="00C36CF6" w:rsidRPr="002B67F3">
        <w:t>6</w:t>
      </w:r>
      <w:r w:rsidR="00ED1BDD" w:rsidRPr="002B67F3">
        <w:t xml:space="preserve"> “</w:t>
      </w:r>
      <w:r w:rsidR="00ED1BDD" w:rsidRPr="00E0052F">
        <w:t>Bibliographic information in patent gazettes</w:t>
      </w:r>
      <w:r w:rsidR="002B67F3">
        <w:t>”</w:t>
      </w:r>
      <w:r w:rsidR="00ED1BDD" w:rsidRPr="00E0052F">
        <w:t xml:space="preserve">, </w:t>
      </w:r>
      <w:r w:rsidR="0047264D" w:rsidRPr="00E0052F">
        <w:t>t</w:t>
      </w:r>
      <w:r w:rsidR="00ED1BDD" w:rsidRPr="00E0052F">
        <w:t xml:space="preserve">he following survey was </w:t>
      </w:r>
      <w:r w:rsidR="002B67F3">
        <w:t xml:space="preserve">last </w:t>
      </w:r>
      <w:r w:rsidR="00ED1BDD" w:rsidRPr="00E0052F">
        <w:t xml:space="preserve">conducted through the </w:t>
      </w:r>
      <w:r w:rsidR="0047264D" w:rsidRPr="00E0052F">
        <w:t>Permanent Committee on Industrial Property Information (</w:t>
      </w:r>
      <w:r w:rsidR="00ED1BDD" w:rsidRPr="00E0052F">
        <w:t>PCIPI</w:t>
      </w:r>
      <w:r w:rsidR="0047264D" w:rsidRPr="00E0052F">
        <w:t>)</w:t>
      </w:r>
      <w:r w:rsidR="00ED1BDD" w:rsidRPr="00E0052F">
        <w:t xml:space="preserve"> Circular 1246/08.2 on August 18, 1989</w:t>
      </w:r>
      <w:r w:rsidR="002B67F3">
        <w:t>:</w:t>
      </w:r>
      <w:r w:rsidR="00ED1BDD" w:rsidRPr="00E0052F">
        <w:t xml:space="preserve">  </w:t>
      </w:r>
    </w:p>
    <w:p w14:paraId="37126328" w14:textId="77777777" w:rsidR="00E0052F" w:rsidRDefault="00F36D12" w:rsidP="00E0052F">
      <w:pPr>
        <w:spacing w:after="240"/>
        <w:ind w:left="567"/>
      </w:pPr>
      <w:r>
        <w:t>“</w:t>
      </w:r>
      <w:r w:rsidR="00AF50F7" w:rsidRPr="00E0052F">
        <w:rPr>
          <w:i/>
          <w:iCs/>
        </w:rPr>
        <w:t>Survey of bibliographic information contained in patent gazettes and in current indexes inserted in patent gazettes or published separately in association with patent gazettes</w:t>
      </w:r>
      <w:r>
        <w:t xml:space="preserve">” </w:t>
      </w:r>
    </w:p>
    <w:p w14:paraId="7C79A3A3" w14:textId="26F8EFC0" w:rsidR="00ED1BDD" w:rsidRPr="002B67F3" w:rsidRDefault="00F360A9" w:rsidP="008A5263">
      <w:pPr>
        <w:spacing w:after="240"/>
      </w:pPr>
      <w:r w:rsidRPr="002B67F3">
        <w:fldChar w:fldCharType="begin"/>
      </w:r>
      <w:r w:rsidRPr="002B67F3">
        <w:instrText xml:space="preserve"> AUTONUM  </w:instrText>
      </w:r>
      <w:r w:rsidRPr="002B67F3">
        <w:fldChar w:fldCharType="end"/>
      </w:r>
      <w:r w:rsidRPr="002B67F3">
        <w:tab/>
      </w:r>
      <w:r w:rsidR="0047264D" w:rsidRPr="002B67F3">
        <w:t xml:space="preserve">After further </w:t>
      </w:r>
      <w:r w:rsidR="002B67F3">
        <w:t>analyzing</w:t>
      </w:r>
      <w:r w:rsidR="002B67F3" w:rsidRPr="002B67F3">
        <w:t xml:space="preserve"> </w:t>
      </w:r>
      <w:r w:rsidR="0047264D" w:rsidRPr="002B67F3">
        <w:t>the history of th</w:t>
      </w:r>
      <w:r w:rsidR="002B67F3">
        <w:t>is</w:t>
      </w:r>
      <w:r w:rsidR="0047264D" w:rsidRPr="002B67F3">
        <w:t xml:space="preserve"> </w:t>
      </w:r>
      <w:r w:rsidR="002B67F3">
        <w:t xml:space="preserve">1989 </w:t>
      </w:r>
      <w:r w:rsidR="0047264D" w:rsidRPr="002B67F3">
        <w:t>survey, the International Bureau notes that the main objective of the survey was to revise Standards ST.11 and ST.19</w:t>
      </w:r>
      <w:r w:rsidR="002B67F3">
        <w:t>, as</w:t>
      </w:r>
      <w:r w:rsidR="0047264D" w:rsidRPr="002B67F3">
        <w:t xml:space="preserve"> </w:t>
      </w:r>
      <w:r w:rsidR="0047264D" w:rsidRPr="00E0052F">
        <w:t>requested by the former PCIPI Working Group,</w:t>
      </w:r>
      <w:r w:rsidR="0047264D" w:rsidRPr="002B67F3">
        <w:t xml:space="preserve"> which have not been revised since 1990.  Therefore, the Task Force requests the CWS to consider and decide whether those Standards should be revised before conducing the survey.  If the CWS decides to update the</w:t>
      </w:r>
      <w:r w:rsidR="002B67F3">
        <w:t>se</w:t>
      </w:r>
      <w:r w:rsidR="0047264D" w:rsidRPr="002B67F3">
        <w:t xml:space="preserve"> two Standards, the survey should be launched</w:t>
      </w:r>
      <w:r w:rsidR="000E45AD" w:rsidRPr="002B67F3">
        <w:t xml:space="preserve"> in 2024</w:t>
      </w:r>
      <w:r w:rsidR="0047264D" w:rsidRPr="002B67F3">
        <w:t>.</w:t>
      </w:r>
    </w:p>
    <w:p w14:paraId="6291F371" w14:textId="77777777" w:rsidR="00E0052F" w:rsidRDefault="00E0052F">
      <w:pPr>
        <w:rPr>
          <w:iCs/>
        </w:rPr>
      </w:pPr>
      <w:r>
        <w:rPr>
          <w:iCs/>
        </w:rPr>
        <w:br w:type="page"/>
      </w:r>
    </w:p>
    <w:p w14:paraId="67A2BC24" w14:textId="5A008F9A" w:rsidR="00C36CF6" w:rsidRPr="00E0052F" w:rsidRDefault="00F360A9" w:rsidP="004601C1">
      <w:pPr>
        <w:pStyle w:val="ONUMFS"/>
        <w:numPr>
          <w:ilvl w:val="0"/>
          <w:numId w:val="0"/>
        </w:numPr>
        <w:spacing w:after="0"/>
      </w:pPr>
      <w:r w:rsidRPr="002B67F3">
        <w:rPr>
          <w:iCs/>
        </w:rPr>
        <w:lastRenderedPageBreak/>
        <w:fldChar w:fldCharType="begin"/>
      </w:r>
      <w:r w:rsidRPr="002B67F3">
        <w:rPr>
          <w:iCs/>
        </w:rPr>
        <w:instrText xml:space="preserve"> AUTONUM  </w:instrText>
      </w:r>
      <w:r w:rsidRPr="002B67F3">
        <w:rPr>
          <w:iCs/>
        </w:rPr>
        <w:fldChar w:fldCharType="end"/>
      </w:r>
      <w:r w:rsidRPr="002B67F3">
        <w:rPr>
          <w:iCs/>
        </w:rPr>
        <w:tab/>
      </w:r>
      <w:proofErr w:type="gramStart"/>
      <w:r w:rsidR="0047264D" w:rsidRPr="002B67F3">
        <w:rPr>
          <w:iCs/>
        </w:rPr>
        <w:t>With regard to</w:t>
      </w:r>
      <w:proofErr w:type="gramEnd"/>
      <w:r w:rsidR="0047264D" w:rsidRPr="002B67F3">
        <w:rPr>
          <w:iCs/>
        </w:rPr>
        <w:t xml:space="preserve"> the survey to u</w:t>
      </w:r>
      <w:r w:rsidR="0047264D" w:rsidRPr="002B67F3">
        <w:t>pdate the WIPO Handbook Part 7.</w:t>
      </w:r>
      <w:r w:rsidR="00C36CF6" w:rsidRPr="002B67F3">
        <w:t>9</w:t>
      </w:r>
      <w:r w:rsidRPr="002B67F3">
        <w:t xml:space="preserve"> “</w:t>
      </w:r>
      <w:r w:rsidRPr="00E0052F">
        <w:t>Citation practices</w:t>
      </w:r>
      <w:r w:rsidR="002B67F3">
        <w:t>”</w:t>
      </w:r>
      <w:r w:rsidRPr="00E0052F">
        <w:t xml:space="preserve">, the Task Force reviewed the survey questionnaire which was </w:t>
      </w:r>
      <w:r w:rsidR="002B67F3">
        <w:t>last sent</w:t>
      </w:r>
      <w:r w:rsidR="002B67F3" w:rsidRPr="00E0052F">
        <w:t xml:space="preserve"> </w:t>
      </w:r>
      <w:r w:rsidRPr="00E0052F">
        <w:t xml:space="preserve">in 2008 </w:t>
      </w:r>
      <w:r w:rsidR="00AA0821" w:rsidRPr="00E0052F">
        <w:t xml:space="preserve">(see the Annex to the present document) </w:t>
      </w:r>
      <w:r w:rsidRPr="00E0052F">
        <w:t xml:space="preserve">and discussed whether the content is still valid to gather </w:t>
      </w:r>
      <w:r w:rsidR="002B67F3">
        <w:t xml:space="preserve">feedback from IPOs on their </w:t>
      </w:r>
      <w:r w:rsidRPr="00E0052F">
        <w:t>current citation practice.  The Task Force agreed that the survey questionnaire should be updated before starting a new survey</w:t>
      </w:r>
      <w:r w:rsidR="00F822F9" w:rsidRPr="00E0052F">
        <w:t xml:space="preserve"> </w:t>
      </w:r>
      <w:proofErr w:type="gramStart"/>
      <w:r w:rsidR="002B67F3">
        <w:t>in light of</w:t>
      </w:r>
      <w:proofErr w:type="gramEnd"/>
      <w:r w:rsidR="002B67F3">
        <w:t xml:space="preserve"> the</w:t>
      </w:r>
      <w:r w:rsidR="002B67F3" w:rsidRPr="00E0052F">
        <w:t xml:space="preserve"> </w:t>
      </w:r>
      <w:r w:rsidR="00F822F9" w:rsidRPr="00E0052F">
        <w:t xml:space="preserve">new </w:t>
      </w:r>
      <w:r w:rsidR="002B67F3">
        <w:t>types</w:t>
      </w:r>
      <w:r w:rsidR="002B67F3" w:rsidRPr="00E0052F">
        <w:t xml:space="preserve"> </w:t>
      </w:r>
      <w:r w:rsidR="00F822F9" w:rsidRPr="00E0052F">
        <w:t xml:space="preserve">of citation </w:t>
      </w:r>
      <w:r w:rsidR="002B67F3">
        <w:t>including referencing videos</w:t>
      </w:r>
      <w:r w:rsidR="00F822F9" w:rsidRPr="00E0052F">
        <w:t>, and new data format and platform for citations</w:t>
      </w:r>
      <w:r w:rsidR="00F36D12">
        <w:t>,</w:t>
      </w:r>
      <w:r w:rsidR="00C36CF6" w:rsidRPr="00E0052F">
        <w:t xml:space="preserve"> among other reasons</w:t>
      </w:r>
      <w:r w:rsidR="00F822F9" w:rsidRPr="00E0052F">
        <w:t xml:space="preserve">.  </w:t>
      </w:r>
      <w:r w:rsidR="00C36CF6" w:rsidRPr="00E0052F">
        <w:t xml:space="preserve">The International Bureau, as the Task Force Leader, has been working on to prepare a revised </w:t>
      </w:r>
      <w:r w:rsidR="002B67F3" w:rsidRPr="002B67F3">
        <w:t>questionnaire</w:t>
      </w:r>
      <w:r w:rsidR="00C36CF6" w:rsidRPr="00E0052F">
        <w:t xml:space="preserve"> for consideration at this session of the CWS, in collaboration </w:t>
      </w:r>
      <w:r w:rsidR="00F36D12">
        <w:t>with</w:t>
      </w:r>
      <w:r w:rsidR="00C36CF6" w:rsidRPr="00E0052F">
        <w:t xml:space="preserve"> Task Force members, but it requires more time to </w:t>
      </w:r>
      <w:r w:rsidR="00840BF6" w:rsidRPr="00840BF6">
        <w:t>complete</w:t>
      </w:r>
      <w:r w:rsidR="00C36CF6" w:rsidRPr="00E0052F">
        <w:t xml:space="preserve"> </w:t>
      </w:r>
      <w:r w:rsidR="00840BF6">
        <w:t>the updated questionnaire</w:t>
      </w:r>
      <w:r w:rsidR="00C36CF6" w:rsidRPr="00E0052F">
        <w:t xml:space="preserve">.  Once the CWS approves the Part 7 Task Force </w:t>
      </w:r>
      <w:r w:rsidR="00887C5B">
        <w:t>will</w:t>
      </w:r>
      <w:r w:rsidR="00887C5B" w:rsidRPr="00E0052F">
        <w:t xml:space="preserve"> </w:t>
      </w:r>
      <w:r w:rsidR="00C36CF6" w:rsidRPr="00E0052F">
        <w:t xml:space="preserve">prepare </w:t>
      </w:r>
      <w:r w:rsidR="00887C5B">
        <w:t>the updated</w:t>
      </w:r>
      <w:r w:rsidR="00C36CF6" w:rsidRPr="00E0052F">
        <w:t xml:space="preserve"> </w:t>
      </w:r>
      <w:r w:rsidR="00840BF6" w:rsidRPr="00840BF6">
        <w:t>question</w:t>
      </w:r>
      <w:r w:rsidR="00840BF6">
        <w:t>naire</w:t>
      </w:r>
      <w:r w:rsidR="00C36CF6" w:rsidRPr="00E0052F">
        <w:t xml:space="preserve"> on citation practice and present it to the next session of the CWS in 2024 for consideration</w:t>
      </w:r>
      <w:r w:rsidR="00887C5B">
        <w:t xml:space="preserve"> and approval</w:t>
      </w:r>
      <w:r w:rsidR="00C36CF6" w:rsidRPr="00E0052F">
        <w:t>.</w:t>
      </w:r>
    </w:p>
    <w:p w14:paraId="2954527D" w14:textId="77777777" w:rsidR="000E45AD" w:rsidRPr="00E0052F" w:rsidRDefault="000E45AD" w:rsidP="004601C1">
      <w:pPr>
        <w:pStyle w:val="ONUMFS"/>
        <w:numPr>
          <w:ilvl w:val="0"/>
          <w:numId w:val="0"/>
        </w:numPr>
        <w:spacing w:after="0"/>
      </w:pPr>
    </w:p>
    <w:p w14:paraId="3DF0F89A" w14:textId="16C4CF28" w:rsidR="00F822F9" w:rsidRPr="00E0052F" w:rsidRDefault="000E45AD" w:rsidP="004601C1">
      <w:pPr>
        <w:pStyle w:val="ONUMFS"/>
        <w:numPr>
          <w:ilvl w:val="0"/>
          <w:numId w:val="0"/>
        </w:numPr>
        <w:spacing w:after="0"/>
      </w:pPr>
      <w:r w:rsidRPr="00E0052F">
        <w:fldChar w:fldCharType="begin"/>
      </w:r>
      <w:r w:rsidRPr="00E0052F">
        <w:instrText xml:space="preserve"> AUTONUM  </w:instrText>
      </w:r>
      <w:r w:rsidRPr="00E0052F">
        <w:fldChar w:fldCharType="end"/>
      </w:r>
      <w:r w:rsidRPr="00E0052F">
        <w:tab/>
      </w:r>
      <w:r w:rsidR="00C36CF6" w:rsidRPr="00E0052F">
        <w:t xml:space="preserve">One Task Force Office also suggested </w:t>
      </w:r>
      <w:r w:rsidR="00335E3C" w:rsidRPr="00E0052F">
        <w:t xml:space="preserve">that </w:t>
      </w:r>
      <w:r w:rsidR="00C36CF6" w:rsidRPr="00E0052F">
        <w:t xml:space="preserve">the specific purpose for the survey and intended use of the information collected </w:t>
      </w:r>
      <w:r w:rsidR="00335E3C" w:rsidRPr="00E0052F">
        <w:t xml:space="preserve">should be </w:t>
      </w:r>
      <w:r w:rsidR="002B67F3" w:rsidRPr="002B67F3">
        <w:t>clarified</w:t>
      </w:r>
      <w:r w:rsidR="00335E3C" w:rsidRPr="00E0052F">
        <w:t xml:space="preserve"> before </w:t>
      </w:r>
      <w:r w:rsidR="00887C5B">
        <w:t>conducting</w:t>
      </w:r>
      <w:r w:rsidR="00887C5B" w:rsidRPr="00E0052F">
        <w:t xml:space="preserve"> </w:t>
      </w:r>
      <w:r w:rsidR="00335E3C" w:rsidRPr="00E0052F">
        <w:t>th</w:t>
      </w:r>
      <w:r w:rsidR="00887C5B">
        <w:t>is</w:t>
      </w:r>
      <w:r w:rsidR="00335E3C" w:rsidRPr="00E0052F">
        <w:t xml:space="preserve"> survey</w:t>
      </w:r>
      <w:r w:rsidR="00887C5B">
        <w:t>, especially</w:t>
      </w:r>
      <w:r w:rsidR="00335E3C" w:rsidRPr="00E0052F">
        <w:t xml:space="preserve"> </w:t>
      </w:r>
      <w:proofErr w:type="gramStart"/>
      <w:r w:rsidR="002B67F3" w:rsidRPr="002B67F3">
        <w:t>taking</w:t>
      </w:r>
      <w:r w:rsidR="00C36CF6" w:rsidRPr="00E0052F">
        <w:t xml:space="preserve"> into account</w:t>
      </w:r>
      <w:proofErr w:type="gramEnd"/>
      <w:r w:rsidR="00C36CF6" w:rsidRPr="00E0052F">
        <w:t xml:space="preserve"> </w:t>
      </w:r>
      <w:r w:rsidR="00335E3C" w:rsidRPr="00E0052F">
        <w:t xml:space="preserve">that </w:t>
      </w:r>
      <w:r w:rsidR="00C36CF6" w:rsidRPr="00E0052F">
        <w:t xml:space="preserve">significant </w:t>
      </w:r>
      <w:r w:rsidR="00887C5B">
        <w:t xml:space="preserve">staff </w:t>
      </w:r>
      <w:r w:rsidR="00335E3C" w:rsidRPr="00E0052F">
        <w:t xml:space="preserve">resources are required </w:t>
      </w:r>
      <w:r w:rsidR="00C36CF6" w:rsidRPr="00E0052F">
        <w:t xml:space="preserve">to complete a survey.  </w:t>
      </w:r>
      <w:r w:rsidR="00887C5B">
        <w:t xml:space="preserve">As a result, the </w:t>
      </w:r>
      <w:r w:rsidR="00840BF6">
        <w:t>Part 7 Task Force</w:t>
      </w:r>
      <w:r w:rsidR="00887C5B">
        <w:t xml:space="preserve"> will make clear</w:t>
      </w:r>
      <w:r w:rsidR="00C36CF6" w:rsidRPr="00E0052F">
        <w:t xml:space="preserve"> who the</w:t>
      </w:r>
      <w:r w:rsidR="00887C5B">
        <w:t>se</w:t>
      </w:r>
      <w:r w:rsidR="00C36CF6" w:rsidRPr="00E0052F">
        <w:t xml:space="preserve"> consumers or end users of the </w:t>
      </w:r>
      <w:r w:rsidR="00335E3C" w:rsidRPr="00E0052F">
        <w:t xml:space="preserve">survey </w:t>
      </w:r>
      <w:r w:rsidR="00C36CF6" w:rsidRPr="00E0052F">
        <w:t>information</w:t>
      </w:r>
      <w:r w:rsidR="00887C5B">
        <w:t xml:space="preserve"> are</w:t>
      </w:r>
      <w:r w:rsidR="00C36CF6" w:rsidRPr="00E0052F">
        <w:t xml:space="preserve"> to enable the maximum benefit and return from the survey input.  </w:t>
      </w:r>
    </w:p>
    <w:p w14:paraId="32C48BEA" w14:textId="7E5C012B" w:rsidR="00274B4B" w:rsidRPr="002B67F3" w:rsidRDefault="00274B4B" w:rsidP="00495B26">
      <w:pPr>
        <w:pStyle w:val="ONUMFS"/>
        <w:numPr>
          <w:ilvl w:val="0"/>
          <w:numId w:val="0"/>
        </w:numPr>
        <w:spacing w:after="0"/>
        <w:rPr>
          <w:szCs w:val="26"/>
          <w:u w:val="single"/>
        </w:rPr>
      </w:pPr>
    </w:p>
    <w:p w14:paraId="376788BE" w14:textId="0F57B4EC" w:rsidR="00BC0AF3" w:rsidRPr="002B67F3" w:rsidRDefault="00BC0AF3" w:rsidP="00606ED8">
      <w:pPr>
        <w:pStyle w:val="Heading3"/>
        <w:spacing w:before="0" w:after="0"/>
      </w:pPr>
      <w:r w:rsidRPr="002B67F3">
        <w:t>Potential Challenges or Dependencies</w:t>
      </w:r>
    </w:p>
    <w:p w14:paraId="7C79E43F" w14:textId="174BF51F" w:rsidR="00FB7269" w:rsidRPr="002B67F3" w:rsidRDefault="0096517D" w:rsidP="00E0052F">
      <w:pPr>
        <w:pStyle w:val="ONUMFS"/>
        <w:numPr>
          <w:ilvl w:val="0"/>
          <w:numId w:val="0"/>
        </w:numPr>
        <w:rPr>
          <w:iCs/>
        </w:rPr>
      </w:pPr>
      <w:r w:rsidRPr="002B67F3">
        <w:rPr>
          <w:iCs/>
        </w:rPr>
        <w:fldChar w:fldCharType="begin"/>
      </w:r>
      <w:r w:rsidRPr="002B67F3">
        <w:rPr>
          <w:iCs/>
        </w:rPr>
        <w:instrText xml:space="preserve"> AUTONUM  </w:instrText>
      </w:r>
      <w:r w:rsidRPr="002B67F3">
        <w:rPr>
          <w:iCs/>
        </w:rPr>
        <w:fldChar w:fldCharType="end"/>
      </w:r>
      <w:r w:rsidRPr="002B67F3">
        <w:rPr>
          <w:iCs/>
        </w:rPr>
        <w:tab/>
      </w:r>
      <w:r w:rsidR="00FB7269" w:rsidRPr="002B67F3">
        <w:rPr>
          <w:iCs/>
        </w:rPr>
        <w:t xml:space="preserve">The Task Force identified several challenges </w:t>
      </w:r>
      <w:r w:rsidR="001477A8" w:rsidRPr="002B67F3">
        <w:rPr>
          <w:iCs/>
        </w:rPr>
        <w:t xml:space="preserve">or dependencies </w:t>
      </w:r>
      <w:r w:rsidR="00887C5B">
        <w:rPr>
          <w:iCs/>
        </w:rPr>
        <w:t xml:space="preserve">in </w:t>
      </w:r>
      <w:r w:rsidR="004601C1" w:rsidRPr="002B67F3">
        <w:rPr>
          <w:iCs/>
        </w:rPr>
        <w:t xml:space="preserve">conducting their </w:t>
      </w:r>
      <w:r w:rsidR="001477A8" w:rsidRPr="002B67F3">
        <w:rPr>
          <w:iCs/>
        </w:rPr>
        <w:t>work</w:t>
      </w:r>
      <w:r w:rsidR="00FB7269" w:rsidRPr="002B67F3">
        <w:rPr>
          <w:iCs/>
        </w:rPr>
        <w:t>:</w:t>
      </w:r>
    </w:p>
    <w:p w14:paraId="6642B656" w14:textId="2C1EC3F0" w:rsidR="00FB7269" w:rsidRPr="002B67F3" w:rsidRDefault="00FB7269" w:rsidP="00C7202A">
      <w:pPr>
        <w:pStyle w:val="ONUMFS"/>
        <w:numPr>
          <w:ilvl w:val="0"/>
          <w:numId w:val="17"/>
        </w:numPr>
        <w:rPr>
          <w:iCs/>
        </w:rPr>
      </w:pPr>
      <w:r w:rsidRPr="002B67F3">
        <w:rPr>
          <w:iCs/>
        </w:rPr>
        <w:t xml:space="preserve">The International Bureau is leading several CWS Tasks and CWS Task Forces, and it is </w:t>
      </w:r>
      <w:r w:rsidR="004601C1" w:rsidRPr="002B67F3">
        <w:rPr>
          <w:iCs/>
        </w:rPr>
        <w:t>experiencing staff resourcing issues</w:t>
      </w:r>
      <w:r w:rsidRPr="002B67F3">
        <w:rPr>
          <w:iCs/>
        </w:rPr>
        <w:t xml:space="preserve"> to support and lead </w:t>
      </w:r>
      <w:r w:rsidR="001477A8" w:rsidRPr="002B67F3">
        <w:rPr>
          <w:iCs/>
        </w:rPr>
        <w:t>a</w:t>
      </w:r>
      <w:r w:rsidRPr="002B67F3">
        <w:rPr>
          <w:iCs/>
        </w:rPr>
        <w:t>ctivities</w:t>
      </w:r>
      <w:r w:rsidR="00887C5B">
        <w:rPr>
          <w:iCs/>
        </w:rPr>
        <w:t xml:space="preserve"> conducted under Task No. 50</w:t>
      </w:r>
      <w:r w:rsidR="00C7202A" w:rsidRPr="002B67F3">
        <w:rPr>
          <w:iCs/>
        </w:rPr>
        <w:t>;</w:t>
      </w:r>
      <w:r w:rsidR="00887C5B">
        <w:rPr>
          <w:iCs/>
        </w:rPr>
        <w:t xml:space="preserve"> and</w:t>
      </w:r>
    </w:p>
    <w:p w14:paraId="16A954FE" w14:textId="4471FFBC" w:rsidR="00887C5B" w:rsidRDefault="00887C5B" w:rsidP="00887C5B">
      <w:pPr>
        <w:pStyle w:val="ONUMFS"/>
        <w:numPr>
          <w:ilvl w:val="0"/>
          <w:numId w:val="17"/>
        </w:numPr>
        <w:rPr>
          <w:iCs/>
        </w:rPr>
      </w:pPr>
      <w:r>
        <w:rPr>
          <w:iCs/>
        </w:rPr>
        <w:t xml:space="preserve">There is not active participation in this </w:t>
      </w:r>
      <w:r w:rsidR="001477A8" w:rsidRPr="002B67F3">
        <w:rPr>
          <w:iCs/>
        </w:rPr>
        <w:t>T</w:t>
      </w:r>
      <w:r w:rsidR="00C7202A" w:rsidRPr="002B67F3">
        <w:rPr>
          <w:iCs/>
        </w:rPr>
        <w:t xml:space="preserve">ask </w:t>
      </w:r>
      <w:r>
        <w:rPr>
          <w:iCs/>
        </w:rPr>
        <w:t>as it may</w:t>
      </w:r>
      <w:r w:rsidRPr="002B67F3">
        <w:rPr>
          <w:iCs/>
        </w:rPr>
        <w:t xml:space="preserve"> </w:t>
      </w:r>
      <w:r w:rsidR="00FB7269" w:rsidRPr="002B67F3">
        <w:rPr>
          <w:iCs/>
        </w:rPr>
        <w:t xml:space="preserve">not be a </w:t>
      </w:r>
      <w:r w:rsidR="00C7202A" w:rsidRPr="002B67F3">
        <w:rPr>
          <w:iCs/>
        </w:rPr>
        <w:t xml:space="preserve">high </w:t>
      </w:r>
      <w:r w:rsidR="00FB7269" w:rsidRPr="002B67F3">
        <w:rPr>
          <w:iCs/>
        </w:rPr>
        <w:t xml:space="preserve">priority </w:t>
      </w:r>
      <w:r w:rsidR="00C7202A" w:rsidRPr="002B67F3">
        <w:rPr>
          <w:iCs/>
        </w:rPr>
        <w:t xml:space="preserve">to </w:t>
      </w:r>
      <w:r w:rsidR="004601C1" w:rsidRPr="002B67F3">
        <w:rPr>
          <w:iCs/>
        </w:rPr>
        <w:t xml:space="preserve">some </w:t>
      </w:r>
      <w:r w:rsidR="00FB7269" w:rsidRPr="002B67F3">
        <w:rPr>
          <w:iCs/>
        </w:rPr>
        <w:t>IP</w:t>
      </w:r>
      <w:r w:rsidR="001477A8" w:rsidRPr="002B67F3">
        <w:rPr>
          <w:iCs/>
        </w:rPr>
        <w:t>O</w:t>
      </w:r>
      <w:r w:rsidR="00FB7269" w:rsidRPr="002B67F3">
        <w:rPr>
          <w:iCs/>
        </w:rPr>
        <w:t>s</w:t>
      </w:r>
      <w:r>
        <w:rPr>
          <w:iCs/>
        </w:rPr>
        <w:t>.</w:t>
      </w:r>
    </w:p>
    <w:p w14:paraId="2BFD2E1B" w14:textId="5AAF6B04" w:rsidR="00FB7269" w:rsidRPr="00887C5B" w:rsidRDefault="002B68B4" w:rsidP="00887C5B">
      <w:pPr>
        <w:pStyle w:val="ONUMFS"/>
        <w:numPr>
          <w:ilvl w:val="0"/>
          <w:numId w:val="0"/>
        </w:numPr>
        <w:ind w:left="360"/>
        <w:rPr>
          <w:iCs/>
        </w:rPr>
      </w:pPr>
      <w:r w:rsidRPr="00887C5B">
        <w:rPr>
          <w:iCs/>
        </w:rPr>
        <w:t xml:space="preserve">The identified issues should be first discussed and guided by the CWS before conducting the two surveys. </w:t>
      </w:r>
      <w:r w:rsidR="00606ED8" w:rsidRPr="00887C5B">
        <w:rPr>
          <w:iCs/>
        </w:rPr>
        <w:br/>
      </w:r>
    </w:p>
    <w:p w14:paraId="2878BF1D" w14:textId="19C2FF3D" w:rsidR="00BC0AF3" w:rsidRPr="002B67F3" w:rsidRDefault="00BC0AF3" w:rsidP="00606ED8">
      <w:pPr>
        <w:pStyle w:val="Heading3"/>
        <w:spacing w:before="0" w:after="0"/>
      </w:pPr>
      <w:r w:rsidRPr="002B67F3">
        <w:t>Progress evaluation</w:t>
      </w:r>
    </w:p>
    <w:p w14:paraId="69A73697" w14:textId="3DCBD30F" w:rsidR="002B7317" w:rsidRDefault="0096517D" w:rsidP="00606ED8">
      <w:pPr>
        <w:pStyle w:val="ONUMFS"/>
        <w:numPr>
          <w:ilvl w:val="0"/>
          <w:numId w:val="0"/>
        </w:numPr>
        <w:spacing w:after="0"/>
        <w:rPr>
          <w:iCs/>
        </w:rPr>
      </w:pPr>
      <w:r w:rsidRPr="002B67F3">
        <w:rPr>
          <w:iCs/>
        </w:rPr>
        <w:fldChar w:fldCharType="begin"/>
      </w:r>
      <w:r w:rsidRPr="002B67F3">
        <w:rPr>
          <w:iCs/>
        </w:rPr>
        <w:instrText xml:space="preserve"> AUTONUM  </w:instrText>
      </w:r>
      <w:r w:rsidRPr="002B67F3">
        <w:rPr>
          <w:iCs/>
        </w:rPr>
        <w:fldChar w:fldCharType="end"/>
      </w:r>
      <w:r w:rsidRPr="002B67F3">
        <w:rPr>
          <w:iCs/>
        </w:rPr>
        <w:tab/>
      </w:r>
      <w:r w:rsidR="00C7202A" w:rsidRPr="002B67F3">
        <w:rPr>
          <w:iCs/>
        </w:rPr>
        <w:t xml:space="preserve">Noting the challenges and dependencies indicated above, the Task Force </w:t>
      </w:r>
      <w:r w:rsidR="002B68B4" w:rsidRPr="002B67F3">
        <w:rPr>
          <w:iCs/>
        </w:rPr>
        <w:t xml:space="preserve">has not made substantive </w:t>
      </w:r>
      <w:r w:rsidR="00887C5B">
        <w:rPr>
          <w:iCs/>
        </w:rPr>
        <w:t>progress since the last session of the CWS</w:t>
      </w:r>
      <w:r w:rsidR="00C7202A" w:rsidRPr="002B67F3">
        <w:rPr>
          <w:iCs/>
        </w:rPr>
        <w:t xml:space="preserve">. </w:t>
      </w:r>
      <w:r w:rsidR="002B68B4" w:rsidRPr="002B67F3">
        <w:rPr>
          <w:iCs/>
        </w:rPr>
        <w:t xml:space="preserve"> </w:t>
      </w:r>
      <w:r w:rsidR="000E45AD" w:rsidRPr="002B67F3">
        <w:rPr>
          <w:iCs/>
        </w:rPr>
        <w:t xml:space="preserve">The results of surveys published under the Part 7 of WIPO Handbook are useful to </w:t>
      </w:r>
      <w:r w:rsidR="00887C5B">
        <w:rPr>
          <w:iCs/>
        </w:rPr>
        <w:t>understand</w:t>
      </w:r>
      <w:r w:rsidR="00887C5B" w:rsidRPr="002B67F3">
        <w:rPr>
          <w:iCs/>
        </w:rPr>
        <w:t xml:space="preserve"> </w:t>
      </w:r>
      <w:r w:rsidR="000E45AD" w:rsidRPr="002B67F3">
        <w:rPr>
          <w:iCs/>
        </w:rPr>
        <w:t xml:space="preserve">IPOs’ practices, but the </w:t>
      </w:r>
      <w:r w:rsidR="002B68B4" w:rsidRPr="002B67F3">
        <w:rPr>
          <w:iCs/>
        </w:rPr>
        <w:t xml:space="preserve">Task Force is </w:t>
      </w:r>
      <w:r w:rsidR="00887C5B">
        <w:rPr>
          <w:iCs/>
        </w:rPr>
        <w:t xml:space="preserve">currently </w:t>
      </w:r>
      <w:r w:rsidR="002B68B4" w:rsidRPr="002B67F3">
        <w:rPr>
          <w:iCs/>
        </w:rPr>
        <w:t xml:space="preserve">busy </w:t>
      </w:r>
      <w:r w:rsidR="00887C5B">
        <w:rPr>
          <w:iCs/>
        </w:rPr>
        <w:t>so unable to make significant progress</w:t>
      </w:r>
      <w:r w:rsidR="002B68B4" w:rsidRPr="002B67F3">
        <w:rPr>
          <w:iCs/>
        </w:rPr>
        <w:t xml:space="preserve">.  </w:t>
      </w:r>
    </w:p>
    <w:p w14:paraId="6C5B875F" w14:textId="5863C265" w:rsidR="00840BF6" w:rsidRDefault="00840BF6" w:rsidP="00606ED8">
      <w:pPr>
        <w:pStyle w:val="ONUMFS"/>
        <w:numPr>
          <w:ilvl w:val="0"/>
          <w:numId w:val="0"/>
        </w:numPr>
        <w:spacing w:after="0"/>
        <w:rPr>
          <w:iCs/>
        </w:rPr>
      </w:pPr>
    </w:p>
    <w:p w14:paraId="06257FE6" w14:textId="0F09F0B4" w:rsidR="00840BF6" w:rsidRPr="002B67F3" w:rsidRDefault="00E0052F" w:rsidP="00606ED8">
      <w:pPr>
        <w:pStyle w:val="ONUMFS"/>
        <w:numPr>
          <w:ilvl w:val="0"/>
          <w:numId w:val="0"/>
        </w:numPr>
        <w:spacing w:after="0"/>
        <w:rPr>
          <w:iCs/>
        </w:rPr>
      </w:pPr>
      <w:r>
        <w:rPr>
          <w:iCs/>
        </w:rPr>
        <w:fldChar w:fldCharType="begin"/>
      </w:r>
      <w:r>
        <w:rPr>
          <w:iCs/>
        </w:rPr>
        <w:instrText xml:space="preserve"> AUTONUM  </w:instrText>
      </w:r>
      <w:r>
        <w:rPr>
          <w:iCs/>
        </w:rPr>
        <w:fldChar w:fldCharType="end"/>
      </w:r>
      <w:r>
        <w:rPr>
          <w:iCs/>
        </w:rPr>
        <w:tab/>
      </w:r>
      <w:r w:rsidR="00840BF6">
        <w:rPr>
          <w:iCs/>
        </w:rPr>
        <w:t>The International Bureau propose</w:t>
      </w:r>
      <w:r>
        <w:rPr>
          <w:iCs/>
        </w:rPr>
        <w:t>s</w:t>
      </w:r>
      <w:r w:rsidR="00840BF6">
        <w:rPr>
          <w:iCs/>
        </w:rPr>
        <w:t xml:space="preserve"> to </w:t>
      </w:r>
      <w:r>
        <w:rPr>
          <w:iCs/>
        </w:rPr>
        <w:t>replace the word “industrial" with “intellectual” in the description of Task No. 50 as the title of WIPO Handbook was amended.  The revised description reads “</w:t>
      </w:r>
      <w:r w:rsidRPr="00E0052F">
        <w:rPr>
          <w:iCs/>
        </w:rPr>
        <w:t>Ensure the necessary maintenance and update of surveys published in Part 7 of the WIPO Handbook on In</w:t>
      </w:r>
      <w:r>
        <w:rPr>
          <w:iCs/>
        </w:rPr>
        <w:t xml:space="preserve">tellectual </w:t>
      </w:r>
      <w:r w:rsidRPr="00E0052F">
        <w:rPr>
          <w:iCs/>
        </w:rPr>
        <w:t>Property Information and Documentation.</w:t>
      </w:r>
      <w:r>
        <w:rPr>
          <w:iCs/>
        </w:rPr>
        <w:t>”</w:t>
      </w:r>
      <w:r w:rsidR="00840BF6">
        <w:rPr>
          <w:iCs/>
        </w:rPr>
        <w:t xml:space="preserve"> </w:t>
      </w:r>
    </w:p>
    <w:p w14:paraId="08E4FE70" w14:textId="77777777" w:rsidR="00606ED8" w:rsidRPr="002B67F3" w:rsidRDefault="00606ED8" w:rsidP="00606ED8">
      <w:pPr>
        <w:pStyle w:val="Heading2"/>
        <w:spacing w:before="0"/>
      </w:pPr>
    </w:p>
    <w:p w14:paraId="0C04D6E6" w14:textId="77777777" w:rsidR="00E0052F" w:rsidRDefault="00E0052F">
      <w:pPr>
        <w:rPr>
          <w:bCs/>
          <w:iCs/>
          <w:caps/>
          <w:szCs w:val="28"/>
        </w:rPr>
      </w:pPr>
      <w:r>
        <w:br w:type="page"/>
      </w:r>
    </w:p>
    <w:p w14:paraId="5012E84E" w14:textId="7E513255" w:rsidR="00BC0AF3" w:rsidRPr="002B67F3" w:rsidRDefault="00BC0AF3" w:rsidP="00606ED8">
      <w:pPr>
        <w:pStyle w:val="Heading2"/>
        <w:spacing w:before="0"/>
      </w:pPr>
      <w:r w:rsidRPr="002B67F3">
        <w:lastRenderedPageBreak/>
        <w:t>WORK PLAN</w:t>
      </w:r>
    </w:p>
    <w:p w14:paraId="43A2352B" w14:textId="445DEC35" w:rsidR="000E45AD" w:rsidRPr="002B67F3" w:rsidRDefault="0096517D" w:rsidP="000E45AD">
      <w:r w:rsidRPr="002B67F3">
        <w:rPr>
          <w:lang w:eastAsia="en-US"/>
        </w:rPr>
        <w:fldChar w:fldCharType="begin"/>
      </w:r>
      <w:r w:rsidRPr="002B67F3">
        <w:rPr>
          <w:lang w:eastAsia="en-US"/>
        </w:rPr>
        <w:instrText xml:space="preserve"> AUTONUM  </w:instrText>
      </w:r>
      <w:r w:rsidRPr="002B67F3">
        <w:rPr>
          <w:lang w:eastAsia="en-US"/>
        </w:rPr>
        <w:fldChar w:fldCharType="end"/>
      </w:r>
      <w:r w:rsidRPr="002B67F3">
        <w:rPr>
          <w:lang w:eastAsia="en-US"/>
        </w:rPr>
        <w:tab/>
      </w:r>
      <w:r w:rsidR="000E45AD" w:rsidRPr="002B67F3">
        <w:t>The proposed work plan, incorporating the consideration and decision points above, is as follows:</w:t>
      </w:r>
    </w:p>
    <w:tbl>
      <w:tblPr>
        <w:tblStyle w:val="TableGrid"/>
        <w:tblpPr w:leftFromText="180" w:rightFromText="180" w:vertAnchor="text" w:tblpY="1"/>
        <w:tblOverlap w:val="never"/>
        <w:tblW w:w="8995" w:type="dxa"/>
        <w:tblLayout w:type="fixed"/>
        <w:tblCellMar>
          <w:top w:w="57" w:type="dxa"/>
          <w:bottom w:w="57" w:type="dxa"/>
        </w:tblCellMar>
        <w:tblLook w:val="04A0" w:firstRow="1" w:lastRow="0" w:firstColumn="1" w:lastColumn="0" w:noHBand="0" w:noVBand="1"/>
      </w:tblPr>
      <w:tblGrid>
        <w:gridCol w:w="1555"/>
        <w:gridCol w:w="3543"/>
        <w:gridCol w:w="1276"/>
        <w:gridCol w:w="2621"/>
      </w:tblGrid>
      <w:tr w:rsidR="000E45AD" w:rsidRPr="002B67F3" w14:paraId="2CCDE68A" w14:textId="77777777" w:rsidTr="00FB3395">
        <w:trPr>
          <w:trHeight w:val="721"/>
        </w:trPr>
        <w:tc>
          <w:tcPr>
            <w:tcW w:w="1555" w:type="dxa"/>
            <w:shd w:val="clear" w:color="auto" w:fill="D9D9D9" w:themeFill="background1" w:themeFillShade="D9"/>
            <w:vAlign w:val="center"/>
          </w:tcPr>
          <w:p w14:paraId="40DE8438" w14:textId="77777777" w:rsidR="000E45AD" w:rsidRPr="002B67F3" w:rsidRDefault="000E45AD" w:rsidP="00FB3395">
            <w:pPr>
              <w:spacing w:after="60"/>
              <w:jc w:val="center"/>
              <w:rPr>
                <w:b/>
              </w:rPr>
            </w:pPr>
            <w:r w:rsidRPr="002B67F3">
              <w:rPr>
                <w:b/>
              </w:rPr>
              <w:t>Section</w:t>
            </w:r>
          </w:p>
        </w:tc>
        <w:tc>
          <w:tcPr>
            <w:tcW w:w="3543" w:type="dxa"/>
            <w:shd w:val="clear" w:color="auto" w:fill="D9D9D9" w:themeFill="background1" w:themeFillShade="D9"/>
            <w:vAlign w:val="center"/>
          </w:tcPr>
          <w:p w14:paraId="33832AC4" w14:textId="77777777" w:rsidR="000E45AD" w:rsidRPr="002B67F3" w:rsidRDefault="000E45AD" w:rsidP="00FB3395">
            <w:pPr>
              <w:spacing w:after="60"/>
              <w:jc w:val="center"/>
              <w:rPr>
                <w:b/>
              </w:rPr>
            </w:pPr>
            <w:r w:rsidRPr="002B67F3">
              <w:rPr>
                <w:b/>
              </w:rPr>
              <w:t>Topic</w:t>
            </w:r>
          </w:p>
        </w:tc>
        <w:tc>
          <w:tcPr>
            <w:tcW w:w="1276" w:type="dxa"/>
            <w:shd w:val="clear" w:color="auto" w:fill="D9D9D9" w:themeFill="background1" w:themeFillShade="D9"/>
            <w:vAlign w:val="center"/>
          </w:tcPr>
          <w:p w14:paraId="4A0C738D" w14:textId="77777777" w:rsidR="000E45AD" w:rsidRPr="002B67F3" w:rsidRDefault="000E45AD" w:rsidP="00FB3395">
            <w:pPr>
              <w:spacing w:after="60"/>
              <w:jc w:val="center"/>
              <w:rPr>
                <w:b/>
              </w:rPr>
            </w:pPr>
            <w:r w:rsidRPr="002B67F3">
              <w:rPr>
                <w:b/>
              </w:rPr>
              <w:t>Last</w:t>
            </w:r>
          </w:p>
          <w:p w14:paraId="5AB9B399" w14:textId="77777777" w:rsidR="000E45AD" w:rsidRPr="002B67F3" w:rsidRDefault="000E45AD" w:rsidP="00FB3395">
            <w:pPr>
              <w:spacing w:after="60"/>
              <w:jc w:val="center"/>
              <w:rPr>
                <w:b/>
              </w:rPr>
            </w:pPr>
            <w:r w:rsidRPr="002B67F3">
              <w:rPr>
                <w:b/>
              </w:rPr>
              <w:t>Published</w:t>
            </w:r>
          </w:p>
        </w:tc>
        <w:tc>
          <w:tcPr>
            <w:tcW w:w="2621" w:type="dxa"/>
            <w:shd w:val="clear" w:color="auto" w:fill="D9D9D9" w:themeFill="background1" w:themeFillShade="D9"/>
            <w:vAlign w:val="center"/>
          </w:tcPr>
          <w:p w14:paraId="212BEA72" w14:textId="77777777" w:rsidR="000E45AD" w:rsidRPr="002B67F3" w:rsidRDefault="000E45AD" w:rsidP="00FB3395">
            <w:pPr>
              <w:spacing w:after="60"/>
              <w:jc w:val="center"/>
              <w:rPr>
                <w:b/>
              </w:rPr>
            </w:pPr>
            <w:r w:rsidRPr="002B67F3">
              <w:rPr>
                <w:b/>
              </w:rPr>
              <w:t>Status</w:t>
            </w:r>
          </w:p>
        </w:tc>
      </w:tr>
      <w:tr w:rsidR="000E45AD" w:rsidRPr="002B67F3" w14:paraId="7BCB7E56" w14:textId="77777777" w:rsidTr="00FB3395">
        <w:tc>
          <w:tcPr>
            <w:tcW w:w="1555" w:type="dxa"/>
            <w:tcBorders>
              <w:top w:val="single" w:sz="4" w:space="0" w:color="auto"/>
              <w:bottom w:val="single" w:sz="4" w:space="0" w:color="auto"/>
            </w:tcBorders>
            <w:shd w:val="clear" w:color="auto" w:fill="auto"/>
          </w:tcPr>
          <w:p w14:paraId="72120EC7" w14:textId="77777777" w:rsidR="000E45AD" w:rsidRPr="002B67F3" w:rsidRDefault="000E45AD" w:rsidP="00FB3395">
            <w:pPr>
              <w:spacing w:after="60"/>
            </w:pPr>
            <w:r w:rsidRPr="002B67F3">
              <w:t>Part 7.9</w:t>
            </w:r>
          </w:p>
        </w:tc>
        <w:tc>
          <w:tcPr>
            <w:tcW w:w="3543" w:type="dxa"/>
          </w:tcPr>
          <w:p w14:paraId="39CDCF8B" w14:textId="77777777" w:rsidR="000E45AD" w:rsidRPr="00E0052F" w:rsidRDefault="000E45AD" w:rsidP="00FB3395">
            <w:pPr>
              <w:spacing w:after="60"/>
            </w:pPr>
            <w:r w:rsidRPr="00E0052F">
              <w:t>Citation practices</w:t>
            </w:r>
          </w:p>
        </w:tc>
        <w:tc>
          <w:tcPr>
            <w:tcW w:w="1276" w:type="dxa"/>
            <w:shd w:val="clear" w:color="auto" w:fill="auto"/>
          </w:tcPr>
          <w:p w14:paraId="279FED07" w14:textId="77777777" w:rsidR="000E45AD" w:rsidRPr="002B67F3" w:rsidRDefault="000E45AD" w:rsidP="00FB3395">
            <w:pPr>
              <w:spacing w:after="60"/>
              <w:jc w:val="center"/>
            </w:pPr>
            <w:r w:rsidRPr="002B67F3">
              <w:t>2008</w:t>
            </w:r>
          </w:p>
        </w:tc>
        <w:tc>
          <w:tcPr>
            <w:tcW w:w="2621" w:type="dxa"/>
          </w:tcPr>
          <w:p w14:paraId="3D54DDBD" w14:textId="6F4173CD" w:rsidR="000E45AD" w:rsidRPr="002B67F3" w:rsidRDefault="000E45AD" w:rsidP="00FB3395">
            <w:pPr>
              <w:spacing w:after="60"/>
              <w:jc w:val="center"/>
            </w:pPr>
            <w:r w:rsidRPr="002B67F3">
              <w:t>Prepare a survey questionnaire in 2024 and update in 2025 upon the decision by the CWS at its eleventh session</w:t>
            </w:r>
          </w:p>
        </w:tc>
      </w:tr>
      <w:tr w:rsidR="000E45AD" w:rsidRPr="002B67F3" w14:paraId="1F249378" w14:textId="77777777" w:rsidTr="00FB3395">
        <w:tc>
          <w:tcPr>
            <w:tcW w:w="1555" w:type="dxa"/>
            <w:tcBorders>
              <w:top w:val="single" w:sz="4" w:space="0" w:color="auto"/>
              <w:bottom w:val="single" w:sz="4" w:space="0" w:color="auto"/>
            </w:tcBorders>
            <w:shd w:val="clear" w:color="auto" w:fill="auto"/>
          </w:tcPr>
          <w:p w14:paraId="48BAB1E9" w14:textId="77777777" w:rsidR="000E45AD" w:rsidRPr="002B67F3" w:rsidRDefault="000E45AD" w:rsidP="00FB3395">
            <w:pPr>
              <w:spacing w:after="60"/>
            </w:pPr>
            <w:r w:rsidRPr="002B67F3">
              <w:t>Part 7.6</w:t>
            </w:r>
          </w:p>
        </w:tc>
        <w:tc>
          <w:tcPr>
            <w:tcW w:w="3543" w:type="dxa"/>
          </w:tcPr>
          <w:p w14:paraId="3D481D79" w14:textId="77777777" w:rsidR="000E45AD" w:rsidRPr="00E0052F" w:rsidRDefault="000E45AD" w:rsidP="00FB3395">
            <w:pPr>
              <w:spacing w:after="60"/>
            </w:pPr>
            <w:r w:rsidRPr="00E0052F">
              <w:t>Bibliographic information in patent gazettes</w:t>
            </w:r>
          </w:p>
        </w:tc>
        <w:tc>
          <w:tcPr>
            <w:tcW w:w="1276" w:type="dxa"/>
            <w:shd w:val="clear" w:color="auto" w:fill="auto"/>
          </w:tcPr>
          <w:p w14:paraId="129F7F08" w14:textId="77777777" w:rsidR="000E45AD" w:rsidRPr="002B67F3" w:rsidRDefault="000E45AD" w:rsidP="00FB3395">
            <w:pPr>
              <w:spacing w:after="60"/>
              <w:jc w:val="center"/>
            </w:pPr>
            <w:r w:rsidRPr="002B67F3">
              <w:t>1990</w:t>
            </w:r>
          </w:p>
        </w:tc>
        <w:tc>
          <w:tcPr>
            <w:tcW w:w="2621" w:type="dxa"/>
          </w:tcPr>
          <w:p w14:paraId="0BD901BE" w14:textId="19A73754" w:rsidR="000E45AD" w:rsidRPr="002B67F3" w:rsidRDefault="000E45AD" w:rsidP="00FB3395">
            <w:pPr>
              <w:spacing w:after="60"/>
              <w:jc w:val="center"/>
            </w:pPr>
            <w:r w:rsidRPr="002B67F3">
              <w:t>2024 upon the decision by the CWS at its eleventh session</w:t>
            </w:r>
          </w:p>
        </w:tc>
      </w:tr>
      <w:tr w:rsidR="000E45AD" w:rsidRPr="002B67F3" w14:paraId="47644A4A" w14:textId="77777777" w:rsidTr="00FB3395">
        <w:tc>
          <w:tcPr>
            <w:tcW w:w="1555" w:type="dxa"/>
            <w:shd w:val="clear" w:color="auto" w:fill="auto"/>
          </w:tcPr>
          <w:p w14:paraId="593A13F8" w14:textId="77777777" w:rsidR="000E45AD" w:rsidRPr="002B67F3" w:rsidRDefault="000E45AD" w:rsidP="00FB3395">
            <w:pPr>
              <w:spacing w:after="60"/>
            </w:pPr>
            <w:r w:rsidRPr="002B67F3">
              <w:t>Part 7.2.6 &amp;</w:t>
            </w:r>
          </w:p>
          <w:p w14:paraId="241D05D6" w14:textId="77777777" w:rsidR="000E45AD" w:rsidRPr="002B67F3" w:rsidRDefault="000E45AD" w:rsidP="00FB3395">
            <w:pPr>
              <w:spacing w:after="60"/>
            </w:pPr>
            <w:r w:rsidRPr="002B67F3">
              <w:t>Part 7.2.7</w:t>
            </w:r>
          </w:p>
        </w:tc>
        <w:tc>
          <w:tcPr>
            <w:tcW w:w="3543" w:type="dxa"/>
          </w:tcPr>
          <w:p w14:paraId="08759612" w14:textId="77777777" w:rsidR="000E45AD" w:rsidRPr="002B67F3" w:rsidRDefault="000E45AD" w:rsidP="00FB3395">
            <w:pPr>
              <w:spacing w:after="60"/>
            </w:pPr>
            <w:r w:rsidRPr="002B67F3">
              <w:t>Application numbering – current practices &amp; former practices</w:t>
            </w:r>
          </w:p>
        </w:tc>
        <w:tc>
          <w:tcPr>
            <w:tcW w:w="1276" w:type="dxa"/>
            <w:shd w:val="clear" w:color="auto" w:fill="auto"/>
          </w:tcPr>
          <w:p w14:paraId="220AF447" w14:textId="77777777" w:rsidR="000E45AD" w:rsidRPr="002B67F3" w:rsidRDefault="000E45AD" w:rsidP="00FB3395">
            <w:pPr>
              <w:spacing w:after="60"/>
              <w:jc w:val="center"/>
            </w:pPr>
            <w:r w:rsidRPr="002B67F3">
              <w:t>2017</w:t>
            </w:r>
          </w:p>
        </w:tc>
        <w:tc>
          <w:tcPr>
            <w:tcW w:w="2621" w:type="dxa"/>
          </w:tcPr>
          <w:p w14:paraId="194A0310" w14:textId="412DFD31" w:rsidR="000E45AD" w:rsidRPr="002B67F3" w:rsidRDefault="000E45AD" w:rsidP="00FB3395">
            <w:pPr>
              <w:spacing w:after="60"/>
              <w:jc w:val="center"/>
            </w:pPr>
            <w:r w:rsidRPr="002B67F3">
              <w:t>update it in 2025</w:t>
            </w:r>
          </w:p>
        </w:tc>
      </w:tr>
      <w:tr w:rsidR="000E45AD" w:rsidRPr="002B67F3" w14:paraId="477BB20C" w14:textId="77777777" w:rsidTr="00FB3395">
        <w:tc>
          <w:tcPr>
            <w:tcW w:w="1555" w:type="dxa"/>
            <w:shd w:val="clear" w:color="auto" w:fill="auto"/>
          </w:tcPr>
          <w:p w14:paraId="6D82CBAD" w14:textId="77777777" w:rsidR="000E45AD" w:rsidRPr="002B67F3" w:rsidRDefault="000E45AD" w:rsidP="00FB3395">
            <w:pPr>
              <w:spacing w:after="60"/>
            </w:pPr>
            <w:r w:rsidRPr="002B67F3">
              <w:t>Part 7.3</w:t>
            </w:r>
          </w:p>
        </w:tc>
        <w:tc>
          <w:tcPr>
            <w:tcW w:w="3543" w:type="dxa"/>
          </w:tcPr>
          <w:p w14:paraId="4DCCA109" w14:textId="77777777" w:rsidR="000E45AD" w:rsidRPr="002B67F3" w:rsidRDefault="000E45AD" w:rsidP="00FB3395">
            <w:pPr>
              <w:spacing w:after="60"/>
            </w:pPr>
            <w:r w:rsidRPr="002B67F3">
              <w:t>Examples and kinds of patent documents</w:t>
            </w:r>
          </w:p>
        </w:tc>
        <w:tc>
          <w:tcPr>
            <w:tcW w:w="1276" w:type="dxa"/>
            <w:shd w:val="clear" w:color="auto" w:fill="auto"/>
          </w:tcPr>
          <w:p w14:paraId="3E4AB368" w14:textId="77777777" w:rsidR="000E45AD" w:rsidRPr="002B67F3" w:rsidRDefault="000E45AD" w:rsidP="00FB3395">
            <w:pPr>
              <w:spacing w:after="60"/>
              <w:jc w:val="center"/>
            </w:pPr>
            <w:r w:rsidRPr="002B67F3">
              <w:t>2016</w:t>
            </w:r>
          </w:p>
        </w:tc>
        <w:tc>
          <w:tcPr>
            <w:tcW w:w="2621" w:type="dxa"/>
          </w:tcPr>
          <w:p w14:paraId="52D16E27" w14:textId="501FCE4F" w:rsidR="000E45AD" w:rsidRPr="002B67F3" w:rsidRDefault="000E45AD" w:rsidP="00FB3395">
            <w:pPr>
              <w:spacing w:after="60"/>
              <w:jc w:val="center"/>
            </w:pPr>
            <w:r w:rsidRPr="002B67F3">
              <w:t>update it in 2026</w:t>
            </w:r>
          </w:p>
        </w:tc>
      </w:tr>
    </w:tbl>
    <w:p w14:paraId="3080F2F1" w14:textId="2A8D04DA" w:rsidR="00AF50F7" w:rsidRPr="002B67F3" w:rsidRDefault="000E45AD">
      <w:pPr>
        <w:rPr>
          <w:lang w:eastAsia="en-US"/>
        </w:rPr>
      </w:pPr>
      <w:r w:rsidRPr="002B67F3">
        <w:br w:type="textWrapping" w:clear="all"/>
      </w:r>
    </w:p>
    <w:p w14:paraId="0E4A37DF" w14:textId="72EFC584" w:rsidR="00204D15" w:rsidRPr="002B67F3" w:rsidRDefault="00204D15" w:rsidP="000E45AD">
      <w:pPr>
        <w:rPr>
          <w:lang w:eastAsia="en-US"/>
        </w:rPr>
      </w:pPr>
    </w:p>
    <w:p w14:paraId="3E557859" w14:textId="797993CC" w:rsidR="000113FC" w:rsidRPr="002B67F3" w:rsidRDefault="00A703B9" w:rsidP="00A703B9">
      <w:pPr>
        <w:pStyle w:val="ONUMFS"/>
        <w:numPr>
          <w:ilvl w:val="0"/>
          <w:numId w:val="0"/>
        </w:numPr>
        <w:spacing w:after="120"/>
        <w:ind w:left="5530"/>
        <w:rPr>
          <w:i/>
        </w:rPr>
      </w:pPr>
      <w:r w:rsidRPr="002B67F3">
        <w:rPr>
          <w:i/>
          <w:szCs w:val="22"/>
        </w:rPr>
        <w:fldChar w:fldCharType="begin"/>
      </w:r>
      <w:r w:rsidRPr="002B67F3">
        <w:rPr>
          <w:i/>
          <w:szCs w:val="22"/>
        </w:rPr>
        <w:instrText xml:space="preserve"> AUTONUM  </w:instrText>
      </w:r>
      <w:r w:rsidRPr="002B67F3">
        <w:rPr>
          <w:i/>
          <w:szCs w:val="22"/>
        </w:rPr>
        <w:fldChar w:fldCharType="end"/>
      </w:r>
      <w:r w:rsidRPr="002B67F3">
        <w:rPr>
          <w:i/>
          <w:szCs w:val="22"/>
        </w:rPr>
        <w:tab/>
      </w:r>
      <w:r w:rsidR="000113FC" w:rsidRPr="002B67F3">
        <w:rPr>
          <w:i/>
          <w:szCs w:val="22"/>
        </w:rPr>
        <w:t>Th</w:t>
      </w:r>
      <w:r w:rsidR="000113FC" w:rsidRPr="002B67F3">
        <w:rPr>
          <w:i/>
        </w:rPr>
        <w:t xml:space="preserve">e CWS is invited to: </w:t>
      </w:r>
    </w:p>
    <w:p w14:paraId="6FF6BC68" w14:textId="77F3302A" w:rsidR="000113FC" w:rsidRPr="002B67F3" w:rsidRDefault="000113FC" w:rsidP="000113FC">
      <w:pPr>
        <w:pStyle w:val="BodyText"/>
        <w:tabs>
          <w:tab w:val="left" w:pos="6160"/>
          <w:tab w:val="left" w:pos="6710"/>
        </w:tabs>
        <w:ind w:left="5530"/>
        <w:rPr>
          <w:i/>
        </w:rPr>
      </w:pPr>
      <w:r w:rsidRPr="002B67F3">
        <w:rPr>
          <w:i/>
        </w:rPr>
        <w:tab/>
        <w:t>(a)</w:t>
      </w:r>
      <w:r w:rsidRPr="002B67F3">
        <w:rPr>
          <w:i/>
        </w:rPr>
        <w:tab/>
        <w:t xml:space="preserve">note the content of </w:t>
      </w:r>
      <w:r w:rsidR="00772528" w:rsidRPr="002B67F3">
        <w:rPr>
          <w:i/>
        </w:rPr>
        <w:t xml:space="preserve">this </w:t>
      </w:r>
      <w:r w:rsidRPr="002B67F3">
        <w:rPr>
          <w:i/>
        </w:rPr>
        <w:t>document</w:t>
      </w:r>
      <w:r w:rsidR="0096517D" w:rsidRPr="002B67F3">
        <w:rPr>
          <w:i/>
        </w:rPr>
        <w:t xml:space="preserve"> and the Annex to the present document</w:t>
      </w:r>
      <w:r w:rsidRPr="002B67F3">
        <w:rPr>
          <w:i/>
        </w:rPr>
        <w:t xml:space="preserve">; </w:t>
      </w:r>
      <w:r w:rsidR="0096517D" w:rsidRPr="002B67F3">
        <w:rPr>
          <w:i/>
        </w:rPr>
        <w:t>and</w:t>
      </w:r>
    </w:p>
    <w:p w14:paraId="43A23A12" w14:textId="7EFFE51A" w:rsidR="00DC37BC" w:rsidRPr="002B67F3" w:rsidRDefault="000113FC" w:rsidP="00C36CF6">
      <w:pPr>
        <w:pStyle w:val="BodyText"/>
        <w:tabs>
          <w:tab w:val="left" w:pos="6160"/>
          <w:tab w:val="left" w:pos="6710"/>
        </w:tabs>
        <w:ind w:left="5530"/>
        <w:rPr>
          <w:i/>
        </w:rPr>
      </w:pPr>
      <w:r w:rsidRPr="002B67F3">
        <w:rPr>
          <w:i/>
        </w:rPr>
        <w:tab/>
        <w:t>(b)</w:t>
      </w:r>
      <w:r w:rsidRPr="002B67F3">
        <w:rPr>
          <w:i/>
        </w:rPr>
        <w:tab/>
      </w:r>
      <w:r w:rsidR="0096517D" w:rsidRPr="002B67F3">
        <w:rPr>
          <w:i/>
        </w:rPr>
        <w:t xml:space="preserve">consider and </w:t>
      </w:r>
      <w:r w:rsidR="00C36CF6" w:rsidRPr="002B67F3">
        <w:rPr>
          <w:i/>
        </w:rPr>
        <w:t>decide the need of revision of WIPO Standards ST.11 and ST.19, and consequently the survey to update the WIPO Handbook Part 7.6 “Bibliographic information in patent gazettes »</w:t>
      </w:r>
      <w:r w:rsidR="00E344B7" w:rsidRPr="002B67F3">
        <w:rPr>
          <w:i/>
        </w:rPr>
        <w:t xml:space="preserve">, as </w:t>
      </w:r>
      <w:r w:rsidR="0096517D" w:rsidRPr="002B67F3">
        <w:rPr>
          <w:i/>
        </w:rPr>
        <w:t xml:space="preserve">referred to in paragraphs </w:t>
      </w:r>
      <w:r w:rsidR="00C36CF6" w:rsidRPr="002B67F3">
        <w:rPr>
          <w:i/>
        </w:rPr>
        <w:t>8</w:t>
      </w:r>
      <w:r w:rsidR="0096517D" w:rsidRPr="002B67F3">
        <w:rPr>
          <w:i/>
        </w:rPr>
        <w:t xml:space="preserve"> and </w:t>
      </w:r>
      <w:r w:rsidR="00C36CF6" w:rsidRPr="002B67F3">
        <w:rPr>
          <w:i/>
        </w:rPr>
        <w:t>9</w:t>
      </w:r>
      <w:r w:rsidR="0096517D" w:rsidRPr="002B67F3">
        <w:rPr>
          <w:i/>
        </w:rPr>
        <w:t xml:space="preserve"> </w:t>
      </w:r>
      <w:proofErr w:type="gramStart"/>
      <w:r w:rsidR="0096517D" w:rsidRPr="002B67F3">
        <w:rPr>
          <w:i/>
        </w:rPr>
        <w:t>above</w:t>
      </w:r>
      <w:r w:rsidR="00C36CF6" w:rsidRPr="002B67F3">
        <w:rPr>
          <w:i/>
        </w:rPr>
        <w:t>;</w:t>
      </w:r>
      <w:proofErr w:type="gramEnd"/>
      <w:r w:rsidR="00C36CF6" w:rsidRPr="002B67F3">
        <w:rPr>
          <w:i/>
        </w:rPr>
        <w:t xml:space="preserve"> </w:t>
      </w:r>
    </w:p>
    <w:p w14:paraId="79B5BE0C" w14:textId="1BE593DD" w:rsidR="00335E3C" w:rsidRPr="002B67F3" w:rsidRDefault="00C36CF6" w:rsidP="00C36CF6">
      <w:pPr>
        <w:pStyle w:val="BodyText"/>
        <w:tabs>
          <w:tab w:val="left" w:pos="6160"/>
          <w:tab w:val="left" w:pos="6710"/>
        </w:tabs>
        <w:ind w:left="5530"/>
        <w:rPr>
          <w:i/>
        </w:rPr>
      </w:pPr>
      <w:r w:rsidRPr="002B67F3">
        <w:rPr>
          <w:i/>
        </w:rPr>
        <w:tab/>
        <w:t>(c)</w:t>
      </w:r>
      <w:r w:rsidRPr="002B67F3">
        <w:rPr>
          <w:i/>
        </w:rPr>
        <w:tab/>
      </w:r>
      <w:r w:rsidR="00840BF6">
        <w:rPr>
          <w:i/>
        </w:rPr>
        <w:t xml:space="preserve">comment on </w:t>
      </w:r>
      <w:r w:rsidR="00335E3C" w:rsidRPr="002B67F3">
        <w:rPr>
          <w:i/>
        </w:rPr>
        <w:t xml:space="preserve">a specific purpose for the survey on the citation practice and the intended use of the information collected as well as identifying the consumers of the survey information as referred to in paragraph 11 </w:t>
      </w:r>
      <w:proofErr w:type="gramStart"/>
      <w:r w:rsidR="00335E3C" w:rsidRPr="002B67F3">
        <w:rPr>
          <w:i/>
        </w:rPr>
        <w:t>above;</w:t>
      </w:r>
      <w:proofErr w:type="gramEnd"/>
    </w:p>
    <w:p w14:paraId="1DCA87B4" w14:textId="5166577B" w:rsidR="00D61527" w:rsidRDefault="00335E3C" w:rsidP="00335E3C">
      <w:pPr>
        <w:pStyle w:val="BodyText"/>
        <w:tabs>
          <w:tab w:val="left" w:pos="6160"/>
          <w:tab w:val="left" w:pos="6710"/>
        </w:tabs>
        <w:ind w:left="5530"/>
        <w:rPr>
          <w:i/>
        </w:rPr>
      </w:pPr>
      <w:r w:rsidRPr="002B67F3">
        <w:rPr>
          <w:i/>
        </w:rPr>
        <w:tab/>
        <w:t xml:space="preserve">(d) </w:t>
      </w:r>
      <w:r w:rsidR="00E0052F">
        <w:rPr>
          <w:i/>
        </w:rPr>
        <w:tab/>
      </w:r>
      <w:r w:rsidR="00C36CF6" w:rsidRPr="002B67F3">
        <w:rPr>
          <w:i/>
        </w:rPr>
        <w:t>decide</w:t>
      </w:r>
      <w:r w:rsidRPr="002B67F3">
        <w:rPr>
          <w:i/>
        </w:rPr>
        <w:t xml:space="preserve"> that</w:t>
      </w:r>
      <w:r w:rsidR="00C36CF6" w:rsidRPr="002B67F3">
        <w:rPr>
          <w:i/>
        </w:rPr>
        <w:t xml:space="preserve"> </w:t>
      </w:r>
      <w:r w:rsidRPr="002B67F3">
        <w:rPr>
          <w:i/>
        </w:rPr>
        <w:t>the survey questionnaire on the citation practice should be updated and request the Part 7 Task Force to present a new survey questionnaire at its twelfth session</w:t>
      </w:r>
      <w:r w:rsidR="00C36CF6" w:rsidRPr="002B67F3">
        <w:rPr>
          <w:i/>
        </w:rPr>
        <w:t xml:space="preserve"> as referred to in paragraph</w:t>
      </w:r>
      <w:r w:rsidRPr="002B67F3">
        <w:rPr>
          <w:i/>
        </w:rPr>
        <w:t xml:space="preserve"> 10 </w:t>
      </w:r>
      <w:proofErr w:type="gramStart"/>
      <w:r w:rsidR="00C36CF6" w:rsidRPr="002B67F3">
        <w:rPr>
          <w:i/>
        </w:rPr>
        <w:t>above</w:t>
      </w:r>
      <w:r w:rsidR="00D61527">
        <w:rPr>
          <w:i/>
        </w:rPr>
        <w:t>;</w:t>
      </w:r>
      <w:proofErr w:type="gramEnd"/>
      <w:r w:rsidR="00D61527">
        <w:rPr>
          <w:i/>
        </w:rPr>
        <w:t xml:space="preserve"> </w:t>
      </w:r>
    </w:p>
    <w:p w14:paraId="159C788A" w14:textId="77777777" w:rsidR="008404A5" w:rsidRDefault="00E0052F" w:rsidP="008404A5">
      <w:pPr>
        <w:pStyle w:val="BodyText"/>
        <w:tabs>
          <w:tab w:val="left" w:pos="6160"/>
          <w:tab w:val="left" w:pos="6710"/>
        </w:tabs>
        <w:ind w:left="5530"/>
        <w:rPr>
          <w:i/>
        </w:rPr>
      </w:pPr>
      <w:r>
        <w:rPr>
          <w:i/>
        </w:rPr>
        <w:lastRenderedPageBreak/>
        <w:tab/>
        <w:t>(e)</w:t>
      </w:r>
      <w:r>
        <w:rPr>
          <w:i/>
        </w:rPr>
        <w:tab/>
        <w:t>approve the amendment to the description of Task No. 50 as referred to paragraph 14 above; and</w:t>
      </w:r>
    </w:p>
    <w:p w14:paraId="2A8D1A1C" w14:textId="74692EAA" w:rsidR="00DA6220" w:rsidRPr="008404A5" w:rsidRDefault="008404A5" w:rsidP="008404A5">
      <w:pPr>
        <w:pStyle w:val="BodyText"/>
        <w:tabs>
          <w:tab w:val="left" w:pos="6160"/>
          <w:tab w:val="left" w:pos="6710"/>
        </w:tabs>
        <w:ind w:left="5530"/>
        <w:rPr>
          <w:i/>
        </w:rPr>
      </w:pPr>
      <w:r>
        <w:rPr>
          <w:i/>
        </w:rPr>
        <w:tab/>
        <w:t>(f)</w:t>
      </w:r>
      <w:r>
        <w:rPr>
          <w:i/>
        </w:rPr>
        <w:tab/>
      </w:r>
      <w:r w:rsidR="00D61527">
        <w:rPr>
          <w:i/>
        </w:rPr>
        <w:t>consider an approve the updated work plan as indicated in paragraph 1</w:t>
      </w:r>
      <w:r w:rsidR="00E0052F">
        <w:rPr>
          <w:i/>
        </w:rPr>
        <w:t>5</w:t>
      </w:r>
      <w:r w:rsidR="00D61527">
        <w:rPr>
          <w:i/>
        </w:rPr>
        <w:t xml:space="preserve"> above.</w:t>
      </w:r>
      <w:r w:rsidR="00335E3C" w:rsidRPr="002B67F3">
        <w:rPr>
          <w:i/>
        </w:rPr>
        <w:t xml:space="preserve"> </w:t>
      </w:r>
      <w:r w:rsidR="00C36CF6" w:rsidRPr="002B67F3">
        <w:rPr>
          <w:i/>
        </w:rPr>
        <w:t xml:space="preserve"> </w:t>
      </w:r>
    </w:p>
    <w:p w14:paraId="1B80F0F4" w14:textId="7B231C62" w:rsidR="002928D3" w:rsidRPr="002B67F3" w:rsidRDefault="002444C2" w:rsidP="004601C1">
      <w:pPr>
        <w:pStyle w:val="Endofdocument"/>
      </w:pPr>
      <w:r w:rsidRPr="002B67F3">
        <w:rPr>
          <w:rFonts w:cs="Arial"/>
          <w:sz w:val="22"/>
          <w:szCs w:val="22"/>
        </w:rPr>
        <w:t>[Annex follows]</w:t>
      </w:r>
    </w:p>
    <w:sectPr w:rsidR="002928D3" w:rsidRPr="002B67F3" w:rsidSect="00AB132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0FB1B" w14:textId="77777777" w:rsidR="008A010D" w:rsidRDefault="008A010D">
      <w:r>
        <w:separator/>
      </w:r>
    </w:p>
  </w:endnote>
  <w:endnote w:type="continuationSeparator" w:id="0">
    <w:p w14:paraId="2650DB27" w14:textId="77777777" w:rsidR="008A010D" w:rsidRDefault="008A010D" w:rsidP="003B38C1">
      <w:r>
        <w:separator/>
      </w:r>
    </w:p>
    <w:p w14:paraId="06F43A58" w14:textId="77777777" w:rsidR="008A010D" w:rsidRPr="003B38C1" w:rsidRDefault="008A010D" w:rsidP="003B38C1">
      <w:pPr>
        <w:spacing w:after="60"/>
        <w:rPr>
          <w:sz w:val="17"/>
        </w:rPr>
      </w:pPr>
      <w:r>
        <w:rPr>
          <w:sz w:val="17"/>
        </w:rPr>
        <w:t>[Endnote continued from previous page]</w:t>
      </w:r>
    </w:p>
  </w:endnote>
  <w:endnote w:type="continuationNotice" w:id="1">
    <w:p w14:paraId="539D412D" w14:textId="77777777" w:rsidR="008A010D" w:rsidRPr="003B38C1" w:rsidRDefault="008A010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EC6D" w14:textId="77777777" w:rsidR="00AF50F7" w:rsidRDefault="00AF5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5053" w14:textId="77777777" w:rsidR="00AF50F7" w:rsidRDefault="00AF5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1875" w14:textId="77777777" w:rsidR="00AF50F7" w:rsidRDefault="00AF5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E379B" w14:textId="77777777" w:rsidR="008A010D" w:rsidRDefault="008A010D">
      <w:r>
        <w:separator/>
      </w:r>
    </w:p>
  </w:footnote>
  <w:footnote w:type="continuationSeparator" w:id="0">
    <w:p w14:paraId="58D30D74" w14:textId="77777777" w:rsidR="008A010D" w:rsidRDefault="008A010D" w:rsidP="008B60B2">
      <w:r>
        <w:separator/>
      </w:r>
    </w:p>
    <w:p w14:paraId="33B7F069" w14:textId="77777777" w:rsidR="008A010D" w:rsidRPr="00ED77FB" w:rsidRDefault="008A010D" w:rsidP="008B60B2">
      <w:pPr>
        <w:spacing w:after="60"/>
        <w:rPr>
          <w:sz w:val="17"/>
          <w:szCs w:val="17"/>
        </w:rPr>
      </w:pPr>
      <w:r w:rsidRPr="00ED77FB">
        <w:rPr>
          <w:sz w:val="17"/>
          <w:szCs w:val="17"/>
        </w:rPr>
        <w:t>[Footnote continued from previous page]</w:t>
      </w:r>
    </w:p>
  </w:footnote>
  <w:footnote w:type="continuationNotice" w:id="1">
    <w:p w14:paraId="289EF99F" w14:textId="77777777" w:rsidR="008A010D" w:rsidRPr="00ED77FB" w:rsidRDefault="008A010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8E22" w14:textId="28D25DF5" w:rsidR="00AB1326" w:rsidRDefault="00AB1326" w:rsidP="00DC37BC">
    <w:pPr>
      <w:jc w:val="right"/>
    </w:pPr>
    <w:r>
      <w:t>CWS/</w:t>
    </w:r>
    <w:r w:rsidR="00606ED8">
      <w:t>11</w:t>
    </w:r>
    <w:r>
      <w:t>/</w:t>
    </w:r>
    <w:r w:rsidR="008A5263">
      <w:t>24</w:t>
    </w:r>
  </w:p>
  <w:p w14:paraId="41357948" w14:textId="3AA5476E" w:rsidR="00AB1326" w:rsidRDefault="00AB1326" w:rsidP="00AB1326">
    <w:pPr>
      <w:jc w:val="right"/>
    </w:pPr>
    <w:r>
      <w:t xml:space="preserve">page </w:t>
    </w:r>
    <w:r>
      <w:fldChar w:fldCharType="begin"/>
    </w:r>
    <w:r>
      <w:instrText xml:space="preserve"> PAGE  \* MERGEFORMAT </w:instrText>
    </w:r>
    <w:r>
      <w:fldChar w:fldCharType="separate"/>
    </w:r>
    <w:r w:rsidR="002444C2">
      <w:rPr>
        <w:noProof/>
      </w:rPr>
      <w:t>2</w:t>
    </w:r>
    <w:r>
      <w:fldChar w:fldCharType="end"/>
    </w:r>
  </w:p>
  <w:p w14:paraId="3B7A8B36" w14:textId="77777777" w:rsidR="00AB1326" w:rsidRDefault="00AB1326" w:rsidP="00AB1326">
    <w:pPr>
      <w:jc w:val="right"/>
    </w:pPr>
  </w:p>
  <w:p w14:paraId="673B581A" w14:textId="77777777" w:rsidR="00AB1326" w:rsidRDefault="00AB1326" w:rsidP="00AB1326">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CB45" w14:textId="43E3E398" w:rsidR="007D1090" w:rsidRDefault="007D1090" w:rsidP="00F55529">
    <w:pPr>
      <w:jc w:val="right"/>
    </w:pPr>
    <w:r>
      <w:t>CWS/</w:t>
    </w:r>
    <w:r w:rsidR="00606ED8">
      <w:t>11</w:t>
    </w:r>
    <w:r>
      <w:t>/</w:t>
    </w:r>
    <w:r w:rsidR="008A5263">
      <w:t>24</w:t>
    </w:r>
  </w:p>
  <w:p w14:paraId="46BF03FC" w14:textId="0D63C522" w:rsidR="007D1090" w:rsidRDefault="007D1090" w:rsidP="00477D6B">
    <w:pPr>
      <w:jc w:val="right"/>
    </w:pPr>
    <w:r>
      <w:t xml:space="preserve">page </w:t>
    </w:r>
    <w:r>
      <w:fldChar w:fldCharType="begin"/>
    </w:r>
    <w:r>
      <w:instrText xml:space="preserve"> PAGE  \* MERGEFORMAT </w:instrText>
    </w:r>
    <w:r>
      <w:fldChar w:fldCharType="separate"/>
    </w:r>
    <w:r w:rsidR="007F444D">
      <w:rPr>
        <w:noProof/>
      </w:rPr>
      <w:t>3</w:t>
    </w:r>
    <w:r>
      <w:fldChar w:fldCharType="end"/>
    </w:r>
  </w:p>
  <w:p w14:paraId="2908C65F" w14:textId="77777777" w:rsidR="007D1090" w:rsidRDefault="007D1090" w:rsidP="00477D6B">
    <w:pPr>
      <w:jc w:val="right"/>
    </w:pPr>
  </w:p>
  <w:p w14:paraId="50AEEC99" w14:textId="77777777" w:rsidR="00216DC2" w:rsidRDefault="00216DC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2E9D" w14:textId="77777777" w:rsidR="00AF50F7" w:rsidRDefault="00AF5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8" w15:restartNumberingAfterBreak="0">
    <w:nsid w:val="3FB722E2"/>
    <w:multiLevelType w:val="hybridMultilevel"/>
    <w:tmpl w:val="DACC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6C76438D"/>
    <w:multiLevelType w:val="hybridMultilevel"/>
    <w:tmpl w:val="944C9862"/>
    <w:lvl w:ilvl="0" w:tplc="7E96C0FA">
      <w:start w:val="1"/>
      <w:numFmt w:val="bullet"/>
      <w:pStyle w:val="ListParagraph"/>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1660226824">
    <w:abstractNumId w:val="9"/>
  </w:num>
  <w:num w:numId="2" w16cid:durableId="302543155">
    <w:abstractNumId w:val="0"/>
  </w:num>
  <w:num w:numId="3" w16cid:durableId="1838423578">
    <w:abstractNumId w:val="3"/>
  </w:num>
  <w:num w:numId="4" w16cid:durableId="2040466659">
    <w:abstractNumId w:val="10"/>
  </w:num>
  <w:num w:numId="5" w16cid:durableId="1636566706">
    <w:abstractNumId w:val="11"/>
  </w:num>
  <w:num w:numId="6" w16cid:durableId="1157113985">
    <w:abstractNumId w:val="2"/>
  </w:num>
  <w:num w:numId="7" w16cid:durableId="1623993407">
    <w:abstractNumId w:val="12"/>
  </w:num>
  <w:num w:numId="8" w16cid:durableId="218984445">
    <w:abstractNumId w:val="14"/>
  </w:num>
  <w:num w:numId="9" w16cid:durableId="76905068">
    <w:abstractNumId w:val="6"/>
  </w:num>
  <w:num w:numId="10" w16cid:durableId="1118570984">
    <w:abstractNumId w:val="5"/>
  </w:num>
  <w:num w:numId="11" w16cid:durableId="1220166904">
    <w:abstractNumId w:val="1"/>
  </w:num>
  <w:num w:numId="12" w16cid:durableId="541405110">
    <w:abstractNumId w:val="0"/>
  </w:num>
  <w:num w:numId="13" w16cid:durableId="545877820">
    <w:abstractNumId w:val="0"/>
  </w:num>
  <w:num w:numId="14" w16cid:durableId="1444839243">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896235852">
    <w:abstractNumId w:val="8"/>
  </w:num>
  <w:num w:numId="16" w16cid:durableId="2025354698">
    <w:abstractNumId w:val="13"/>
  </w:num>
  <w:num w:numId="17" w16cid:durableId="187927702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84"/>
    <w:rsid w:val="00000A6B"/>
    <w:rsid w:val="000017B3"/>
    <w:rsid w:val="00001CAC"/>
    <w:rsid w:val="00004B9D"/>
    <w:rsid w:val="000113FC"/>
    <w:rsid w:val="0001393C"/>
    <w:rsid w:val="000143CE"/>
    <w:rsid w:val="00014EFF"/>
    <w:rsid w:val="00023321"/>
    <w:rsid w:val="000259A2"/>
    <w:rsid w:val="00026093"/>
    <w:rsid w:val="000305FB"/>
    <w:rsid w:val="000320E5"/>
    <w:rsid w:val="00032CDF"/>
    <w:rsid w:val="00043CAA"/>
    <w:rsid w:val="00044AA4"/>
    <w:rsid w:val="00047327"/>
    <w:rsid w:val="00055F73"/>
    <w:rsid w:val="00067295"/>
    <w:rsid w:val="00067AE0"/>
    <w:rsid w:val="00067E1A"/>
    <w:rsid w:val="00070AA4"/>
    <w:rsid w:val="000714DA"/>
    <w:rsid w:val="00075432"/>
    <w:rsid w:val="0007684D"/>
    <w:rsid w:val="00084955"/>
    <w:rsid w:val="00085237"/>
    <w:rsid w:val="000968ED"/>
    <w:rsid w:val="000B0F76"/>
    <w:rsid w:val="000B2D2B"/>
    <w:rsid w:val="000B7247"/>
    <w:rsid w:val="000C1021"/>
    <w:rsid w:val="000C22DB"/>
    <w:rsid w:val="000C5666"/>
    <w:rsid w:val="000C5B9D"/>
    <w:rsid w:val="000E11B0"/>
    <w:rsid w:val="000E4467"/>
    <w:rsid w:val="000E45AD"/>
    <w:rsid w:val="000E5F65"/>
    <w:rsid w:val="000F46D6"/>
    <w:rsid w:val="000F5116"/>
    <w:rsid w:val="000F5E56"/>
    <w:rsid w:val="000F669C"/>
    <w:rsid w:val="001139CE"/>
    <w:rsid w:val="001139F0"/>
    <w:rsid w:val="001146BB"/>
    <w:rsid w:val="00115693"/>
    <w:rsid w:val="00124B1A"/>
    <w:rsid w:val="001251D1"/>
    <w:rsid w:val="00126B6F"/>
    <w:rsid w:val="001308BE"/>
    <w:rsid w:val="00134368"/>
    <w:rsid w:val="001360FF"/>
    <w:rsid w:val="00136272"/>
    <w:rsid w:val="001362EE"/>
    <w:rsid w:val="00143396"/>
    <w:rsid w:val="00143434"/>
    <w:rsid w:val="00144A55"/>
    <w:rsid w:val="001450BC"/>
    <w:rsid w:val="001477A8"/>
    <w:rsid w:val="00150720"/>
    <w:rsid w:val="00152DAC"/>
    <w:rsid w:val="00152DF6"/>
    <w:rsid w:val="00153A46"/>
    <w:rsid w:val="001572B9"/>
    <w:rsid w:val="00160EE6"/>
    <w:rsid w:val="00161D77"/>
    <w:rsid w:val="00166549"/>
    <w:rsid w:val="00170BFA"/>
    <w:rsid w:val="00173685"/>
    <w:rsid w:val="00175241"/>
    <w:rsid w:val="00180499"/>
    <w:rsid w:val="001813D0"/>
    <w:rsid w:val="00181E31"/>
    <w:rsid w:val="001832A6"/>
    <w:rsid w:val="001863B7"/>
    <w:rsid w:val="00186892"/>
    <w:rsid w:val="00192805"/>
    <w:rsid w:val="0019321F"/>
    <w:rsid w:val="00197CBF"/>
    <w:rsid w:val="001A0B8F"/>
    <w:rsid w:val="001A1983"/>
    <w:rsid w:val="001A5F0B"/>
    <w:rsid w:val="001A6426"/>
    <w:rsid w:val="001A71D7"/>
    <w:rsid w:val="001B5BC5"/>
    <w:rsid w:val="001B6A44"/>
    <w:rsid w:val="001B7F01"/>
    <w:rsid w:val="001C0FA4"/>
    <w:rsid w:val="001C5540"/>
    <w:rsid w:val="001D2E2F"/>
    <w:rsid w:val="001F3BEE"/>
    <w:rsid w:val="001F47F0"/>
    <w:rsid w:val="00202124"/>
    <w:rsid w:val="00204D15"/>
    <w:rsid w:val="002102F7"/>
    <w:rsid w:val="002104BB"/>
    <w:rsid w:val="00210A4D"/>
    <w:rsid w:val="00214B90"/>
    <w:rsid w:val="00216DC2"/>
    <w:rsid w:val="00223203"/>
    <w:rsid w:val="002267DA"/>
    <w:rsid w:val="00226E3E"/>
    <w:rsid w:val="002330CA"/>
    <w:rsid w:val="0023687E"/>
    <w:rsid w:val="00237A52"/>
    <w:rsid w:val="00240DD0"/>
    <w:rsid w:val="00241965"/>
    <w:rsid w:val="00243510"/>
    <w:rsid w:val="00243F68"/>
    <w:rsid w:val="002444C2"/>
    <w:rsid w:val="00253254"/>
    <w:rsid w:val="00254A4E"/>
    <w:rsid w:val="002618E7"/>
    <w:rsid w:val="002634C4"/>
    <w:rsid w:val="002657B9"/>
    <w:rsid w:val="00271EC1"/>
    <w:rsid w:val="00272975"/>
    <w:rsid w:val="00274B4B"/>
    <w:rsid w:val="00275BE0"/>
    <w:rsid w:val="0028252D"/>
    <w:rsid w:val="0028507D"/>
    <w:rsid w:val="00287817"/>
    <w:rsid w:val="00290B2A"/>
    <w:rsid w:val="002912F3"/>
    <w:rsid w:val="00291EEB"/>
    <w:rsid w:val="002928D3"/>
    <w:rsid w:val="002936BB"/>
    <w:rsid w:val="0029686D"/>
    <w:rsid w:val="002A12E8"/>
    <w:rsid w:val="002A1D3F"/>
    <w:rsid w:val="002A234C"/>
    <w:rsid w:val="002A40F1"/>
    <w:rsid w:val="002A64AF"/>
    <w:rsid w:val="002B20A3"/>
    <w:rsid w:val="002B4031"/>
    <w:rsid w:val="002B6114"/>
    <w:rsid w:val="002B67F3"/>
    <w:rsid w:val="002B68B4"/>
    <w:rsid w:val="002B7317"/>
    <w:rsid w:val="002D4151"/>
    <w:rsid w:val="002E14FC"/>
    <w:rsid w:val="002E3212"/>
    <w:rsid w:val="002F1FE6"/>
    <w:rsid w:val="002F4E68"/>
    <w:rsid w:val="003032C9"/>
    <w:rsid w:val="003068C1"/>
    <w:rsid w:val="00306EEA"/>
    <w:rsid w:val="00312F7F"/>
    <w:rsid w:val="00324FE8"/>
    <w:rsid w:val="00325724"/>
    <w:rsid w:val="0033325E"/>
    <w:rsid w:val="00335E3C"/>
    <w:rsid w:val="0033734A"/>
    <w:rsid w:val="003379DE"/>
    <w:rsid w:val="0034360D"/>
    <w:rsid w:val="00345D82"/>
    <w:rsid w:val="0035110E"/>
    <w:rsid w:val="00357B3A"/>
    <w:rsid w:val="00361450"/>
    <w:rsid w:val="00366CCD"/>
    <w:rsid w:val="00367122"/>
    <w:rsid w:val="0036715F"/>
    <w:rsid w:val="003673CF"/>
    <w:rsid w:val="0036754F"/>
    <w:rsid w:val="00371410"/>
    <w:rsid w:val="003724D4"/>
    <w:rsid w:val="00372913"/>
    <w:rsid w:val="00380C92"/>
    <w:rsid w:val="003845C1"/>
    <w:rsid w:val="00387294"/>
    <w:rsid w:val="003935D5"/>
    <w:rsid w:val="00395DA4"/>
    <w:rsid w:val="003A41E2"/>
    <w:rsid w:val="003A450C"/>
    <w:rsid w:val="003A5F87"/>
    <w:rsid w:val="003A6C84"/>
    <w:rsid w:val="003A6F89"/>
    <w:rsid w:val="003A7118"/>
    <w:rsid w:val="003B38C1"/>
    <w:rsid w:val="003B4E59"/>
    <w:rsid w:val="003B58BD"/>
    <w:rsid w:val="003B6932"/>
    <w:rsid w:val="003C0421"/>
    <w:rsid w:val="003C2534"/>
    <w:rsid w:val="003C323B"/>
    <w:rsid w:val="003D0B9E"/>
    <w:rsid w:val="003D0C09"/>
    <w:rsid w:val="003D57E3"/>
    <w:rsid w:val="003D6FD0"/>
    <w:rsid w:val="003E08B0"/>
    <w:rsid w:val="003E3D76"/>
    <w:rsid w:val="003E4213"/>
    <w:rsid w:val="003E43ED"/>
    <w:rsid w:val="003E6BD5"/>
    <w:rsid w:val="003F08A2"/>
    <w:rsid w:val="003F49F3"/>
    <w:rsid w:val="00401C1B"/>
    <w:rsid w:val="00404914"/>
    <w:rsid w:val="00406039"/>
    <w:rsid w:val="00411E27"/>
    <w:rsid w:val="00414C69"/>
    <w:rsid w:val="004168E5"/>
    <w:rsid w:val="0041784C"/>
    <w:rsid w:val="004219DD"/>
    <w:rsid w:val="004238C9"/>
    <w:rsid w:val="00423E3E"/>
    <w:rsid w:val="00427AF4"/>
    <w:rsid w:val="0043292D"/>
    <w:rsid w:val="00433695"/>
    <w:rsid w:val="00442220"/>
    <w:rsid w:val="004566D9"/>
    <w:rsid w:val="00457762"/>
    <w:rsid w:val="004601C1"/>
    <w:rsid w:val="0046036C"/>
    <w:rsid w:val="004615D2"/>
    <w:rsid w:val="004647DA"/>
    <w:rsid w:val="004654AD"/>
    <w:rsid w:val="00470688"/>
    <w:rsid w:val="00472582"/>
    <w:rsid w:val="0047264D"/>
    <w:rsid w:val="00473A12"/>
    <w:rsid w:val="00474062"/>
    <w:rsid w:val="00477D6B"/>
    <w:rsid w:val="00481EEA"/>
    <w:rsid w:val="004853A0"/>
    <w:rsid w:val="00485A19"/>
    <w:rsid w:val="00491D68"/>
    <w:rsid w:val="00495B26"/>
    <w:rsid w:val="004A2F48"/>
    <w:rsid w:val="004A5372"/>
    <w:rsid w:val="004A54AA"/>
    <w:rsid w:val="004A61B8"/>
    <w:rsid w:val="004B26E7"/>
    <w:rsid w:val="004B415E"/>
    <w:rsid w:val="004B5909"/>
    <w:rsid w:val="004C3D68"/>
    <w:rsid w:val="004C4ACD"/>
    <w:rsid w:val="004C6B77"/>
    <w:rsid w:val="004D268E"/>
    <w:rsid w:val="004D4921"/>
    <w:rsid w:val="004E2D88"/>
    <w:rsid w:val="004E548A"/>
    <w:rsid w:val="004E5AC7"/>
    <w:rsid w:val="004F02A2"/>
    <w:rsid w:val="004F1E2C"/>
    <w:rsid w:val="004F23E3"/>
    <w:rsid w:val="005019FF"/>
    <w:rsid w:val="0050566F"/>
    <w:rsid w:val="005103A1"/>
    <w:rsid w:val="0053057A"/>
    <w:rsid w:val="005319CB"/>
    <w:rsid w:val="00531BAF"/>
    <w:rsid w:val="0053466E"/>
    <w:rsid w:val="00535188"/>
    <w:rsid w:val="00537369"/>
    <w:rsid w:val="00540D28"/>
    <w:rsid w:val="00542C96"/>
    <w:rsid w:val="00543316"/>
    <w:rsid w:val="005454D1"/>
    <w:rsid w:val="005468FE"/>
    <w:rsid w:val="00546F68"/>
    <w:rsid w:val="005531A0"/>
    <w:rsid w:val="00554DBA"/>
    <w:rsid w:val="00554E15"/>
    <w:rsid w:val="0055633C"/>
    <w:rsid w:val="00560A29"/>
    <w:rsid w:val="00562211"/>
    <w:rsid w:val="0057197D"/>
    <w:rsid w:val="00576183"/>
    <w:rsid w:val="00577C94"/>
    <w:rsid w:val="0058120E"/>
    <w:rsid w:val="00586520"/>
    <w:rsid w:val="005905B7"/>
    <w:rsid w:val="00594180"/>
    <w:rsid w:val="005A245A"/>
    <w:rsid w:val="005B0371"/>
    <w:rsid w:val="005C09C6"/>
    <w:rsid w:val="005C2DA8"/>
    <w:rsid w:val="005C43A6"/>
    <w:rsid w:val="005C6649"/>
    <w:rsid w:val="005C71DD"/>
    <w:rsid w:val="005D532D"/>
    <w:rsid w:val="005D5536"/>
    <w:rsid w:val="005E1D7F"/>
    <w:rsid w:val="005E6685"/>
    <w:rsid w:val="005E69B9"/>
    <w:rsid w:val="005F0588"/>
    <w:rsid w:val="005F4F93"/>
    <w:rsid w:val="005F6088"/>
    <w:rsid w:val="005F733A"/>
    <w:rsid w:val="005F7AC5"/>
    <w:rsid w:val="0060128A"/>
    <w:rsid w:val="00603523"/>
    <w:rsid w:val="00605827"/>
    <w:rsid w:val="00606ED8"/>
    <w:rsid w:val="006129DC"/>
    <w:rsid w:val="006149AA"/>
    <w:rsid w:val="00614F82"/>
    <w:rsid w:val="0061586B"/>
    <w:rsid w:val="00615D9A"/>
    <w:rsid w:val="006166AC"/>
    <w:rsid w:val="0062573E"/>
    <w:rsid w:val="0063142A"/>
    <w:rsid w:val="00631EA5"/>
    <w:rsid w:val="00634C20"/>
    <w:rsid w:val="0063544A"/>
    <w:rsid w:val="00637EE8"/>
    <w:rsid w:val="00646050"/>
    <w:rsid w:val="00650DF9"/>
    <w:rsid w:val="00650F84"/>
    <w:rsid w:val="00652999"/>
    <w:rsid w:val="00653E35"/>
    <w:rsid w:val="00660664"/>
    <w:rsid w:val="006615F4"/>
    <w:rsid w:val="00661D6F"/>
    <w:rsid w:val="00661F18"/>
    <w:rsid w:val="00665171"/>
    <w:rsid w:val="00666635"/>
    <w:rsid w:val="00667545"/>
    <w:rsid w:val="006713CA"/>
    <w:rsid w:val="00671BD2"/>
    <w:rsid w:val="00676C5C"/>
    <w:rsid w:val="00684C9A"/>
    <w:rsid w:val="006851D6"/>
    <w:rsid w:val="0068711D"/>
    <w:rsid w:val="00691777"/>
    <w:rsid w:val="006935A9"/>
    <w:rsid w:val="00694A6A"/>
    <w:rsid w:val="00697CDB"/>
    <w:rsid w:val="006A075B"/>
    <w:rsid w:val="006A3905"/>
    <w:rsid w:val="006A5902"/>
    <w:rsid w:val="006A7AB6"/>
    <w:rsid w:val="006B5BF0"/>
    <w:rsid w:val="006C1677"/>
    <w:rsid w:val="006C6AF1"/>
    <w:rsid w:val="006D3AEE"/>
    <w:rsid w:val="006E1DB2"/>
    <w:rsid w:val="006E6087"/>
    <w:rsid w:val="006E65BF"/>
    <w:rsid w:val="006F32F9"/>
    <w:rsid w:val="007015C4"/>
    <w:rsid w:val="00714E88"/>
    <w:rsid w:val="007210F3"/>
    <w:rsid w:val="00724DAD"/>
    <w:rsid w:val="00726912"/>
    <w:rsid w:val="0073440C"/>
    <w:rsid w:val="00734652"/>
    <w:rsid w:val="00734EA7"/>
    <w:rsid w:val="007356F1"/>
    <w:rsid w:val="00736038"/>
    <w:rsid w:val="00746814"/>
    <w:rsid w:val="007502FD"/>
    <w:rsid w:val="00752BE2"/>
    <w:rsid w:val="00754723"/>
    <w:rsid w:val="00765F15"/>
    <w:rsid w:val="00767C3F"/>
    <w:rsid w:val="00772528"/>
    <w:rsid w:val="007734D2"/>
    <w:rsid w:val="00773B7B"/>
    <w:rsid w:val="00774501"/>
    <w:rsid w:val="00774EB5"/>
    <w:rsid w:val="00777E4D"/>
    <w:rsid w:val="007829B8"/>
    <w:rsid w:val="00783A90"/>
    <w:rsid w:val="007911BB"/>
    <w:rsid w:val="00793BFC"/>
    <w:rsid w:val="007A0CBE"/>
    <w:rsid w:val="007B1727"/>
    <w:rsid w:val="007B6851"/>
    <w:rsid w:val="007B6E36"/>
    <w:rsid w:val="007C1C86"/>
    <w:rsid w:val="007C275D"/>
    <w:rsid w:val="007C2F4D"/>
    <w:rsid w:val="007D0DBE"/>
    <w:rsid w:val="007D1090"/>
    <w:rsid w:val="007D1613"/>
    <w:rsid w:val="007D325E"/>
    <w:rsid w:val="007D4713"/>
    <w:rsid w:val="007D632E"/>
    <w:rsid w:val="007E3178"/>
    <w:rsid w:val="007F1226"/>
    <w:rsid w:val="007F199C"/>
    <w:rsid w:val="007F1DDE"/>
    <w:rsid w:val="007F43BE"/>
    <w:rsid w:val="007F444D"/>
    <w:rsid w:val="007F4C32"/>
    <w:rsid w:val="007F548C"/>
    <w:rsid w:val="007F6442"/>
    <w:rsid w:val="007F6AFB"/>
    <w:rsid w:val="008021B9"/>
    <w:rsid w:val="008146C1"/>
    <w:rsid w:val="00821F66"/>
    <w:rsid w:val="008240CE"/>
    <w:rsid w:val="00830298"/>
    <w:rsid w:val="008404A5"/>
    <w:rsid w:val="00840BF6"/>
    <w:rsid w:val="008451F7"/>
    <w:rsid w:val="00854B4A"/>
    <w:rsid w:val="00866208"/>
    <w:rsid w:val="00872524"/>
    <w:rsid w:val="00872F93"/>
    <w:rsid w:val="00887C5B"/>
    <w:rsid w:val="00892317"/>
    <w:rsid w:val="008A010D"/>
    <w:rsid w:val="008A0922"/>
    <w:rsid w:val="008A274F"/>
    <w:rsid w:val="008A3F0A"/>
    <w:rsid w:val="008A5263"/>
    <w:rsid w:val="008A7C76"/>
    <w:rsid w:val="008B2CC1"/>
    <w:rsid w:val="008B60B2"/>
    <w:rsid w:val="008B7353"/>
    <w:rsid w:val="008C0CB2"/>
    <w:rsid w:val="008D0F3C"/>
    <w:rsid w:val="008D3780"/>
    <w:rsid w:val="008D50DC"/>
    <w:rsid w:val="008D610D"/>
    <w:rsid w:val="008E642B"/>
    <w:rsid w:val="008E7183"/>
    <w:rsid w:val="008F7FC3"/>
    <w:rsid w:val="00900457"/>
    <w:rsid w:val="009016DA"/>
    <w:rsid w:val="00903212"/>
    <w:rsid w:val="00905835"/>
    <w:rsid w:val="0090731E"/>
    <w:rsid w:val="009117A2"/>
    <w:rsid w:val="00913C6C"/>
    <w:rsid w:val="00914EDF"/>
    <w:rsid w:val="00915573"/>
    <w:rsid w:val="00916EE2"/>
    <w:rsid w:val="00925BB5"/>
    <w:rsid w:val="009312A8"/>
    <w:rsid w:val="00931CEC"/>
    <w:rsid w:val="00933B31"/>
    <w:rsid w:val="0093421F"/>
    <w:rsid w:val="009350C5"/>
    <w:rsid w:val="00936764"/>
    <w:rsid w:val="00940899"/>
    <w:rsid w:val="0094732B"/>
    <w:rsid w:val="00952060"/>
    <w:rsid w:val="00953654"/>
    <w:rsid w:val="00956504"/>
    <w:rsid w:val="009601C1"/>
    <w:rsid w:val="0096310C"/>
    <w:rsid w:val="0096517D"/>
    <w:rsid w:val="00966A22"/>
    <w:rsid w:val="0096722F"/>
    <w:rsid w:val="00973F6F"/>
    <w:rsid w:val="00976FCA"/>
    <w:rsid w:val="00980843"/>
    <w:rsid w:val="00980EF3"/>
    <w:rsid w:val="00984B0B"/>
    <w:rsid w:val="00984B67"/>
    <w:rsid w:val="00985C53"/>
    <w:rsid w:val="009929BC"/>
    <w:rsid w:val="00994B08"/>
    <w:rsid w:val="00997625"/>
    <w:rsid w:val="009A6DDF"/>
    <w:rsid w:val="009A7F03"/>
    <w:rsid w:val="009B043D"/>
    <w:rsid w:val="009B4D37"/>
    <w:rsid w:val="009C3715"/>
    <w:rsid w:val="009C594D"/>
    <w:rsid w:val="009D4EEC"/>
    <w:rsid w:val="009E2791"/>
    <w:rsid w:val="009E3F6F"/>
    <w:rsid w:val="009F35F0"/>
    <w:rsid w:val="009F3B5D"/>
    <w:rsid w:val="009F499F"/>
    <w:rsid w:val="009F6C8E"/>
    <w:rsid w:val="009F7984"/>
    <w:rsid w:val="00A02179"/>
    <w:rsid w:val="00A04908"/>
    <w:rsid w:val="00A04949"/>
    <w:rsid w:val="00A071F3"/>
    <w:rsid w:val="00A109AF"/>
    <w:rsid w:val="00A1206D"/>
    <w:rsid w:val="00A157CB"/>
    <w:rsid w:val="00A20970"/>
    <w:rsid w:val="00A274DF"/>
    <w:rsid w:val="00A34447"/>
    <w:rsid w:val="00A3799D"/>
    <w:rsid w:val="00A42DAF"/>
    <w:rsid w:val="00A45BD8"/>
    <w:rsid w:val="00A47185"/>
    <w:rsid w:val="00A51B12"/>
    <w:rsid w:val="00A562AD"/>
    <w:rsid w:val="00A703B9"/>
    <w:rsid w:val="00A72886"/>
    <w:rsid w:val="00A81719"/>
    <w:rsid w:val="00A869B7"/>
    <w:rsid w:val="00A87B6E"/>
    <w:rsid w:val="00A935E3"/>
    <w:rsid w:val="00AA0246"/>
    <w:rsid w:val="00AA0821"/>
    <w:rsid w:val="00AB0732"/>
    <w:rsid w:val="00AB10FB"/>
    <w:rsid w:val="00AB1326"/>
    <w:rsid w:val="00AB4066"/>
    <w:rsid w:val="00AB4DF9"/>
    <w:rsid w:val="00AC0D01"/>
    <w:rsid w:val="00AC205C"/>
    <w:rsid w:val="00AC3ABE"/>
    <w:rsid w:val="00AC5DF8"/>
    <w:rsid w:val="00AD1C5D"/>
    <w:rsid w:val="00AD22A3"/>
    <w:rsid w:val="00AD5513"/>
    <w:rsid w:val="00AD73D1"/>
    <w:rsid w:val="00AF0A6B"/>
    <w:rsid w:val="00AF16EF"/>
    <w:rsid w:val="00AF50F7"/>
    <w:rsid w:val="00AF7AD8"/>
    <w:rsid w:val="00AF7F5C"/>
    <w:rsid w:val="00B047C7"/>
    <w:rsid w:val="00B05A69"/>
    <w:rsid w:val="00B06D65"/>
    <w:rsid w:val="00B135B8"/>
    <w:rsid w:val="00B1384E"/>
    <w:rsid w:val="00B14F8F"/>
    <w:rsid w:val="00B1533D"/>
    <w:rsid w:val="00B2167E"/>
    <w:rsid w:val="00B23D7D"/>
    <w:rsid w:val="00B24BD6"/>
    <w:rsid w:val="00B377B9"/>
    <w:rsid w:val="00B50A92"/>
    <w:rsid w:val="00B5116B"/>
    <w:rsid w:val="00B51212"/>
    <w:rsid w:val="00B523C2"/>
    <w:rsid w:val="00B54D2E"/>
    <w:rsid w:val="00B71202"/>
    <w:rsid w:val="00B718B9"/>
    <w:rsid w:val="00B73704"/>
    <w:rsid w:val="00B8243F"/>
    <w:rsid w:val="00B9734B"/>
    <w:rsid w:val="00BA7E36"/>
    <w:rsid w:val="00BC0AF3"/>
    <w:rsid w:val="00BC1DFC"/>
    <w:rsid w:val="00BD0A46"/>
    <w:rsid w:val="00BD1276"/>
    <w:rsid w:val="00BD1CDF"/>
    <w:rsid w:val="00BD3100"/>
    <w:rsid w:val="00BD47BF"/>
    <w:rsid w:val="00BD5E62"/>
    <w:rsid w:val="00BD63CA"/>
    <w:rsid w:val="00BE1131"/>
    <w:rsid w:val="00BE25D1"/>
    <w:rsid w:val="00BE74C3"/>
    <w:rsid w:val="00BE7B62"/>
    <w:rsid w:val="00BF333B"/>
    <w:rsid w:val="00C065DD"/>
    <w:rsid w:val="00C11BFE"/>
    <w:rsid w:val="00C16961"/>
    <w:rsid w:val="00C1773F"/>
    <w:rsid w:val="00C17BE5"/>
    <w:rsid w:val="00C21A24"/>
    <w:rsid w:val="00C223B2"/>
    <w:rsid w:val="00C24CEF"/>
    <w:rsid w:val="00C2601F"/>
    <w:rsid w:val="00C2780C"/>
    <w:rsid w:val="00C30DBA"/>
    <w:rsid w:val="00C32541"/>
    <w:rsid w:val="00C34D7E"/>
    <w:rsid w:val="00C36CF6"/>
    <w:rsid w:val="00C47D93"/>
    <w:rsid w:val="00C57076"/>
    <w:rsid w:val="00C61FB6"/>
    <w:rsid w:val="00C66BF1"/>
    <w:rsid w:val="00C70155"/>
    <w:rsid w:val="00C7202A"/>
    <w:rsid w:val="00C77583"/>
    <w:rsid w:val="00C82D55"/>
    <w:rsid w:val="00C83860"/>
    <w:rsid w:val="00C85C98"/>
    <w:rsid w:val="00C9060F"/>
    <w:rsid w:val="00C9183F"/>
    <w:rsid w:val="00C92465"/>
    <w:rsid w:val="00C93C3C"/>
    <w:rsid w:val="00C9667A"/>
    <w:rsid w:val="00CA0830"/>
    <w:rsid w:val="00CA1057"/>
    <w:rsid w:val="00CA350A"/>
    <w:rsid w:val="00CA4D92"/>
    <w:rsid w:val="00CA617B"/>
    <w:rsid w:val="00CA6924"/>
    <w:rsid w:val="00CB5890"/>
    <w:rsid w:val="00CC3127"/>
    <w:rsid w:val="00CD4F8F"/>
    <w:rsid w:val="00CD7087"/>
    <w:rsid w:val="00CE0AF9"/>
    <w:rsid w:val="00CE1D93"/>
    <w:rsid w:val="00CF2FCC"/>
    <w:rsid w:val="00CF62B8"/>
    <w:rsid w:val="00D0661E"/>
    <w:rsid w:val="00D07667"/>
    <w:rsid w:val="00D07E61"/>
    <w:rsid w:val="00D21FED"/>
    <w:rsid w:val="00D2354D"/>
    <w:rsid w:val="00D25F2A"/>
    <w:rsid w:val="00D27695"/>
    <w:rsid w:val="00D313AB"/>
    <w:rsid w:val="00D3387F"/>
    <w:rsid w:val="00D45252"/>
    <w:rsid w:val="00D508C6"/>
    <w:rsid w:val="00D54910"/>
    <w:rsid w:val="00D563F9"/>
    <w:rsid w:val="00D61527"/>
    <w:rsid w:val="00D625B0"/>
    <w:rsid w:val="00D64598"/>
    <w:rsid w:val="00D64921"/>
    <w:rsid w:val="00D666D3"/>
    <w:rsid w:val="00D6710F"/>
    <w:rsid w:val="00D709EE"/>
    <w:rsid w:val="00D71B4D"/>
    <w:rsid w:val="00D71D62"/>
    <w:rsid w:val="00D84EA7"/>
    <w:rsid w:val="00D918CC"/>
    <w:rsid w:val="00D93D55"/>
    <w:rsid w:val="00DA2347"/>
    <w:rsid w:val="00DA4318"/>
    <w:rsid w:val="00DA6220"/>
    <w:rsid w:val="00DA680B"/>
    <w:rsid w:val="00DB1E46"/>
    <w:rsid w:val="00DB2B79"/>
    <w:rsid w:val="00DB4FBC"/>
    <w:rsid w:val="00DB5866"/>
    <w:rsid w:val="00DC37BC"/>
    <w:rsid w:val="00DC7493"/>
    <w:rsid w:val="00DE1B1E"/>
    <w:rsid w:val="00DF6140"/>
    <w:rsid w:val="00E0052F"/>
    <w:rsid w:val="00E00D5C"/>
    <w:rsid w:val="00E02A47"/>
    <w:rsid w:val="00E056DD"/>
    <w:rsid w:val="00E060B9"/>
    <w:rsid w:val="00E06CC2"/>
    <w:rsid w:val="00E16A07"/>
    <w:rsid w:val="00E22110"/>
    <w:rsid w:val="00E24CB1"/>
    <w:rsid w:val="00E279F0"/>
    <w:rsid w:val="00E31545"/>
    <w:rsid w:val="00E335FE"/>
    <w:rsid w:val="00E33EDD"/>
    <w:rsid w:val="00E344B7"/>
    <w:rsid w:val="00E54E03"/>
    <w:rsid w:val="00E55170"/>
    <w:rsid w:val="00E61529"/>
    <w:rsid w:val="00E71BF7"/>
    <w:rsid w:val="00E82611"/>
    <w:rsid w:val="00E83F24"/>
    <w:rsid w:val="00E844C4"/>
    <w:rsid w:val="00E84730"/>
    <w:rsid w:val="00E8660F"/>
    <w:rsid w:val="00EA76DB"/>
    <w:rsid w:val="00EB1AA2"/>
    <w:rsid w:val="00EB35CC"/>
    <w:rsid w:val="00EB3FCD"/>
    <w:rsid w:val="00EB556E"/>
    <w:rsid w:val="00EC3AA3"/>
    <w:rsid w:val="00EC4E49"/>
    <w:rsid w:val="00ED1BDD"/>
    <w:rsid w:val="00ED4471"/>
    <w:rsid w:val="00ED5299"/>
    <w:rsid w:val="00ED77FB"/>
    <w:rsid w:val="00EE0676"/>
    <w:rsid w:val="00EE3155"/>
    <w:rsid w:val="00EE45FA"/>
    <w:rsid w:val="00EE6AEE"/>
    <w:rsid w:val="00EF0F5B"/>
    <w:rsid w:val="00EF46F5"/>
    <w:rsid w:val="00F03DFA"/>
    <w:rsid w:val="00F061FD"/>
    <w:rsid w:val="00F121C8"/>
    <w:rsid w:val="00F20A79"/>
    <w:rsid w:val="00F2202A"/>
    <w:rsid w:val="00F324CE"/>
    <w:rsid w:val="00F34FB9"/>
    <w:rsid w:val="00F360A9"/>
    <w:rsid w:val="00F36D12"/>
    <w:rsid w:val="00F37314"/>
    <w:rsid w:val="00F41330"/>
    <w:rsid w:val="00F46CF9"/>
    <w:rsid w:val="00F52E6C"/>
    <w:rsid w:val="00F55529"/>
    <w:rsid w:val="00F61DF9"/>
    <w:rsid w:val="00F66152"/>
    <w:rsid w:val="00F756FC"/>
    <w:rsid w:val="00F77809"/>
    <w:rsid w:val="00F822F9"/>
    <w:rsid w:val="00F871FD"/>
    <w:rsid w:val="00F92AEE"/>
    <w:rsid w:val="00F9637C"/>
    <w:rsid w:val="00F9747D"/>
    <w:rsid w:val="00FA030E"/>
    <w:rsid w:val="00FA2F1F"/>
    <w:rsid w:val="00FA7A14"/>
    <w:rsid w:val="00FB2D06"/>
    <w:rsid w:val="00FB3A2B"/>
    <w:rsid w:val="00FB4A6B"/>
    <w:rsid w:val="00FB4E0D"/>
    <w:rsid w:val="00FB7269"/>
    <w:rsid w:val="00FC1C92"/>
    <w:rsid w:val="00FC692B"/>
    <w:rsid w:val="00FD1E96"/>
    <w:rsid w:val="00FD2F8B"/>
    <w:rsid w:val="00FE1139"/>
    <w:rsid w:val="00FE2A83"/>
    <w:rsid w:val="00FE7F97"/>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08B2C"/>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numPr>
        <w:numId w:val="16"/>
      </w:numPr>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 w:type="paragraph" w:styleId="NormalWeb">
    <w:name w:val="Normal (Web)"/>
    <w:basedOn w:val="Normal"/>
    <w:rsid w:val="0037141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F7F5C"/>
    <w:rPr>
      <w:color w:val="605E5C"/>
      <w:shd w:val="clear" w:color="auto" w:fill="E1DFDD"/>
    </w:rPr>
  </w:style>
  <w:style w:type="character" w:styleId="FollowedHyperlink">
    <w:name w:val="FollowedHyperlink"/>
    <w:basedOn w:val="DefaultParagraphFont"/>
    <w:rsid w:val="005E6685"/>
    <w:rPr>
      <w:color w:val="954F72" w:themeColor="followedHyperlink"/>
      <w:u w:val="single"/>
    </w:rPr>
  </w:style>
  <w:style w:type="table" w:styleId="TableGrid">
    <w:name w:val="Table Grid"/>
    <w:basedOn w:val="TableNormal"/>
    <w:rsid w:val="008A526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362556865">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645669170">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786803186">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C5A6A-9147-4E35-BCA3-FC9B1BA05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CWS/11/24 (English)</vt:lpstr>
    </vt:vector>
  </TitlesOfParts>
  <Company>WIPO</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CWS/11/24 (English)</dc:title>
  <dc:creator>WIPO</dc:creator>
  <cp:keywords>FOR OFFICIAL USE ONLY</cp:keywords>
  <dc:description/>
  <cp:lastModifiedBy>SEILER Joséphine</cp:lastModifiedBy>
  <cp:revision>4</cp:revision>
  <cp:lastPrinted>2023-11-08T15:31:00Z</cp:lastPrinted>
  <dcterms:created xsi:type="dcterms:W3CDTF">2023-11-08T15:31:00Z</dcterms:created>
  <dcterms:modified xsi:type="dcterms:W3CDTF">2023-11-08T15:34:00Z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77314ca4-b274-4147-9fa6-7632cd01120a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2023-10-16T07:29:56Z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e7d68dc8-0d06-47ee-8eb9-55f27a3cbaac</vt:lpwstr>
  </property>
  <property fmtid="{D5CDD505-2E9C-101B-9397-08002B2CF9AE}" pid="13" name="MSIP_Label_20773ee6-353b-4fb9-a59d-0b94c8c67bea_ContentBits">
    <vt:lpwstr>0</vt:lpwstr>
  </property>
</Properties>
</file>