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51024C63" w:rsidR="008B2CC1" w:rsidRPr="002326AB" w:rsidRDefault="00D05A1A" w:rsidP="00EB2F76">
      <w:pPr>
        <w:jc w:val="right"/>
        <w:rPr>
          <w:rFonts w:ascii="Arial Black" w:hAnsi="Arial Black"/>
          <w:caps/>
          <w:sz w:val="15"/>
          <w:szCs w:val="15"/>
        </w:rPr>
      </w:pPr>
      <w:r>
        <w:rPr>
          <w:rFonts w:ascii="Arial Black" w:hAnsi="Arial Black"/>
          <w:caps/>
          <w:sz w:val="15"/>
          <w:szCs w:val="15"/>
        </w:rPr>
        <w:t>CWs/1</w:t>
      </w:r>
      <w:r w:rsidR="00A35557">
        <w:rPr>
          <w:rFonts w:ascii="Arial Black" w:hAnsi="Arial Black"/>
          <w:caps/>
          <w:sz w:val="15"/>
          <w:szCs w:val="15"/>
        </w:rPr>
        <w:t>1</w:t>
      </w:r>
      <w:r w:rsidR="00846CF6">
        <w:rPr>
          <w:rFonts w:ascii="Arial Black" w:hAnsi="Arial Black"/>
          <w:caps/>
          <w:sz w:val="15"/>
          <w:szCs w:val="15"/>
        </w:rPr>
        <w:t>/</w:t>
      </w:r>
      <w:bookmarkStart w:id="0" w:name="Code"/>
      <w:bookmarkEnd w:id="0"/>
      <w:r w:rsidR="000D6457">
        <w:rPr>
          <w:rFonts w:ascii="Arial Black" w:hAnsi="Arial Black"/>
          <w:caps/>
          <w:sz w:val="15"/>
          <w:szCs w:val="15"/>
        </w:rPr>
        <w:t>8</w:t>
      </w:r>
      <w:r w:rsidR="009509BB">
        <w:rPr>
          <w:rFonts w:ascii="Arial Black" w:hAnsi="Arial Black"/>
          <w:caps/>
          <w:sz w:val="15"/>
          <w:szCs w:val="15"/>
        </w:rPr>
        <w:t xml:space="preserve"> CORR.</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603C0E4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20025">
        <w:rPr>
          <w:rFonts w:ascii="Arial Black" w:hAnsi="Arial Black"/>
          <w:caps/>
          <w:sz w:val="15"/>
          <w:szCs w:val="15"/>
        </w:rPr>
        <w:t>December</w:t>
      </w:r>
      <w:r w:rsidR="00D53CBA" w:rsidRPr="006E2F95">
        <w:rPr>
          <w:rFonts w:ascii="Arial Black" w:hAnsi="Arial Black"/>
          <w:caps/>
          <w:sz w:val="15"/>
          <w:szCs w:val="15"/>
        </w:rPr>
        <w:t xml:space="preserve"> </w:t>
      </w:r>
      <w:r w:rsidR="00FA234F">
        <w:rPr>
          <w:rFonts w:ascii="Arial Black" w:hAnsi="Arial Black"/>
          <w:caps/>
          <w:sz w:val="15"/>
          <w:szCs w:val="15"/>
        </w:rPr>
        <w:t>5</w:t>
      </w:r>
      <w:r w:rsidR="00D05A1A" w:rsidRPr="006E2F95">
        <w:rPr>
          <w:rFonts w:ascii="Arial Black" w:hAnsi="Arial Black"/>
          <w:caps/>
          <w:sz w:val="15"/>
          <w:szCs w:val="15"/>
        </w:rPr>
        <w:t>, 202</w:t>
      </w:r>
      <w:r w:rsidR="00A35557">
        <w:rPr>
          <w:rFonts w:ascii="Arial Black" w:hAnsi="Arial Black"/>
          <w:caps/>
          <w:sz w:val="15"/>
          <w:szCs w:val="15"/>
        </w:rPr>
        <w:t>3</w:t>
      </w:r>
    </w:p>
    <w:bookmarkEnd w:id="2"/>
    <w:p w14:paraId="4E02092B" w14:textId="27EEBAB1" w:rsidR="008B2CC1" w:rsidRPr="00261643" w:rsidRDefault="00E45755" w:rsidP="00261643">
      <w:pPr>
        <w:pStyle w:val="Heading1"/>
        <w:numPr>
          <w:ilvl w:val="0"/>
          <w:numId w:val="0"/>
        </w:numPr>
      </w:pPr>
      <w:r w:rsidRPr="00261643">
        <w:t>Committee on WIPO Standards (CWS)</w:t>
      </w:r>
    </w:p>
    <w:p w14:paraId="3F269E8C" w14:textId="071034E3" w:rsidR="00E45755" w:rsidRPr="00846CF6" w:rsidRDefault="00A35557" w:rsidP="00E45755">
      <w:pPr>
        <w:outlineLvl w:val="1"/>
        <w:rPr>
          <w:b/>
          <w:sz w:val="24"/>
          <w:szCs w:val="24"/>
        </w:rPr>
      </w:pPr>
      <w:r>
        <w:rPr>
          <w:b/>
          <w:sz w:val="24"/>
          <w:szCs w:val="24"/>
        </w:rPr>
        <w:t xml:space="preserve">Eleventh </w:t>
      </w:r>
      <w:r w:rsidR="00E45755" w:rsidRPr="00846CF6">
        <w:rPr>
          <w:b/>
          <w:sz w:val="24"/>
          <w:szCs w:val="24"/>
        </w:rPr>
        <w:t>Session</w:t>
      </w:r>
    </w:p>
    <w:p w14:paraId="479D383A" w14:textId="503D08C7" w:rsidR="008B2CC1" w:rsidRPr="003845C1" w:rsidRDefault="00846CF6" w:rsidP="00E82FE2">
      <w:pPr>
        <w:tabs>
          <w:tab w:val="right" w:pos="9355"/>
        </w:tabs>
        <w:spacing w:after="720"/>
        <w:outlineLvl w:val="1"/>
        <w:rPr>
          <w:b/>
          <w:sz w:val="24"/>
          <w:szCs w:val="24"/>
        </w:rPr>
      </w:pPr>
      <w:r w:rsidRPr="00846CF6">
        <w:rPr>
          <w:b/>
          <w:sz w:val="24"/>
          <w:szCs w:val="24"/>
        </w:rPr>
        <w:t xml:space="preserve">Geneva, </w:t>
      </w:r>
      <w:r w:rsidR="00A35557">
        <w:rPr>
          <w:b/>
          <w:sz w:val="24"/>
          <w:szCs w:val="24"/>
        </w:rPr>
        <w:t>December</w:t>
      </w:r>
      <w:r w:rsidRPr="00846CF6">
        <w:rPr>
          <w:b/>
          <w:sz w:val="24"/>
          <w:szCs w:val="24"/>
        </w:rPr>
        <w:t xml:space="preserve"> </w:t>
      </w:r>
      <w:r w:rsidR="00A35557">
        <w:rPr>
          <w:b/>
          <w:sz w:val="24"/>
          <w:szCs w:val="24"/>
        </w:rPr>
        <w:t>4</w:t>
      </w:r>
      <w:r w:rsidRPr="00846CF6">
        <w:rPr>
          <w:b/>
          <w:sz w:val="24"/>
          <w:szCs w:val="24"/>
        </w:rPr>
        <w:t xml:space="preserve"> to </w:t>
      </w:r>
      <w:r w:rsidR="00A35557">
        <w:rPr>
          <w:b/>
          <w:sz w:val="24"/>
          <w:szCs w:val="24"/>
        </w:rPr>
        <w:t>8</w:t>
      </w:r>
      <w:r w:rsidR="00D05A1A">
        <w:rPr>
          <w:b/>
          <w:sz w:val="24"/>
          <w:szCs w:val="24"/>
        </w:rPr>
        <w:t>, 202</w:t>
      </w:r>
      <w:r w:rsidR="00A35557">
        <w:rPr>
          <w:b/>
          <w:sz w:val="24"/>
          <w:szCs w:val="24"/>
        </w:rPr>
        <w:t>3</w:t>
      </w:r>
      <w:r w:rsidR="00E82FE2">
        <w:rPr>
          <w:b/>
          <w:sz w:val="24"/>
          <w:szCs w:val="24"/>
        </w:rPr>
        <w:tab/>
      </w:r>
    </w:p>
    <w:p w14:paraId="02619D7C" w14:textId="4A16CF04" w:rsidR="004F4293" w:rsidRDefault="00913A36" w:rsidP="004F4293">
      <w:pPr>
        <w:rPr>
          <w:caps/>
          <w:sz w:val="24"/>
        </w:rPr>
      </w:pPr>
      <w:bookmarkStart w:id="3" w:name="Prepared"/>
      <w:bookmarkEnd w:id="3"/>
      <w:r w:rsidRPr="00913A36">
        <w:rPr>
          <w:caps/>
          <w:sz w:val="24"/>
        </w:rPr>
        <w:t>Work Program and Task List of the CWS</w:t>
      </w:r>
    </w:p>
    <w:p w14:paraId="4C0BA64F" w14:textId="77777777" w:rsidR="004F4293" w:rsidRDefault="004F4293" w:rsidP="004F4293">
      <w:pPr>
        <w:rPr>
          <w:caps/>
          <w:sz w:val="24"/>
        </w:rPr>
      </w:pPr>
    </w:p>
    <w:p w14:paraId="38172407" w14:textId="71A4E26D" w:rsidR="002928D3" w:rsidRDefault="002E585B" w:rsidP="001D4107">
      <w:pPr>
        <w:spacing w:after="1040"/>
        <w:rPr>
          <w:i/>
        </w:rPr>
      </w:pPr>
      <w:r>
        <w:rPr>
          <w:i/>
        </w:rPr>
        <w:t xml:space="preserve">Document prepared by the </w:t>
      </w:r>
      <w:proofErr w:type="gramStart"/>
      <w:r w:rsidR="00C63AD7" w:rsidRPr="00C63AD7">
        <w:rPr>
          <w:i/>
        </w:rPr>
        <w:t>Secretariat</w:t>
      </w:r>
      <w:proofErr w:type="gramEnd"/>
    </w:p>
    <w:p w14:paraId="314062F6" w14:textId="77777777" w:rsidR="00C63AD7" w:rsidRDefault="00C63AD7" w:rsidP="00FA679E">
      <w:pPr>
        <w:pStyle w:val="Heading2"/>
        <w:numPr>
          <w:ilvl w:val="0"/>
          <w:numId w:val="0"/>
        </w:numPr>
      </w:pPr>
      <w:r>
        <w:t>Introduction</w:t>
      </w:r>
    </w:p>
    <w:p w14:paraId="28F4432B" w14:textId="74288127" w:rsidR="004C7545" w:rsidRDefault="00C63AD7" w:rsidP="00261643">
      <w:pPr>
        <w:spacing w:after="220"/>
      </w:pPr>
      <w:r>
        <w:fldChar w:fldCharType="begin"/>
      </w:r>
      <w:r>
        <w:instrText xml:space="preserve"> AUTONUM  </w:instrText>
      </w:r>
      <w:r>
        <w:fldChar w:fldCharType="end"/>
      </w:r>
      <w:r>
        <w:tab/>
      </w:r>
      <w:r w:rsidRPr="008B38F6">
        <w:t xml:space="preserve">At its </w:t>
      </w:r>
      <w:r w:rsidR="00A35557">
        <w:t xml:space="preserve">tenth </w:t>
      </w:r>
      <w:r w:rsidRPr="008B38F6">
        <w:t>session in 20</w:t>
      </w:r>
      <w:r>
        <w:t>2</w:t>
      </w:r>
      <w:r w:rsidR="00A35557">
        <w:t>2</w:t>
      </w:r>
      <w:r w:rsidRPr="008B38F6">
        <w:t>, t</w:t>
      </w:r>
      <w:r w:rsidRPr="00880F9F">
        <w:t>he Committee on WIPO Standards (CWS) approved the revised list of Tasks, as presented in Annex I</w:t>
      </w:r>
      <w:r w:rsidR="00A35557">
        <w:t>V</w:t>
      </w:r>
      <w:r w:rsidRPr="00880F9F">
        <w:t xml:space="preserve"> of document CWS/</w:t>
      </w:r>
      <w:r w:rsidR="00A35557">
        <w:t>10</w:t>
      </w:r>
      <w:r w:rsidRPr="00880F9F">
        <w:t>/2</w:t>
      </w:r>
      <w:r w:rsidR="00A35557">
        <w:t>2</w:t>
      </w:r>
      <w:r w:rsidRPr="00880F9F">
        <w:t xml:space="preserve">.  </w:t>
      </w:r>
      <w:r w:rsidR="00A35557">
        <w:t xml:space="preserve">No </w:t>
      </w:r>
      <w:r w:rsidR="003A433C">
        <w:t>T</w:t>
      </w:r>
      <w:r w:rsidRPr="00880F9F">
        <w:t>ask</w:t>
      </w:r>
      <w:r w:rsidR="00A35557">
        <w:t xml:space="preserve"> was</w:t>
      </w:r>
      <w:r w:rsidRPr="00880F9F">
        <w:t xml:space="preserve"> discontinued, two </w:t>
      </w:r>
      <w:r w:rsidR="003A433C">
        <w:t>T</w:t>
      </w:r>
      <w:r w:rsidRPr="00880F9F">
        <w:t xml:space="preserve">asks revised, and </w:t>
      </w:r>
      <w:r w:rsidR="00A35557">
        <w:t xml:space="preserve">a </w:t>
      </w:r>
      <w:r w:rsidRPr="00880F9F">
        <w:t xml:space="preserve">new </w:t>
      </w:r>
      <w:r w:rsidR="00A35557">
        <w:t>T</w:t>
      </w:r>
      <w:r w:rsidRPr="00880F9F">
        <w:t xml:space="preserve">ask created at the </w:t>
      </w:r>
      <w:r w:rsidR="00A35557">
        <w:t>ten</w:t>
      </w:r>
      <w:r w:rsidRPr="00880F9F">
        <w:t>th session</w:t>
      </w:r>
      <w:r>
        <w:t xml:space="preserve">.  </w:t>
      </w:r>
    </w:p>
    <w:p w14:paraId="5F74EFED" w14:textId="77777777" w:rsidR="00020691" w:rsidRDefault="00816986" w:rsidP="00261643">
      <w:pPr>
        <w:spacing w:after="220"/>
      </w:pPr>
      <w:r>
        <w:fldChar w:fldCharType="begin"/>
      </w:r>
      <w:r>
        <w:instrText xml:space="preserve"> AUTONUM  </w:instrText>
      </w:r>
      <w:r>
        <w:fldChar w:fldCharType="end"/>
      </w:r>
      <w:r>
        <w:tab/>
      </w:r>
      <w:r w:rsidR="007F1D88">
        <w:t>At its tenth session, t</w:t>
      </w:r>
      <w:r w:rsidR="00A35557">
        <w:t xml:space="preserve">he CWS noted that its activities and WIPO Standards are relevant to the </w:t>
      </w:r>
      <w:r w:rsidR="00A35557" w:rsidRPr="00823760">
        <w:t>WIPO M</w:t>
      </w:r>
      <w:r w:rsidR="00A35557">
        <w:t>e</w:t>
      </w:r>
      <w:r w:rsidR="00A35557" w:rsidRPr="00823760">
        <w:t>dium-Term Strategic Plan</w:t>
      </w:r>
      <w:r w:rsidR="00A35557">
        <w:t xml:space="preserve"> (MTSP)</w:t>
      </w:r>
      <w:r w:rsidR="00D2734C">
        <w:t xml:space="preserve"> under Pillar 2:</w:t>
      </w:r>
      <w:r w:rsidR="00A35557">
        <w:t xml:space="preserve"> </w:t>
      </w:r>
    </w:p>
    <w:p w14:paraId="50EFB8BE" w14:textId="3EBC78D9" w:rsidR="00A35557" w:rsidRDefault="00A35557" w:rsidP="00020691">
      <w:pPr>
        <w:spacing w:after="220"/>
        <w:ind w:left="567"/>
      </w:pPr>
      <w:r>
        <w:t>“</w:t>
      </w:r>
      <w:r w:rsidRPr="00C66B10">
        <w:rPr>
          <w:i/>
        </w:rPr>
        <w:t>Bring people together and partner with stakeholders to shape the future of the global IP ecosystem</w:t>
      </w:r>
      <w:r>
        <w:t>”, and more specifically</w:t>
      </w:r>
      <w:r w:rsidR="00D2734C">
        <w:t xml:space="preserve"> under Pillar 2.1:</w:t>
      </w:r>
      <w:r>
        <w:t xml:space="preserve"> “</w:t>
      </w:r>
      <w:r w:rsidRPr="00C66B10">
        <w:rPr>
          <w:i/>
        </w:rPr>
        <w:t>Development of balanced and effective international normative frameworks for IP</w:t>
      </w:r>
      <w:r>
        <w:t>”.</w:t>
      </w:r>
    </w:p>
    <w:p w14:paraId="3EA25BF6" w14:textId="670F68F0" w:rsidR="0062695D" w:rsidRPr="00E71B94" w:rsidRDefault="00816986" w:rsidP="00C66B10">
      <w:pPr>
        <w:spacing w:after="240"/>
        <w:rPr>
          <w:color w:val="000000" w:themeColor="text1"/>
        </w:rPr>
      </w:pPr>
      <w:r w:rsidRPr="00E71B94">
        <w:rPr>
          <w:color w:val="000000" w:themeColor="text1"/>
        </w:rPr>
        <w:fldChar w:fldCharType="begin"/>
      </w:r>
      <w:r w:rsidRPr="00E71B94">
        <w:rPr>
          <w:color w:val="000000" w:themeColor="text1"/>
        </w:rPr>
        <w:instrText xml:space="preserve"> AUTONUM  </w:instrText>
      </w:r>
      <w:r w:rsidRPr="00E71B94">
        <w:rPr>
          <w:color w:val="000000" w:themeColor="text1"/>
        </w:rPr>
        <w:fldChar w:fldCharType="end"/>
      </w:r>
      <w:r w:rsidRPr="00E71B94">
        <w:rPr>
          <w:color w:val="000000" w:themeColor="text1"/>
        </w:rPr>
        <w:tab/>
      </w:r>
      <w:r w:rsidR="007F1D88" w:rsidRPr="00E71B94">
        <w:rPr>
          <w:color w:val="000000" w:themeColor="text1"/>
        </w:rPr>
        <w:t xml:space="preserve">The CWS also noted the </w:t>
      </w:r>
      <w:r w:rsidR="00E07C74" w:rsidRPr="00E71B94">
        <w:rPr>
          <w:color w:val="000000" w:themeColor="text1"/>
        </w:rPr>
        <w:t>R</w:t>
      </w:r>
      <w:r w:rsidR="007F1D88" w:rsidRPr="00E71B94">
        <w:rPr>
          <w:color w:val="000000" w:themeColor="text1"/>
        </w:rPr>
        <w:t xml:space="preserve">ecommendations of the </w:t>
      </w:r>
      <w:hyperlink r:id="rId9" w:history="1">
        <w:r w:rsidR="007F1D88" w:rsidRPr="00E71B94">
          <w:rPr>
            <w:rStyle w:val="Hyperlink"/>
            <w:color w:val="000000" w:themeColor="text1"/>
          </w:rPr>
          <w:t>Report on Evaluation of WIPO Standing Committees</w:t>
        </w:r>
      </w:hyperlink>
      <w:r w:rsidR="007F1D88" w:rsidRPr="00E71B94">
        <w:rPr>
          <w:color w:val="000000" w:themeColor="text1"/>
        </w:rPr>
        <w:t xml:space="preserve">, in particular Recommendation 3 </w:t>
      </w:r>
      <w:r w:rsidR="00D2734C" w:rsidRPr="00E71B94">
        <w:rPr>
          <w:color w:val="000000" w:themeColor="text1"/>
        </w:rPr>
        <w:t>relating</w:t>
      </w:r>
      <w:r w:rsidR="007F1D88" w:rsidRPr="00E71B94">
        <w:rPr>
          <w:color w:val="000000" w:themeColor="text1"/>
        </w:rPr>
        <w:t xml:space="preserve"> to the CWS and </w:t>
      </w:r>
      <w:r w:rsidR="00D2734C" w:rsidRPr="00E71B94">
        <w:rPr>
          <w:color w:val="000000" w:themeColor="text1"/>
        </w:rPr>
        <w:t xml:space="preserve">its </w:t>
      </w:r>
      <w:r w:rsidR="007F1D88" w:rsidRPr="00E71B94">
        <w:rPr>
          <w:color w:val="000000" w:themeColor="text1"/>
        </w:rPr>
        <w:t xml:space="preserve">closing </w:t>
      </w:r>
      <w:r w:rsidRPr="00E71B94">
        <w:rPr>
          <w:color w:val="000000" w:themeColor="text1"/>
        </w:rPr>
        <w:t>criteria</w:t>
      </w:r>
      <w:r w:rsidR="0062695D" w:rsidRPr="00E71B94">
        <w:rPr>
          <w:color w:val="000000" w:themeColor="text1"/>
        </w:rPr>
        <w:t>, which are reproduced below</w:t>
      </w:r>
      <w:r w:rsidR="00D2734C" w:rsidRPr="00E71B94">
        <w:rPr>
          <w:color w:val="000000" w:themeColor="text1"/>
        </w:rPr>
        <w:t>:</w:t>
      </w:r>
    </w:p>
    <w:p w14:paraId="2414AE9A" w14:textId="4B97FEA6" w:rsidR="0062695D" w:rsidRPr="0062695D" w:rsidRDefault="0062695D" w:rsidP="009718C0">
      <w:pPr>
        <w:ind w:left="567"/>
        <w:rPr>
          <w:i/>
        </w:rPr>
      </w:pPr>
      <w:r w:rsidRPr="0062695D">
        <w:rPr>
          <w:i/>
        </w:rPr>
        <w:t>Closing criteria</w:t>
      </w:r>
    </w:p>
    <w:p w14:paraId="288593FC" w14:textId="777EF55F" w:rsidR="0062695D" w:rsidRDefault="003578D1" w:rsidP="009718C0">
      <w:pPr>
        <w:ind w:left="567"/>
      </w:pPr>
      <w:r>
        <w:t>“</w:t>
      </w:r>
      <w:r w:rsidR="0062695D" w:rsidRPr="00C66B10">
        <w:rPr>
          <w:i/>
        </w:rPr>
        <w:t>3d.</w:t>
      </w:r>
      <w:r w:rsidR="0062695D">
        <w:t xml:space="preserve"> </w:t>
      </w:r>
      <w:r w:rsidR="0062695D" w:rsidRPr="00C66B10">
        <w:rPr>
          <w:i/>
        </w:rPr>
        <w:t>For CWS to carry out an annual review of the workload of its Task Forces (active and dormant) and determine the priorities for the next year in agreement with Member States and to actively encourage a broader participation of Member States in its Task Forces</w:t>
      </w:r>
      <w:r>
        <w:t>”</w:t>
      </w:r>
    </w:p>
    <w:p w14:paraId="46D1F201" w14:textId="75ECBE7E" w:rsidR="0062695D" w:rsidRDefault="0062695D" w:rsidP="009718C0">
      <w:pPr>
        <w:ind w:left="567"/>
      </w:pPr>
    </w:p>
    <w:p w14:paraId="1654D41F" w14:textId="58110536" w:rsidR="0062695D" w:rsidRPr="0062695D" w:rsidRDefault="0062695D" w:rsidP="009718C0">
      <w:pPr>
        <w:ind w:left="567"/>
        <w:rPr>
          <w:i/>
        </w:rPr>
      </w:pPr>
      <w:r w:rsidRPr="0062695D">
        <w:rPr>
          <w:i/>
        </w:rPr>
        <w:t>Action</w:t>
      </w:r>
      <w:r>
        <w:rPr>
          <w:i/>
        </w:rPr>
        <w:t>s</w:t>
      </w:r>
    </w:p>
    <w:p w14:paraId="56C4261F" w14:textId="2501FF05" w:rsidR="00851529" w:rsidRDefault="003578D1" w:rsidP="009E0BF7">
      <w:pPr>
        <w:spacing w:after="220"/>
        <w:ind w:left="562"/>
      </w:pPr>
      <w:r>
        <w:t>“</w:t>
      </w:r>
      <w:r w:rsidR="0062695D" w:rsidRPr="00C66B10">
        <w:rPr>
          <w:i/>
        </w:rPr>
        <w:t xml:space="preserve">Secretary will guide the CWS to invest more time to review workload and agree on priorities for the following year. </w:t>
      </w:r>
      <w:r w:rsidR="001C0626" w:rsidRPr="00C66B10">
        <w:rPr>
          <w:i/>
        </w:rPr>
        <w:t xml:space="preserve"> </w:t>
      </w:r>
      <w:r w:rsidR="0062695D" w:rsidRPr="00C66B10">
        <w:rPr>
          <w:i/>
        </w:rPr>
        <w:t>Secretary will issue a circular and closely work with regional bureaus to encourage Offices to participate in CWS Task Forces.</w:t>
      </w:r>
      <w:r w:rsidRPr="00C66B10">
        <w:rPr>
          <w:i/>
        </w:rPr>
        <w:t>”</w:t>
      </w:r>
    </w:p>
    <w:p w14:paraId="19BC26E5" w14:textId="6B2486FC" w:rsidR="00816986" w:rsidRDefault="00816986" w:rsidP="009E0BF7">
      <w:pPr>
        <w:spacing w:after="220"/>
        <w:ind w:left="562"/>
      </w:pPr>
      <w:r>
        <w:lastRenderedPageBreak/>
        <w:t xml:space="preserve">(See paragraph </w:t>
      </w:r>
      <w:r w:rsidR="00D2734C">
        <w:t xml:space="preserve">7 </w:t>
      </w:r>
      <w:r>
        <w:t>of document CWS/10/3.)</w:t>
      </w:r>
    </w:p>
    <w:p w14:paraId="51CF0CF3" w14:textId="7356EFE3" w:rsidR="00816986" w:rsidRDefault="00816986"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055CD5">
        <w:rPr>
          <w:rFonts w:eastAsia="Batang"/>
          <w:lang w:eastAsia="ko-KR"/>
        </w:rPr>
        <w:t>At the same session, t</w:t>
      </w:r>
      <w:r w:rsidR="00E07C74">
        <w:rPr>
          <w:rFonts w:eastAsia="Batang"/>
          <w:lang w:eastAsia="ko-KR"/>
        </w:rPr>
        <w:t xml:space="preserve">o </w:t>
      </w:r>
      <w:r w:rsidR="00D2734C">
        <w:rPr>
          <w:rFonts w:eastAsia="Batang"/>
          <w:lang w:eastAsia="ko-KR"/>
        </w:rPr>
        <w:t>address</w:t>
      </w:r>
      <w:r w:rsidR="00E07C74">
        <w:rPr>
          <w:rFonts w:eastAsia="Batang"/>
          <w:lang w:eastAsia="ko-KR"/>
        </w:rPr>
        <w:t xml:space="preserve"> Recommendation 3, t</w:t>
      </w:r>
      <w:r>
        <w:rPr>
          <w:rFonts w:eastAsia="Batang"/>
          <w:lang w:eastAsia="ko-KR"/>
        </w:rPr>
        <w:t>he CWS discussed the prioritization</w:t>
      </w:r>
      <w:r w:rsidR="00E07C74">
        <w:rPr>
          <w:rFonts w:eastAsia="Batang"/>
          <w:lang w:eastAsia="ko-KR"/>
        </w:rPr>
        <w:t xml:space="preserve"> of its Tasks </w:t>
      </w:r>
      <w:proofErr w:type="gramStart"/>
      <w:r w:rsidR="00020691">
        <w:rPr>
          <w:rFonts w:eastAsia="Batang"/>
          <w:lang w:eastAsia="ko-KR"/>
        </w:rPr>
        <w:t>in light of</w:t>
      </w:r>
      <w:proofErr w:type="gramEnd"/>
      <w:r w:rsidR="00055CD5">
        <w:rPr>
          <w:rFonts w:eastAsia="Batang"/>
          <w:lang w:eastAsia="ko-KR"/>
        </w:rPr>
        <w:t xml:space="preserve"> questions and action points that the Secretariat </w:t>
      </w:r>
      <w:r w:rsidR="00D2734C">
        <w:rPr>
          <w:rFonts w:eastAsia="Batang"/>
          <w:lang w:eastAsia="ko-KR"/>
        </w:rPr>
        <w:t xml:space="preserve">detailed </w:t>
      </w:r>
      <w:r w:rsidR="00055CD5">
        <w:rPr>
          <w:rFonts w:eastAsia="Batang"/>
          <w:lang w:eastAsia="ko-KR"/>
        </w:rPr>
        <w:t>in paragraphs 11 to 14</w:t>
      </w:r>
      <w:r w:rsidR="00E07C74">
        <w:rPr>
          <w:rFonts w:eastAsia="Batang"/>
          <w:lang w:eastAsia="ko-KR"/>
        </w:rPr>
        <w:t xml:space="preserve"> of document CWS</w:t>
      </w:r>
      <w:r w:rsidR="00055CD5">
        <w:rPr>
          <w:rFonts w:eastAsia="Batang"/>
          <w:lang w:eastAsia="ko-KR"/>
        </w:rPr>
        <w:t xml:space="preserve">/10/3.  </w:t>
      </w:r>
      <w:r w:rsidR="00055CD5" w:rsidRPr="00055CD5">
        <w:rPr>
          <w:rFonts w:eastAsia="Batang"/>
          <w:lang w:eastAsia="ko-KR"/>
        </w:rPr>
        <w:t xml:space="preserve">The CWS requested the Secretariat to work with the </w:t>
      </w:r>
      <w:r w:rsidR="00D2734C">
        <w:rPr>
          <w:rFonts w:eastAsia="Batang"/>
          <w:lang w:eastAsia="ko-KR"/>
        </w:rPr>
        <w:t xml:space="preserve">CWS </w:t>
      </w:r>
      <w:r w:rsidR="00055CD5" w:rsidRPr="00055CD5">
        <w:rPr>
          <w:rFonts w:eastAsia="Batang"/>
          <w:lang w:eastAsia="ko-KR"/>
        </w:rPr>
        <w:t>Task Force</w:t>
      </w:r>
      <w:r w:rsidR="00D2734C">
        <w:rPr>
          <w:rFonts w:eastAsia="Batang"/>
          <w:lang w:eastAsia="ko-KR"/>
        </w:rPr>
        <w:t xml:space="preserve"> Leader</w:t>
      </w:r>
      <w:r w:rsidR="00055CD5" w:rsidRPr="00055CD5">
        <w:rPr>
          <w:rFonts w:eastAsia="Batang"/>
          <w:lang w:eastAsia="ko-KR"/>
        </w:rPr>
        <w:t>s to prepare a survey questionnaire</w:t>
      </w:r>
      <w:r w:rsidR="00F70E86">
        <w:rPr>
          <w:rFonts w:eastAsia="Batang"/>
          <w:lang w:eastAsia="ko-KR"/>
        </w:rPr>
        <w:t xml:space="preserve"> for</w:t>
      </w:r>
      <w:r w:rsidR="00055CD5" w:rsidRPr="00055CD5">
        <w:rPr>
          <w:rFonts w:eastAsia="Batang"/>
          <w:lang w:eastAsia="ko-KR"/>
        </w:rPr>
        <w:t xml:space="preserve"> determining the preferences of </w:t>
      </w:r>
      <w:r w:rsidR="00B035BB">
        <w:rPr>
          <w:rFonts w:eastAsia="Batang"/>
          <w:lang w:eastAsia="ko-KR"/>
        </w:rPr>
        <w:t>Intellectual Property Offices (</w:t>
      </w:r>
      <w:r w:rsidR="00055CD5" w:rsidRPr="00055CD5">
        <w:rPr>
          <w:rFonts w:eastAsia="Batang"/>
          <w:lang w:eastAsia="ko-KR"/>
        </w:rPr>
        <w:t>IPOs</w:t>
      </w:r>
      <w:r w:rsidR="00B035BB">
        <w:rPr>
          <w:rFonts w:eastAsia="Batang"/>
          <w:lang w:eastAsia="ko-KR"/>
        </w:rPr>
        <w:t>)</w:t>
      </w:r>
      <w:r w:rsidR="00055CD5" w:rsidRPr="00055CD5">
        <w:rPr>
          <w:rFonts w:eastAsia="Batang"/>
          <w:lang w:eastAsia="ko-KR"/>
        </w:rPr>
        <w:t xml:space="preserve"> in prioritizing Tasks</w:t>
      </w:r>
      <w:r w:rsidR="00D2734C">
        <w:rPr>
          <w:rFonts w:eastAsia="Batang"/>
          <w:lang w:eastAsia="ko-KR"/>
        </w:rPr>
        <w:t xml:space="preserve"> </w:t>
      </w:r>
      <w:r w:rsidR="00D2734C" w:rsidRPr="00055CD5">
        <w:rPr>
          <w:rFonts w:eastAsia="Batang"/>
          <w:lang w:eastAsia="ko-KR"/>
        </w:rPr>
        <w:t xml:space="preserve">for presentation at the </w:t>
      </w:r>
      <w:r w:rsidR="00D2734C">
        <w:rPr>
          <w:rFonts w:eastAsia="Batang"/>
          <w:lang w:eastAsia="ko-KR"/>
        </w:rPr>
        <w:t xml:space="preserve">eleventh </w:t>
      </w:r>
      <w:r w:rsidR="00F70E86">
        <w:rPr>
          <w:rFonts w:eastAsia="Batang"/>
          <w:lang w:eastAsia="ko-KR"/>
        </w:rPr>
        <w:t>session of the CWS</w:t>
      </w:r>
      <w:r w:rsidR="00055CD5">
        <w:rPr>
          <w:rFonts w:eastAsia="Batang"/>
          <w:lang w:eastAsia="ko-KR"/>
        </w:rPr>
        <w:t xml:space="preserve">. </w:t>
      </w:r>
      <w:r w:rsidR="00055CD5">
        <w:t>(See paragraphs 26 to 28 of document CWS/10/22)</w:t>
      </w:r>
      <w:r w:rsidR="00D2734C">
        <w:t>.</w:t>
      </w:r>
      <w:r w:rsidR="00055CD5" w:rsidRPr="00055CD5">
        <w:rPr>
          <w:rFonts w:eastAsia="Batang"/>
          <w:lang w:eastAsia="ko-KR"/>
        </w:rPr>
        <w:t xml:space="preserve">  </w:t>
      </w:r>
    </w:p>
    <w:p w14:paraId="211ED54F" w14:textId="693DBDE4" w:rsidR="000B32A9" w:rsidRDefault="000B32A9" w:rsidP="000B32A9">
      <w:r>
        <w:fldChar w:fldCharType="begin"/>
      </w:r>
      <w:r>
        <w:instrText xml:space="preserve"> AUTONUM  </w:instrText>
      </w:r>
      <w:r>
        <w:fldChar w:fldCharType="end"/>
      </w:r>
      <w:r>
        <w:tab/>
        <w:t xml:space="preserve">At </w:t>
      </w:r>
      <w:r w:rsidR="0007205F">
        <w:t>the</w:t>
      </w:r>
      <w:r>
        <w:t xml:space="preserve"> same session, t</w:t>
      </w:r>
      <w:r w:rsidRPr="00E145CF">
        <w:t xml:space="preserve">he CWS agreed that each Task Force identify objectives and relevant actions for the year and measure progress against those objectives at </w:t>
      </w:r>
      <w:r w:rsidR="0007205F">
        <w:t>each</w:t>
      </w:r>
      <w:r w:rsidRPr="00E145CF">
        <w:t xml:space="preserve"> annual meeting.  The CWS requested </w:t>
      </w:r>
      <w:r w:rsidR="00F70E86">
        <w:t xml:space="preserve">that </w:t>
      </w:r>
      <w:r w:rsidRPr="00E145CF">
        <w:t>the Secretariat provide a common template for Task Force reporting</w:t>
      </w:r>
      <w:r w:rsidR="0007205F">
        <w:t xml:space="preserve"> the progress on CWS Tasks that is presented at </w:t>
      </w:r>
      <w:r w:rsidRPr="00E145CF">
        <w:t xml:space="preserve">quarterly meetings of </w:t>
      </w:r>
      <w:r w:rsidR="00F70E86">
        <w:t>all</w:t>
      </w:r>
      <w:r w:rsidRPr="00E145CF">
        <w:t xml:space="preserve"> Task Forces.  The Secretariat agreed to work with the Task Force Leaders to prepare the common template and organize the quarterly Task Force update meetings.  </w:t>
      </w:r>
      <w:r>
        <w:t>(See paragraph 30 of document CWS/10/22)</w:t>
      </w:r>
      <w:r w:rsidR="00D2734C">
        <w:t>.</w:t>
      </w:r>
    </w:p>
    <w:p w14:paraId="77A5724C" w14:textId="77777777" w:rsidR="000B32A9" w:rsidRDefault="000B32A9" w:rsidP="00816986">
      <w:pPr>
        <w:spacing w:after="220"/>
      </w:pPr>
    </w:p>
    <w:p w14:paraId="41F3CAB9" w14:textId="195F5743" w:rsidR="00851529" w:rsidRDefault="00200E98" w:rsidP="009E0BF7">
      <w:pPr>
        <w:pStyle w:val="Heading2"/>
        <w:numPr>
          <w:ilvl w:val="0"/>
          <w:numId w:val="0"/>
        </w:numPr>
      </w:pPr>
      <w:r>
        <w:t>Report on the activites of</w:t>
      </w:r>
      <w:r w:rsidR="00851529">
        <w:t xml:space="preserve"> CWS </w:t>
      </w:r>
      <w:r w:rsidR="00557D55">
        <w:t>Work Program</w:t>
      </w:r>
    </w:p>
    <w:p w14:paraId="2D1C08E6" w14:textId="76285E0D" w:rsidR="00200E98" w:rsidRDefault="00FA679E" w:rsidP="00851529">
      <w:r>
        <w:fldChar w:fldCharType="begin"/>
      </w:r>
      <w:r>
        <w:instrText xml:space="preserve"> AUTONUM  </w:instrText>
      </w:r>
      <w:r>
        <w:fldChar w:fldCharType="end"/>
      </w:r>
      <w:r>
        <w:tab/>
      </w:r>
      <w:r w:rsidR="00200E98">
        <w:t xml:space="preserve">Since the tenth session of the Committee, the </w:t>
      </w:r>
      <w:r w:rsidR="00F70E86">
        <w:t xml:space="preserve">CWS </w:t>
      </w:r>
      <w:r w:rsidR="00200E98">
        <w:t xml:space="preserve">Task Forces have worked </w:t>
      </w:r>
      <w:r w:rsidR="00F70E86">
        <w:t>under the framework of</w:t>
      </w:r>
      <w:r w:rsidR="00200E98">
        <w:t xml:space="preserve"> the </w:t>
      </w:r>
      <w:r w:rsidR="00F70E86">
        <w:t xml:space="preserve">CWS Tasks which form the </w:t>
      </w:r>
      <w:r w:rsidR="00200E98">
        <w:t>Work Program</w:t>
      </w:r>
      <w:r w:rsidR="0007205F">
        <w:t>,</w:t>
      </w:r>
      <w:r w:rsidR="004176E0">
        <w:t xml:space="preserve"> approved </w:t>
      </w:r>
      <w:r w:rsidR="00200E98">
        <w:t xml:space="preserve">at the tenth session of the CWS.  There are </w:t>
      </w:r>
      <w:r w:rsidR="004176E0">
        <w:t>2</w:t>
      </w:r>
      <w:r w:rsidR="005620DC">
        <w:t>4</w:t>
      </w:r>
      <w:r w:rsidR="00200E98">
        <w:t xml:space="preserve"> Tasks defined in the Task List, </w:t>
      </w:r>
      <w:r w:rsidR="00F70E86">
        <w:t xml:space="preserve">where </w:t>
      </w:r>
      <w:r w:rsidR="005620DC">
        <w:t>19</w:t>
      </w:r>
      <w:r w:rsidR="00200E98">
        <w:t xml:space="preserve"> Tasks are assigned to a specific Task Force</w:t>
      </w:r>
      <w:r w:rsidR="005620DC">
        <w:t xml:space="preserve"> and five</w:t>
      </w:r>
      <w:r w:rsidR="00200E98">
        <w:t xml:space="preserve"> Tasks </w:t>
      </w:r>
      <w:r w:rsidR="006F6518">
        <w:t>are not</w:t>
      </w:r>
      <w:r w:rsidR="00200E98">
        <w:t xml:space="preserve">.   </w:t>
      </w:r>
    </w:p>
    <w:p w14:paraId="2D1F1B6F" w14:textId="1D6C4612" w:rsidR="00200E98" w:rsidRDefault="00200E98" w:rsidP="00851529"/>
    <w:p w14:paraId="2490CC20" w14:textId="0FB6C590" w:rsidR="00E145CF" w:rsidRDefault="000B32A9" w:rsidP="00C66B10">
      <w:pPr>
        <w:spacing w:after="240"/>
      </w:pPr>
      <w:r>
        <w:fldChar w:fldCharType="begin"/>
      </w:r>
      <w:r>
        <w:instrText xml:space="preserve"> AUTONUM  </w:instrText>
      </w:r>
      <w:r>
        <w:fldChar w:fldCharType="end"/>
      </w:r>
      <w:r>
        <w:tab/>
      </w:r>
      <w:r w:rsidR="00200E98">
        <w:t xml:space="preserve">As the CWS </w:t>
      </w:r>
      <w:r w:rsidR="00F70E86">
        <w:t>requested</w:t>
      </w:r>
      <w:r w:rsidR="00200E98">
        <w:t xml:space="preserve">, </w:t>
      </w:r>
      <w:r w:rsidR="00E145CF">
        <w:t>all active</w:t>
      </w:r>
      <w:r w:rsidR="00200E98">
        <w:t xml:space="preserve"> CWS Task Forces met </w:t>
      </w:r>
      <w:r w:rsidR="00E145CF">
        <w:t>quarterly</w:t>
      </w:r>
      <w:r w:rsidR="00200E98">
        <w:t xml:space="preserve"> </w:t>
      </w:r>
      <w:r w:rsidR="00E145CF">
        <w:t xml:space="preserve">to </w:t>
      </w:r>
      <w:r w:rsidR="00E145CF" w:rsidRPr="00E145CF">
        <w:t>review and update the</w:t>
      </w:r>
      <w:r w:rsidR="00C66B10">
        <w:t>ir</w:t>
      </w:r>
      <w:r w:rsidR="00E145CF" w:rsidRPr="00E145CF">
        <w:t xml:space="preserve"> objectives</w:t>
      </w:r>
      <w:r w:rsidR="00E145CF">
        <w:t xml:space="preserve"> in March, </w:t>
      </w:r>
      <w:proofErr w:type="gramStart"/>
      <w:r w:rsidR="00E145CF">
        <w:t>June</w:t>
      </w:r>
      <w:proofErr w:type="gramEnd"/>
      <w:r w:rsidR="00E145CF">
        <w:t xml:space="preserve"> and September</w:t>
      </w:r>
      <w:r>
        <w:t xml:space="preserve">, where all </w:t>
      </w:r>
      <w:r w:rsidR="00C66B10">
        <w:t xml:space="preserve">their </w:t>
      </w:r>
      <w:r>
        <w:t xml:space="preserve">members </w:t>
      </w:r>
      <w:r w:rsidR="00C66B10">
        <w:t xml:space="preserve">and observers </w:t>
      </w:r>
      <w:r>
        <w:t>were invited</w:t>
      </w:r>
      <w:r w:rsidR="00E145CF">
        <w:t xml:space="preserve">.  </w:t>
      </w:r>
      <w:r>
        <w:t xml:space="preserve">The participants noted the progress on the Tasks that Task Force </w:t>
      </w:r>
      <w:r w:rsidR="00557D55">
        <w:t xml:space="preserve">Leaders </w:t>
      </w:r>
      <w:r>
        <w:t xml:space="preserve">reported using the template that </w:t>
      </w:r>
      <w:r w:rsidR="00E145CF">
        <w:t>t</w:t>
      </w:r>
      <w:r w:rsidR="00E145CF" w:rsidRPr="00E145CF">
        <w:t xml:space="preserve">he Secretariat </w:t>
      </w:r>
      <w:r>
        <w:t>prepared</w:t>
      </w:r>
      <w:r w:rsidR="00557D55">
        <w:t>,</w:t>
      </w:r>
      <w:r>
        <w:t xml:space="preserve"> in consultation with </w:t>
      </w:r>
      <w:r w:rsidRPr="00E145CF">
        <w:t>the Task Force Leaders</w:t>
      </w:r>
      <w:r w:rsidR="00E145CF" w:rsidRPr="00E145CF">
        <w:t>.</w:t>
      </w:r>
      <w:r>
        <w:t xml:space="preserve">  The template </w:t>
      </w:r>
      <w:r w:rsidR="00557D55">
        <w:t>defines</w:t>
      </w:r>
      <w:r w:rsidR="005620DC">
        <w:t>:</w:t>
      </w:r>
    </w:p>
    <w:p w14:paraId="622B0A10" w14:textId="6C790EA7" w:rsidR="000B32A9" w:rsidRDefault="000B32A9" w:rsidP="00EF4CC1">
      <w:pPr>
        <w:pStyle w:val="ListParagraph"/>
        <w:numPr>
          <w:ilvl w:val="0"/>
          <w:numId w:val="38"/>
        </w:numPr>
      </w:pPr>
      <w:proofErr w:type="gramStart"/>
      <w:r>
        <w:t>Objectives;</w:t>
      </w:r>
      <w:proofErr w:type="gramEnd"/>
      <w:r>
        <w:t xml:space="preserve"> </w:t>
      </w:r>
    </w:p>
    <w:p w14:paraId="0818FD16" w14:textId="0D9474BA" w:rsidR="000B32A9" w:rsidRDefault="000B32A9" w:rsidP="00EF4CC1">
      <w:pPr>
        <w:pStyle w:val="ListParagraph"/>
        <w:numPr>
          <w:ilvl w:val="0"/>
          <w:numId w:val="38"/>
        </w:numPr>
      </w:pPr>
      <w:r>
        <w:t>Relevant actions for 2023</w:t>
      </w:r>
      <w:r w:rsidR="00C66B10">
        <w:t xml:space="preserve"> and </w:t>
      </w:r>
      <w:r w:rsidR="00557D55">
        <w:t xml:space="preserve">the upcoming </w:t>
      </w:r>
      <w:proofErr w:type="gramStart"/>
      <w:r w:rsidR="00557D55">
        <w:t>year</w:t>
      </w:r>
      <w:r>
        <w:t>;</w:t>
      </w:r>
      <w:proofErr w:type="gramEnd"/>
    </w:p>
    <w:p w14:paraId="62AE6410" w14:textId="70ED0626" w:rsidR="000B32A9" w:rsidRDefault="000B32A9" w:rsidP="00EF4CC1">
      <w:pPr>
        <w:pStyle w:val="ListParagraph"/>
        <w:numPr>
          <w:ilvl w:val="0"/>
          <w:numId w:val="38"/>
        </w:numPr>
      </w:pPr>
      <w:r>
        <w:t xml:space="preserve">Potential challenges or dependencies; and </w:t>
      </w:r>
    </w:p>
    <w:p w14:paraId="05022482" w14:textId="5011D42B" w:rsidR="000B32A9" w:rsidRDefault="000B32A9" w:rsidP="00EF4CC1">
      <w:pPr>
        <w:pStyle w:val="ListParagraph"/>
        <w:numPr>
          <w:ilvl w:val="0"/>
          <w:numId w:val="38"/>
        </w:numPr>
      </w:pPr>
      <w:r>
        <w:t>Progress evaluation.</w:t>
      </w:r>
    </w:p>
    <w:p w14:paraId="0F4C23E5" w14:textId="77777777" w:rsidR="00C66B10" w:rsidRDefault="00C66B10" w:rsidP="00C66B10"/>
    <w:p w14:paraId="7709B7B1" w14:textId="05AD03E0" w:rsidR="00C66B10" w:rsidRDefault="00C66B10" w:rsidP="00C66B10">
      <w:r>
        <w:fldChar w:fldCharType="begin"/>
      </w:r>
      <w:r>
        <w:instrText xml:space="preserve"> AUTONUM  </w:instrText>
      </w:r>
      <w:r>
        <w:fldChar w:fldCharType="end"/>
      </w:r>
      <w:r>
        <w:tab/>
      </w:r>
      <w:proofErr w:type="gramStart"/>
      <w:r>
        <w:t>In order to</w:t>
      </w:r>
      <w:proofErr w:type="gramEnd"/>
      <w:r>
        <w:t xml:space="preserve"> support the organization and support of Task Force Members, the Secretariat circulated the </w:t>
      </w:r>
      <w:r w:rsidR="0007205F">
        <w:t>“</w:t>
      </w:r>
      <w:r w:rsidRPr="005620DC">
        <w:t>WIPO Standards Related Meetings Calendar for 2023</w:t>
      </w:r>
      <w:r w:rsidR="0007205F">
        <w:t>”</w:t>
      </w:r>
      <w:r w:rsidRPr="005620DC">
        <w:t xml:space="preserve"> </w:t>
      </w:r>
      <w:r>
        <w:t xml:space="preserve">as Circular C.CWS 165 in early 2023, along with relevant online meeting invitations. </w:t>
      </w:r>
    </w:p>
    <w:p w14:paraId="67B15947" w14:textId="77777777" w:rsidR="00C66B10" w:rsidRDefault="00C66B10" w:rsidP="00C66B10"/>
    <w:p w14:paraId="274A2C5F" w14:textId="597A5242" w:rsidR="008318E0" w:rsidRDefault="000B32A9" w:rsidP="008318E0">
      <w:r w:rsidRPr="004176E0">
        <w:fldChar w:fldCharType="begin"/>
      </w:r>
      <w:r w:rsidRPr="004176E0">
        <w:instrText xml:space="preserve"> AUTONUM  </w:instrText>
      </w:r>
      <w:r w:rsidRPr="004176E0">
        <w:fldChar w:fldCharType="end"/>
      </w:r>
      <w:r w:rsidRPr="004176E0">
        <w:tab/>
      </w:r>
      <w:r w:rsidR="008318E0" w:rsidRPr="004176E0">
        <w:t xml:space="preserve">At this session, </w:t>
      </w:r>
      <w:r w:rsidR="004176E0">
        <w:t>1</w:t>
      </w:r>
      <w:r w:rsidR="005620DC">
        <w:t>2</w:t>
      </w:r>
      <w:r w:rsidR="008318E0" w:rsidRPr="004176E0">
        <w:t xml:space="preserve"> Task Forces provide</w:t>
      </w:r>
      <w:r w:rsidR="0007205F">
        <w:t>d</w:t>
      </w:r>
      <w:r w:rsidR="008318E0" w:rsidRPr="004176E0">
        <w:t xml:space="preserve"> their report on the activities and progress they made on the</w:t>
      </w:r>
      <w:r w:rsidR="00557D55">
        <w:t>ir</w:t>
      </w:r>
      <w:r w:rsidR="008318E0" w:rsidRPr="004176E0">
        <w:t xml:space="preserve"> assigned Task(s) since the last session</w:t>
      </w:r>
      <w:r w:rsidR="00C66B10">
        <w:t xml:space="preserve"> of the CWS</w:t>
      </w:r>
      <w:r w:rsidR="008318E0" w:rsidRPr="004176E0">
        <w:t xml:space="preserve">.  </w:t>
      </w:r>
      <w:r w:rsidR="00557D55">
        <w:t>Progress</w:t>
      </w:r>
      <w:r w:rsidR="008318E0" w:rsidRPr="004176E0">
        <w:t xml:space="preserve"> on Tasks which no specific Task Force is assigned to are provided in the Annex to the present document.</w:t>
      </w:r>
    </w:p>
    <w:p w14:paraId="521A6EB0" w14:textId="5ECB9AD7" w:rsidR="006B24D1" w:rsidRDefault="006B24D1" w:rsidP="00B035BB">
      <w:pPr>
        <w:pStyle w:val="Heading3"/>
      </w:pPr>
      <w:r>
        <w:t>Current Tasks List</w:t>
      </w:r>
    </w:p>
    <w:p w14:paraId="3BB62BC3" w14:textId="72DF37A5" w:rsidR="00A34EE9" w:rsidRDefault="005620DC" w:rsidP="00B035BB">
      <w:pPr>
        <w:spacing w:after="240"/>
      </w:pPr>
      <w:r>
        <w:fldChar w:fldCharType="begin"/>
      </w:r>
      <w:r>
        <w:instrText xml:space="preserve"> AUTONUM  </w:instrText>
      </w:r>
      <w:r>
        <w:fldChar w:fldCharType="end"/>
      </w:r>
      <w:r>
        <w:tab/>
      </w:r>
      <w:r w:rsidR="00C12366">
        <w:t>T</w:t>
      </w:r>
      <w:r w:rsidR="00C12366" w:rsidRPr="008B38F6">
        <w:t xml:space="preserve">he Secretariat </w:t>
      </w:r>
      <w:r w:rsidR="00C12366">
        <w:t xml:space="preserve">has </w:t>
      </w:r>
      <w:r w:rsidR="00C12366" w:rsidRPr="008B38F6">
        <w:t xml:space="preserve">prepared a new revised Task List for consideration by the CWS, </w:t>
      </w:r>
      <w:r w:rsidR="00C12366">
        <w:t xml:space="preserve">as presented </w:t>
      </w:r>
      <w:r w:rsidR="00C12366" w:rsidRPr="008B38F6">
        <w:t>in th</w:t>
      </w:r>
      <w:r w:rsidR="00C12366">
        <w:t>e Annex to the present</w:t>
      </w:r>
      <w:r w:rsidR="00C12366" w:rsidRPr="008B38F6">
        <w:t xml:space="preserve"> document.</w:t>
      </w:r>
      <w:r w:rsidR="00C12366">
        <w:t xml:space="preserve">  </w:t>
      </w:r>
      <w:r w:rsidR="00C12366" w:rsidRPr="008B38F6">
        <w:t xml:space="preserve">For each </w:t>
      </w:r>
      <w:r w:rsidR="00C66B10">
        <w:t>T</w:t>
      </w:r>
      <w:r w:rsidR="00C12366" w:rsidRPr="008B38F6">
        <w:t xml:space="preserve">ask, the Annex includes the following information: </w:t>
      </w:r>
    </w:p>
    <w:p w14:paraId="4A585CAC" w14:textId="78669871" w:rsidR="00A34EE9" w:rsidRDefault="006B24D1" w:rsidP="00B035BB">
      <w:pPr>
        <w:pStyle w:val="ListParagraph"/>
        <w:numPr>
          <w:ilvl w:val="0"/>
          <w:numId w:val="39"/>
        </w:numPr>
      </w:pPr>
      <w:r>
        <w:t>T</w:t>
      </w:r>
      <w:r w:rsidR="00293EE8">
        <w:t xml:space="preserve">ask </w:t>
      </w:r>
      <w:proofErr w:type="gramStart"/>
      <w:r w:rsidR="00C12366" w:rsidRPr="008B38F6">
        <w:t>description</w:t>
      </w:r>
      <w:r w:rsidR="00034A9F">
        <w:t>;</w:t>
      </w:r>
      <w:proofErr w:type="gramEnd"/>
      <w:r w:rsidR="00C12366" w:rsidRPr="008B38F6">
        <w:t xml:space="preserve"> </w:t>
      </w:r>
    </w:p>
    <w:p w14:paraId="1784641A" w14:textId="12F32FA6" w:rsidR="00A34EE9" w:rsidRDefault="006B24D1" w:rsidP="00B035BB">
      <w:pPr>
        <w:pStyle w:val="ListParagraph"/>
        <w:numPr>
          <w:ilvl w:val="0"/>
          <w:numId w:val="39"/>
        </w:numPr>
      </w:pPr>
      <w:r>
        <w:t>T</w:t>
      </w:r>
      <w:r w:rsidR="00C12366" w:rsidRPr="008B38F6">
        <w:t xml:space="preserve">ask leader or </w:t>
      </w:r>
      <w:r>
        <w:t>T</w:t>
      </w:r>
      <w:r w:rsidR="00C12366" w:rsidRPr="008B38F6">
        <w:t xml:space="preserve">ask </w:t>
      </w:r>
      <w:r>
        <w:t>F</w:t>
      </w:r>
      <w:r w:rsidR="00C12366" w:rsidRPr="008B38F6">
        <w:t xml:space="preserve">orce </w:t>
      </w:r>
      <w:proofErr w:type="gramStart"/>
      <w:r w:rsidR="00C12366" w:rsidRPr="008B38F6">
        <w:t>leader</w:t>
      </w:r>
      <w:r w:rsidR="00034A9F">
        <w:t>;</w:t>
      </w:r>
      <w:proofErr w:type="gramEnd"/>
      <w:r w:rsidR="00C12366" w:rsidRPr="008B38F6">
        <w:t xml:space="preserve"> </w:t>
      </w:r>
    </w:p>
    <w:p w14:paraId="2050BDB3" w14:textId="1677ABE1" w:rsidR="00034A9F" w:rsidRDefault="006B24D1" w:rsidP="00B035BB">
      <w:pPr>
        <w:pStyle w:val="ListParagraph"/>
        <w:numPr>
          <w:ilvl w:val="0"/>
          <w:numId w:val="39"/>
        </w:numPr>
      </w:pPr>
      <w:r>
        <w:t>S</w:t>
      </w:r>
      <w:r w:rsidR="00C12366" w:rsidRPr="00D46A05">
        <w:t xml:space="preserve">cheduled actions to be carried </w:t>
      </w:r>
      <w:proofErr w:type="gramStart"/>
      <w:r w:rsidR="00C12366" w:rsidRPr="00D46A05">
        <w:t>out</w:t>
      </w:r>
      <w:r w:rsidR="00034A9F">
        <w:t>;</w:t>
      </w:r>
      <w:proofErr w:type="gramEnd"/>
      <w:r w:rsidR="00C12366" w:rsidRPr="008B38F6">
        <w:t xml:space="preserve"> </w:t>
      </w:r>
    </w:p>
    <w:p w14:paraId="4E5FD948" w14:textId="08098F8A" w:rsidR="00034A9F" w:rsidRDefault="006B24D1" w:rsidP="00B035BB">
      <w:pPr>
        <w:pStyle w:val="ListParagraph"/>
        <w:numPr>
          <w:ilvl w:val="0"/>
          <w:numId w:val="39"/>
        </w:numPr>
      </w:pPr>
      <w:r>
        <w:t>R</w:t>
      </w:r>
      <w:r w:rsidR="00C12366" w:rsidRPr="008B38F6">
        <w:t>emarks</w:t>
      </w:r>
      <w:r w:rsidR="00034A9F">
        <w:t>;</w:t>
      </w:r>
      <w:r w:rsidR="00C12366" w:rsidRPr="008B38F6">
        <w:t xml:space="preserve"> and, </w:t>
      </w:r>
    </w:p>
    <w:p w14:paraId="12F83AD8" w14:textId="71D44878" w:rsidR="00034A9F" w:rsidRPr="00B035BB" w:rsidRDefault="00ED11F7" w:rsidP="00B035BB">
      <w:pPr>
        <w:pStyle w:val="ListParagraph"/>
        <w:numPr>
          <w:ilvl w:val="0"/>
          <w:numId w:val="39"/>
        </w:numPr>
        <w:spacing w:after="240"/>
      </w:pPr>
      <w:r>
        <w:t>W</w:t>
      </w:r>
      <w:r w:rsidR="00C12366" w:rsidRPr="008B38F6">
        <w:t>here appropriate, proposals for consideration and decision by the CWS.</w:t>
      </w:r>
      <w:r w:rsidR="00C12366" w:rsidRPr="00A34EE9">
        <w:rPr>
          <w:rFonts w:eastAsia="Batang"/>
          <w:lang w:eastAsia="ko-KR"/>
        </w:rPr>
        <w:t xml:space="preserve">  </w:t>
      </w:r>
    </w:p>
    <w:p w14:paraId="70A64087" w14:textId="2FBC4722" w:rsidR="003578D1" w:rsidRPr="00E71B94" w:rsidRDefault="00034A9F" w:rsidP="00E71B94">
      <w:pPr>
        <w:spacing w:after="240"/>
        <w:rPr>
          <w:color w:val="000000" w:themeColor="text1"/>
        </w:rPr>
      </w:pPr>
      <w:r w:rsidRPr="00E71B94">
        <w:rPr>
          <w:rFonts w:eastAsia="Batang"/>
          <w:color w:val="000000" w:themeColor="text1"/>
          <w:lang w:eastAsia="ko-KR"/>
        </w:rPr>
        <w:lastRenderedPageBreak/>
        <w:fldChar w:fldCharType="begin"/>
      </w:r>
      <w:r w:rsidRPr="00E71B94">
        <w:rPr>
          <w:rFonts w:eastAsia="Batang"/>
          <w:color w:val="000000" w:themeColor="text1"/>
          <w:lang w:eastAsia="ko-KR"/>
        </w:rPr>
        <w:instrText xml:space="preserve"> AUTONUM  </w:instrText>
      </w:r>
      <w:r w:rsidRPr="00E71B94">
        <w:rPr>
          <w:rFonts w:eastAsia="Batang"/>
          <w:color w:val="000000" w:themeColor="text1"/>
          <w:lang w:eastAsia="ko-KR"/>
        </w:rPr>
        <w:fldChar w:fldCharType="end"/>
      </w:r>
      <w:r w:rsidRPr="00E71B94">
        <w:rPr>
          <w:rFonts w:eastAsia="Batang"/>
          <w:color w:val="000000" w:themeColor="text1"/>
          <w:lang w:eastAsia="ko-KR"/>
        </w:rPr>
        <w:tab/>
      </w:r>
      <w:r w:rsidR="00BF7515" w:rsidRPr="00E71B94">
        <w:rPr>
          <w:rFonts w:eastAsia="Batang"/>
          <w:color w:val="000000" w:themeColor="text1"/>
          <w:lang w:eastAsia="ko-KR"/>
        </w:rPr>
        <w:t>The list of current active Tasks is published on</w:t>
      </w:r>
      <w:r w:rsidR="0007205F" w:rsidRPr="00E71B94">
        <w:rPr>
          <w:rFonts w:eastAsia="Batang"/>
          <w:color w:val="000000" w:themeColor="text1"/>
          <w:lang w:eastAsia="ko-KR"/>
        </w:rPr>
        <w:t xml:space="preserve"> the WIPO website at</w:t>
      </w:r>
      <w:r w:rsidR="006F6518" w:rsidRPr="00E71B94">
        <w:rPr>
          <w:rFonts w:eastAsia="Batang"/>
          <w:color w:val="000000" w:themeColor="text1"/>
          <w:lang w:eastAsia="ko-KR"/>
        </w:rPr>
        <w:t xml:space="preserve">:  </w:t>
      </w:r>
      <w:r w:rsidR="00BF7515" w:rsidRPr="00E71B94">
        <w:rPr>
          <w:rFonts w:eastAsia="Batang"/>
          <w:color w:val="000000" w:themeColor="text1"/>
          <w:lang w:eastAsia="ko-KR"/>
        </w:rPr>
        <w:t xml:space="preserve"> </w:t>
      </w:r>
      <w:hyperlink r:id="rId10" w:history="1">
        <w:r w:rsidR="009E0BF7" w:rsidRPr="00E71B94">
          <w:rPr>
            <w:rStyle w:val="Hyperlink"/>
            <w:rFonts w:eastAsia="Batang"/>
            <w:color w:val="000000" w:themeColor="text1"/>
            <w:lang w:eastAsia="ko-KR"/>
          </w:rPr>
          <w:t>https://www.wipo.int/cws/en/work-program.html</w:t>
        </w:r>
      </w:hyperlink>
      <w:r w:rsidR="00BF7515" w:rsidRPr="00E71B94">
        <w:rPr>
          <w:rFonts w:eastAsia="Batang"/>
          <w:color w:val="000000" w:themeColor="text1"/>
          <w:lang w:eastAsia="ko-KR"/>
        </w:rPr>
        <w:t>.</w:t>
      </w:r>
      <w:r w:rsidR="005864B6" w:rsidRPr="00E71B94">
        <w:rPr>
          <w:color w:val="000000" w:themeColor="text1"/>
        </w:rPr>
        <w:t xml:space="preserve">  CWS Task Forces and related documentation are available on </w:t>
      </w:r>
      <w:r w:rsidR="0007205F" w:rsidRPr="00E71B94">
        <w:rPr>
          <w:color w:val="000000" w:themeColor="text1"/>
        </w:rPr>
        <w:t xml:space="preserve">the </w:t>
      </w:r>
      <w:r w:rsidR="005864B6" w:rsidRPr="00E71B94">
        <w:rPr>
          <w:color w:val="000000" w:themeColor="text1"/>
        </w:rPr>
        <w:t xml:space="preserve">website at:   </w:t>
      </w:r>
      <w:hyperlink r:id="rId11" w:history="1">
        <w:r w:rsidR="009E0BF7" w:rsidRPr="00E71B94">
          <w:rPr>
            <w:rStyle w:val="Hyperlink"/>
            <w:color w:val="000000" w:themeColor="text1"/>
          </w:rPr>
          <w:t>https://www.wipo.int/cws/en/taskforce/index.html</w:t>
        </w:r>
      </w:hyperlink>
      <w:r w:rsidR="005864B6" w:rsidRPr="00E71B94">
        <w:rPr>
          <w:color w:val="000000" w:themeColor="text1"/>
        </w:rPr>
        <w:t xml:space="preserve">. </w:t>
      </w:r>
      <w:r w:rsidRPr="00E71B94">
        <w:rPr>
          <w:rFonts w:eastAsia="Batang"/>
          <w:color w:val="000000" w:themeColor="text1"/>
          <w:lang w:eastAsia="ko-KR"/>
        </w:rPr>
        <w:t xml:space="preserve"> </w:t>
      </w:r>
      <w:r w:rsidR="00C12366" w:rsidRPr="00E71B94">
        <w:rPr>
          <w:rFonts w:eastAsia="Batang"/>
          <w:color w:val="000000" w:themeColor="text1"/>
          <w:lang w:eastAsia="ko-KR"/>
        </w:rPr>
        <w:t>T</w:t>
      </w:r>
      <w:r w:rsidR="00C12366" w:rsidRPr="00E71B94">
        <w:rPr>
          <w:color w:val="000000" w:themeColor="text1"/>
        </w:rPr>
        <w:t xml:space="preserve">his information will be reviewed and updated after the </w:t>
      </w:r>
      <w:r w:rsidR="00200E98" w:rsidRPr="00E71B94">
        <w:rPr>
          <w:color w:val="000000" w:themeColor="text1"/>
        </w:rPr>
        <w:t xml:space="preserve">eleventh </w:t>
      </w:r>
      <w:r w:rsidR="00C12366" w:rsidRPr="00E71B94">
        <w:rPr>
          <w:color w:val="000000" w:themeColor="text1"/>
        </w:rPr>
        <w:t xml:space="preserve">session to reflect any agreements that the CWS reaches.  The International Bureau will publish an updated CWS Work Program Overview on the WIPO website </w:t>
      </w:r>
      <w:r w:rsidR="00293EE8" w:rsidRPr="00E71B94">
        <w:rPr>
          <w:color w:val="000000" w:themeColor="text1"/>
        </w:rPr>
        <w:t>under</w:t>
      </w:r>
      <w:r w:rsidR="00C12366" w:rsidRPr="00E71B94">
        <w:rPr>
          <w:color w:val="000000" w:themeColor="text1"/>
        </w:rPr>
        <w:t xml:space="preserve"> </w:t>
      </w:r>
      <w:hyperlink r:id="rId12" w:history="1">
        <w:r w:rsidR="00293EE8" w:rsidRPr="00E71B94">
          <w:rPr>
            <w:rStyle w:val="Hyperlink"/>
            <w:color w:val="000000" w:themeColor="text1"/>
          </w:rPr>
          <w:t>https://www.wipo.int/cws/</w:t>
        </w:r>
      </w:hyperlink>
      <w:r w:rsidR="00C12366" w:rsidRPr="00E71B94">
        <w:rPr>
          <w:color w:val="000000" w:themeColor="text1"/>
        </w:rPr>
        <w:t xml:space="preserve"> after the session.</w:t>
      </w:r>
    </w:p>
    <w:p w14:paraId="2CA9D808" w14:textId="68A8EC79" w:rsidR="00816986" w:rsidRDefault="00816986" w:rsidP="004B5C2B">
      <w:pPr>
        <w:pStyle w:val="Heading2"/>
        <w:numPr>
          <w:ilvl w:val="0"/>
          <w:numId w:val="0"/>
        </w:numPr>
      </w:pPr>
      <w:r>
        <w:t>Proposal</w:t>
      </w:r>
      <w:r w:rsidR="008318E0">
        <w:t>s</w:t>
      </w:r>
      <w:r>
        <w:t xml:space="preserve"> for </w:t>
      </w:r>
      <w:r w:rsidR="00C66B10">
        <w:t>updating work program</w:t>
      </w:r>
    </w:p>
    <w:p w14:paraId="38CBA7B4" w14:textId="3384C2A9" w:rsidR="008318E0" w:rsidRDefault="008318E0" w:rsidP="009010E5">
      <w:pPr>
        <w:pStyle w:val="Heading3"/>
        <w:rPr>
          <w:lang w:eastAsia="ko-KR"/>
        </w:rPr>
      </w:pPr>
      <w:r>
        <w:rPr>
          <w:lang w:eastAsia="ko-KR"/>
        </w:rPr>
        <w:t>Merg</w:t>
      </w:r>
      <w:r w:rsidR="00F70E86">
        <w:rPr>
          <w:lang w:eastAsia="ko-KR"/>
        </w:rPr>
        <w:t>ing</w:t>
      </w:r>
      <w:r>
        <w:rPr>
          <w:lang w:eastAsia="ko-KR"/>
        </w:rPr>
        <w:t xml:space="preserve"> of XML Standards related </w:t>
      </w:r>
      <w:proofErr w:type="gramStart"/>
      <w:r>
        <w:rPr>
          <w:lang w:eastAsia="ko-KR"/>
        </w:rPr>
        <w:t>Tasks</w:t>
      </w:r>
      <w:proofErr w:type="gramEnd"/>
    </w:p>
    <w:p w14:paraId="4720B37D" w14:textId="70025271" w:rsidR="008318E0" w:rsidRDefault="006B00C1"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8318E0">
        <w:rPr>
          <w:rFonts w:eastAsia="Batang"/>
          <w:lang w:eastAsia="ko-KR"/>
        </w:rPr>
        <w:t xml:space="preserve">At </w:t>
      </w:r>
      <w:r w:rsidR="009010E5">
        <w:rPr>
          <w:rFonts w:eastAsia="Batang"/>
          <w:lang w:eastAsia="ko-KR"/>
        </w:rPr>
        <w:t>the</w:t>
      </w:r>
      <w:r w:rsidR="008318E0">
        <w:rPr>
          <w:rFonts w:eastAsia="Batang"/>
          <w:lang w:eastAsia="ko-KR"/>
        </w:rPr>
        <w:t xml:space="preserve"> tenth session</w:t>
      </w:r>
      <w:r w:rsidR="009010E5">
        <w:rPr>
          <w:rFonts w:eastAsia="Batang"/>
          <w:lang w:eastAsia="ko-KR"/>
        </w:rPr>
        <w:t xml:space="preserve"> of</w:t>
      </w:r>
      <w:r w:rsidR="008318E0">
        <w:rPr>
          <w:rFonts w:eastAsia="Batang"/>
          <w:lang w:eastAsia="ko-KR"/>
        </w:rPr>
        <w:t xml:space="preserve"> the CWS</w:t>
      </w:r>
      <w:r w:rsidR="009010E5">
        <w:rPr>
          <w:rFonts w:eastAsia="Batang"/>
          <w:lang w:eastAsia="ko-KR"/>
        </w:rPr>
        <w:t>,</w:t>
      </w:r>
      <w:r w:rsidR="008318E0">
        <w:rPr>
          <w:rFonts w:eastAsia="Batang"/>
          <w:lang w:eastAsia="ko-KR"/>
        </w:rPr>
        <w:t xml:space="preserve"> </w:t>
      </w:r>
      <w:r w:rsidR="009010E5" w:rsidRPr="009010E5">
        <w:rPr>
          <w:rFonts w:eastAsia="Batang"/>
          <w:lang w:eastAsia="ko-KR"/>
        </w:rPr>
        <w:t>one delegation asked whether Tasks No. 38 and No. 39 could be closed</w:t>
      </w:r>
      <w:r w:rsidR="00034A9F">
        <w:rPr>
          <w:rFonts w:eastAsia="Batang"/>
          <w:lang w:eastAsia="ko-KR"/>
        </w:rPr>
        <w:t>,</w:t>
      </w:r>
      <w:r w:rsidR="009010E5" w:rsidRPr="009010E5">
        <w:rPr>
          <w:rFonts w:eastAsia="Batang"/>
          <w:lang w:eastAsia="ko-KR"/>
        </w:rPr>
        <w:t xml:space="preserve"> since Task No. 33 already covers revisions of existing Standards</w:t>
      </w:r>
      <w:r w:rsidR="00034A9F">
        <w:rPr>
          <w:rFonts w:eastAsia="Batang"/>
          <w:lang w:eastAsia="ko-KR"/>
        </w:rPr>
        <w:t xml:space="preserve">, which would include </w:t>
      </w:r>
      <w:r w:rsidR="0007205F">
        <w:rPr>
          <w:rFonts w:eastAsia="Batang"/>
          <w:lang w:eastAsia="ko-KR"/>
        </w:rPr>
        <w:t xml:space="preserve">any </w:t>
      </w:r>
      <w:r w:rsidR="00C66B10">
        <w:rPr>
          <w:rFonts w:eastAsia="Batang"/>
          <w:lang w:eastAsia="ko-KR"/>
        </w:rPr>
        <w:t xml:space="preserve">necessary revisions to </w:t>
      </w:r>
      <w:r w:rsidR="00034A9F">
        <w:rPr>
          <w:rFonts w:eastAsia="Batang"/>
          <w:lang w:eastAsia="ko-KR"/>
        </w:rPr>
        <w:t>WIPO ST.36 and WIPO ST.66</w:t>
      </w:r>
      <w:r w:rsidR="009010E5" w:rsidRPr="009010E5">
        <w:rPr>
          <w:rFonts w:eastAsia="Batang"/>
          <w:lang w:eastAsia="ko-KR"/>
        </w:rPr>
        <w:t xml:space="preserve">.  The Secretariat noted the </w:t>
      </w:r>
      <w:r w:rsidR="00034A9F">
        <w:rPr>
          <w:rFonts w:eastAsia="Batang"/>
          <w:lang w:eastAsia="ko-KR"/>
        </w:rPr>
        <w:t>proposal</w:t>
      </w:r>
      <w:r w:rsidR="00034A9F" w:rsidRPr="009010E5">
        <w:rPr>
          <w:rFonts w:eastAsia="Batang"/>
          <w:lang w:eastAsia="ko-KR"/>
        </w:rPr>
        <w:t xml:space="preserve"> </w:t>
      </w:r>
      <w:r w:rsidR="009010E5" w:rsidRPr="009010E5">
        <w:rPr>
          <w:rFonts w:eastAsia="Batang"/>
          <w:lang w:eastAsia="ko-KR"/>
        </w:rPr>
        <w:t xml:space="preserve">and suggested that each Task Force review the list of </w:t>
      </w:r>
      <w:r w:rsidR="00034A9F">
        <w:rPr>
          <w:rFonts w:eastAsia="Batang"/>
          <w:lang w:eastAsia="ko-KR"/>
        </w:rPr>
        <w:t>T</w:t>
      </w:r>
      <w:r w:rsidR="009010E5" w:rsidRPr="009010E5">
        <w:rPr>
          <w:rFonts w:eastAsia="Batang"/>
          <w:lang w:eastAsia="ko-KR"/>
        </w:rPr>
        <w:t xml:space="preserve">asks and recommend </w:t>
      </w:r>
      <w:r w:rsidR="00034A9F">
        <w:rPr>
          <w:rFonts w:eastAsia="Batang"/>
          <w:lang w:eastAsia="ko-KR"/>
        </w:rPr>
        <w:t xml:space="preserve">any </w:t>
      </w:r>
      <w:r w:rsidR="009010E5" w:rsidRPr="009010E5">
        <w:rPr>
          <w:rFonts w:eastAsia="Batang"/>
          <w:lang w:eastAsia="ko-KR"/>
        </w:rPr>
        <w:t xml:space="preserve">necessary changes to the </w:t>
      </w:r>
      <w:r w:rsidR="0007205F">
        <w:rPr>
          <w:rFonts w:eastAsia="Batang"/>
          <w:lang w:eastAsia="ko-KR"/>
        </w:rPr>
        <w:t>W</w:t>
      </w:r>
      <w:r w:rsidR="009010E5" w:rsidRPr="009010E5">
        <w:rPr>
          <w:rFonts w:eastAsia="Batang"/>
          <w:lang w:eastAsia="ko-KR"/>
        </w:rPr>
        <w:t xml:space="preserve">ork </w:t>
      </w:r>
      <w:r w:rsidR="0007205F">
        <w:rPr>
          <w:rFonts w:eastAsia="Batang"/>
          <w:lang w:eastAsia="ko-KR"/>
        </w:rPr>
        <w:t>P</w:t>
      </w:r>
      <w:r w:rsidR="009010E5" w:rsidRPr="009010E5">
        <w:rPr>
          <w:rFonts w:eastAsia="Batang"/>
          <w:lang w:eastAsia="ko-KR"/>
        </w:rPr>
        <w:t>rogram at the next session of the CWS.</w:t>
      </w:r>
    </w:p>
    <w:p w14:paraId="68CBCC22" w14:textId="2421A1E1" w:rsidR="006B00C1" w:rsidRPr="009010E5" w:rsidRDefault="006B00C1" w:rsidP="006B00C1">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9010E5">
        <w:rPr>
          <w:rFonts w:eastAsia="Batang"/>
          <w:lang w:eastAsia="ko-KR"/>
        </w:rPr>
        <w:t>T</w:t>
      </w:r>
      <w:r w:rsidR="009010E5" w:rsidRPr="009010E5">
        <w:rPr>
          <w:rFonts w:eastAsia="Batang"/>
          <w:lang w:eastAsia="ko-KR"/>
        </w:rPr>
        <w:t xml:space="preserve">he International Bureau, as the </w:t>
      </w:r>
      <w:r w:rsidR="006F6518">
        <w:rPr>
          <w:rFonts w:eastAsia="Batang"/>
          <w:lang w:eastAsia="ko-KR"/>
        </w:rPr>
        <w:t>L</w:t>
      </w:r>
      <w:r w:rsidR="009010E5" w:rsidRPr="009010E5">
        <w:rPr>
          <w:rFonts w:eastAsia="Batang"/>
          <w:lang w:eastAsia="ko-KR"/>
        </w:rPr>
        <w:t xml:space="preserve">eader of XML4IP, ST.36, ST.66 and ST.86 Task Forces, </w:t>
      </w:r>
      <w:r w:rsidR="009010E5">
        <w:rPr>
          <w:rFonts w:eastAsia="Batang"/>
          <w:lang w:eastAsia="ko-KR"/>
        </w:rPr>
        <w:t xml:space="preserve">consulted the members of the four XML Task Forces about how to </w:t>
      </w:r>
      <w:r w:rsidRPr="009010E5">
        <w:rPr>
          <w:rFonts w:eastAsia="Batang"/>
          <w:lang w:eastAsia="ko-KR"/>
        </w:rPr>
        <w:t>consolidat</w:t>
      </w:r>
      <w:r>
        <w:rPr>
          <w:rFonts w:eastAsia="Batang"/>
          <w:lang w:eastAsia="ko-KR"/>
        </w:rPr>
        <w:t>e</w:t>
      </w:r>
      <w:r w:rsidRPr="009010E5">
        <w:rPr>
          <w:rFonts w:eastAsia="Batang"/>
          <w:lang w:eastAsia="ko-KR"/>
        </w:rPr>
        <w:t xml:space="preserve"> XML related standardization activities</w:t>
      </w:r>
      <w:r>
        <w:rPr>
          <w:rFonts w:eastAsia="Batang"/>
          <w:lang w:eastAsia="ko-KR"/>
        </w:rPr>
        <w:t xml:space="preserve"> and </w:t>
      </w:r>
      <w:r w:rsidR="009010E5">
        <w:rPr>
          <w:rFonts w:eastAsia="Batang"/>
          <w:lang w:eastAsia="ko-KR"/>
        </w:rPr>
        <w:t xml:space="preserve">streamline efforts to manage the update of WIPO XML Standards ST.36, ST.66, ST.86 and ST.96.  </w:t>
      </w:r>
      <w:r>
        <w:rPr>
          <w:rFonts w:eastAsia="Batang"/>
          <w:lang w:eastAsia="ko-KR"/>
        </w:rPr>
        <w:t xml:space="preserve">It should be noted that </w:t>
      </w:r>
      <w:r w:rsidR="0006757B">
        <w:rPr>
          <w:rFonts w:eastAsia="Batang"/>
          <w:lang w:eastAsia="ko-KR"/>
        </w:rPr>
        <w:t xml:space="preserve">while </w:t>
      </w:r>
      <w:r w:rsidRPr="009010E5">
        <w:rPr>
          <w:rFonts w:eastAsia="Batang"/>
          <w:lang w:eastAsia="ko-KR"/>
        </w:rPr>
        <w:t xml:space="preserve">there were no </w:t>
      </w:r>
      <w:r w:rsidR="0006757B">
        <w:rPr>
          <w:rFonts w:eastAsia="Batang"/>
          <w:lang w:eastAsia="ko-KR"/>
        </w:rPr>
        <w:t>proposed revisions for</w:t>
      </w:r>
      <w:r w:rsidRPr="009010E5">
        <w:rPr>
          <w:rFonts w:eastAsia="Batang"/>
          <w:lang w:eastAsia="ko-KR"/>
        </w:rPr>
        <w:t xml:space="preserve"> WIPO Standards ST.36, ST.66 and ST.86 for </w:t>
      </w:r>
      <w:r w:rsidR="0006757B">
        <w:rPr>
          <w:rFonts w:eastAsia="Batang"/>
          <w:lang w:eastAsia="ko-KR"/>
        </w:rPr>
        <w:t xml:space="preserve">a </w:t>
      </w:r>
      <w:r w:rsidRPr="009010E5">
        <w:rPr>
          <w:rFonts w:eastAsia="Batang"/>
          <w:lang w:eastAsia="ko-KR"/>
        </w:rPr>
        <w:t xml:space="preserve">long time, those Standards are still </w:t>
      </w:r>
      <w:r w:rsidR="00034A9F">
        <w:rPr>
          <w:rFonts w:eastAsia="Batang"/>
          <w:lang w:eastAsia="ko-KR"/>
        </w:rPr>
        <w:t>in use</w:t>
      </w:r>
      <w:r w:rsidR="00034A9F" w:rsidRPr="009010E5">
        <w:rPr>
          <w:rFonts w:eastAsia="Batang"/>
          <w:lang w:eastAsia="ko-KR"/>
        </w:rPr>
        <w:t xml:space="preserve"> </w:t>
      </w:r>
      <w:r w:rsidR="00034A9F">
        <w:rPr>
          <w:rFonts w:eastAsia="Batang"/>
          <w:lang w:eastAsia="ko-KR"/>
        </w:rPr>
        <w:t>at many</w:t>
      </w:r>
      <w:r w:rsidR="00034A9F" w:rsidRPr="009010E5">
        <w:rPr>
          <w:rFonts w:eastAsia="Batang"/>
          <w:lang w:eastAsia="ko-KR"/>
        </w:rPr>
        <w:t xml:space="preserve"> </w:t>
      </w:r>
      <w:r w:rsidRPr="009010E5">
        <w:rPr>
          <w:rFonts w:eastAsia="Batang"/>
          <w:lang w:eastAsia="ko-KR"/>
        </w:rPr>
        <w:t xml:space="preserve">IP offices. </w:t>
      </w:r>
    </w:p>
    <w:p w14:paraId="3A6E93E5" w14:textId="4E5E24F2" w:rsidR="006B00C1" w:rsidRDefault="006B00C1" w:rsidP="009010E5">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9010E5">
        <w:rPr>
          <w:rFonts w:eastAsia="Batang"/>
          <w:lang w:eastAsia="ko-KR"/>
        </w:rPr>
        <w:t>As the result of the consultation, the International Bureau proposes</w:t>
      </w:r>
      <w:r>
        <w:rPr>
          <w:rFonts w:eastAsia="Batang"/>
          <w:lang w:eastAsia="ko-KR"/>
        </w:rPr>
        <w:t>:</w:t>
      </w:r>
      <w:r w:rsidR="009010E5">
        <w:rPr>
          <w:rFonts w:eastAsia="Batang"/>
          <w:lang w:eastAsia="ko-KR"/>
        </w:rPr>
        <w:t xml:space="preserve"> </w:t>
      </w:r>
    </w:p>
    <w:p w14:paraId="6D2C72C1" w14:textId="0E214507" w:rsidR="0007205F" w:rsidRDefault="00C43423" w:rsidP="0007205F">
      <w:pPr>
        <w:pStyle w:val="ListParagraph"/>
        <w:numPr>
          <w:ilvl w:val="0"/>
          <w:numId w:val="36"/>
        </w:numPr>
        <w:spacing w:after="220"/>
        <w:rPr>
          <w:rFonts w:eastAsia="Batang"/>
          <w:lang w:eastAsia="ko-KR"/>
        </w:rPr>
      </w:pPr>
      <w:r>
        <w:rPr>
          <w:rFonts w:eastAsia="Batang"/>
          <w:lang w:eastAsia="ko-KR"/>
        </w:rPr>
        <w:t>T</w:t>
      </w:r>
      <w:r w:rsidR="009010E5" w:rsidRPr="006B00C1">
        <w:rPr>
          <w:rFonts w:eastAsia="Batang"/>
          <w:lang w:eastAsia="ko-KR"/>
        </w:rPr>
        <w:t>o</w:t>
      </w:r>
      <w:r w:rsidR="006B00C1" w:rsidRPr="006B00C1">
        <w:rPr>
          <w:rFonts w:eastAsia="Batang"/>
          <w:lang w:eastAsia="ko-KR"/>
        </w:rPr>
        <w:t xml:space="preserve"> </w:t>
      </w:r>
      <w:r w:rsidR="009010E5" w:rsidRPr="006B00C1">
        <w:rPr>
          <w:rFonts w:eastAsia="Batang"/>
          <w:lang w:eastAsia="ko-KR"/>
        </w:rPr>
        <w:t xml:space="preserve">transfer the responsibility for the maintenance of WIPO Standards ST.36, ST.66 and ST.86 to the XML4IP Task </w:t>
      </w:r>
      <w:proofErr w:type="gramStart"/>
      <w:r w:rsidR="009010E5" w:rsidRPr="006B00C1">
        <w:rPr>
          <w:rFonts w:eastAsia="Batang"/>
          <w:lang w:eastAsia="ko-KR"/>
        </w:rPr>
        <w:t>Force</w:t>
      </w:r>
      <w:r>
        <w:rPr>
          <w:rFonts w:eastAsia="Batang"/>
          <w:lang w:eastAsia="ko-KR"/>
        </w:rPr>
        <w:t>;</w:t>
      </w:r>
      <w:proofErr w:type="gramEnd"/>
    </w:p>
    <w:p w14:paraId="2D61E450" w14:textId="77777777" w:rsidR="0007205F" w:rsidRPr="0007205F" w:rsidRDefault="0007205F" w:rsidP="0007205F">
      <w:pPr>
        <w:pStyle w:val="ListParagraph"/>
        <w:spacing w:after="220"/>
        <w:rPr>
          <w:rFonts w:eastAsia="Batang"/>
          <w:lang w:eastAsia="ko-KR"/>
        </w:rPr>
      </w:pPr>
    </w:p>
    <w:p w14:paraId="1C661D79" w14:textId="29DA1BCA" w:rsidR="0007205F" w:rsidRPr="0007205F" w:rsidRDefault="009C529E" w:rsidP="0007205F">
      <w:pPr>
        <w:pStyle w:val="ListParagraph"/>
        <w:numPr>
          <w:ilvl w:val="0"/>
          <w:numId w:val="36"/>
        </w:numPr>
        <w:spacing w:after="220"/>
        <w:rPr>
          <w:rFonts w:eastAsia="Batang"/>
          <w:lang w:eastAsia="ko-KR"/>
        </w:rPr>
      </w:pPr>
      <w:proofErr w:type="gramStart"/>
      <w:r>
        <w:rPr>
          <w:rFonts w:eastAsia="Batang"/>
          <w:lang w:eastAsia="ko-KR"/>
        </w:rPr>
        <w:t>I</w:t>
      </w:r>
      <w:r w:rsidR="009010E5" w:rsidRPr="006B00C1">
        <w:rPr>
          <w:rFonts w:eastAsia="Batang"/>
          <w:lang w:eastAsia="ko-KR"/>
        </w:rPr>
        <w:t>n order to</w:t>
      </w:r>
      <w:proofErr w:type="gramEnd"/>
      <w:r w:rsidR="009010E5" w:rsidRPr="006B00C1">
        <w:rPr>
          <w:rFonts w:eastAsia="Batang"/>
          <w:lang w:eastAsia="ko-KR"/>
        </w:rPr>
        <w:t xml:space="preserve"> reflect this new responsibility</w:t>
      </w:r>
      <w:r w:rsidR="006B00C1" w:rsidRPr="006B00C1">
        <w:rPr>
          <w:rFonts w:eastAsia="Batang"/>
          <w:lang w:eastAsia="ko-KR"/>
        </w:rPr>
        <w:t xml:space="preserve"> for the XML4IP Task Force</w:t>
      </w:r>
      <w:r w:rsidR="009010E5" w:rsidRPr="006B00C1">
        <w:rPr>
          <w:rFonts w:eastAsia="Batang"/>
          <w:lang w:eastAsia="ko-KR"/>
        </w:rPr>
        <w:t>, to amend the description of Task No. 41:</w:t>
      </w:r>
      <w:r w:rsidR="006B00C1" w:rsidRPr="006B00C1">
        <w:rPr>
          <w:rFonts w:eastAsia="Batang"/>
          <w:lang w:eastAsia="ko-KR"/>
        </w:rPr>
        <w:t xml:space="preserve"> </w:t>
      </w:r>
      <w:r w:rsidR="009010E5" w:rsidRPr="006B00C1">
        <w:rPr>
          <w:rFonts w:eastAsia="Batang"/>
          <w:lang w:eastAsia="ko-KR"/>
        </w:rPr>
        <w:t xml:space="preserve">“Ensure the necessary revisions and updates of WIPO Standards </w:t>
      </w:r>
      <w:r w:rsidR="009010E5" w:rsidRPr="006B00C1">
        <w:rPr>
          <w:rFonts w:eastAsia="Batang"/>
          <w:u w:val="single"/>
          <w:lang w:eastAsia="ko-KR"/>
        </w:rPr>
        <w:t xml:space="preserve">ST.36, ST.66, ST.86 and </w:t>
      </w:r>
      <w:r w:rsidR="009010E5" w:rsidRPr="006B00C1">
        <w:rPr>
          <w:rFonts w:eastAsia="Batang"/>
          <w:lang w:eastAsia="ko-KR"/>
        </w:rPr>
        <w:t>ST.96</w:t>
      </w:r>
      <w:r w:rsidR="00E171CC" w:rsidRPr="00E171CC">
        <w:rPr>
          <w:rFonts w:eastAsia="Batang"/>
          <w:u w:val="single"/>
          <w:lang w:eastAsia="ko-KR"/>
        </w:rPr>
        <w:t xml:space="preserve">; and support </w:t>
      </w:r>
      <w:r w:rsidR="00C43423">
        <w:rPr>
          <w:rFonts w:eastAsia="Batang"/>
          <w:u w:val="single"/>
          <w:lang w:eastAsia="ko-KR"/>
        </w:rPr>
        <w:t xml:space="preserve">the </w:t>
      </w:r>
      <w:r w:rsidR="00E171CC" w:rsidRPr="00E171CC">
        <w:rPr>
          <w:rFonts w:eastAsia="Batang"/>
          <w:u w:val="single"/>
          <w:lang w:eastAsia="ko-KR"/>
        </w:rPr>
        <w:t>implement</w:t>
      </w:r>
      <w:r w:rsidR="00C43423">
        <w:rPr>
          <w:rFonts w:eastAsia="Batang"/>
          <w:u w:val="single"/>
          <w:lang w:eastAsia="ko-KR"/>
        </w:rPr>
        <w:t xml:space="preserve">ation of </w:t>
      </w:r>
      <w:r w:rsidR="00E171CC" w:rsidRPr="00E171CC">
        <w:rPr>
          <w:rFonts w:eastAsia="Batang"/>
          <w:u w:val="single"/>
          <w:lang w:eastAsia="ko-KR"/>
        </w:rPr>
        <w:t>those Standards</w:t>
      </w:r>
      <w:r w:rsidR="009010E5" w:rsidRPr="006B00C1">
        <w:rPr>
          <w:rFonts w:eastAsia="Batang"/>
          <w:lang w:eastAsia="ko-KR"/>
        </w:rPr>
        <w:t>” (</w:t>
      </w:r>
      <w:r w:rsidR="0085062D">
        <w:rPr>
          <w:rFonts w:eastAsia="Batang"/>
          <w:lang w:eastAsia="ko-KR"/>
        </w:rPr>
        <w:t>where</w:t>
      </w:r>
      <w:r w:rsidR="009010E5" w:rsidRPr="006B00C1">
        <w:rPr>
          <w:rFonts w:eastAsia="Batang"/>
          <w:lang w:eastAsia="ko-KR"/>
        </w:rPr>
        <w:t xml:space="preserve"> the newly added text is underlined)</w:t>
      </w:r>
      <w:r w:rsidR="006B00C1" w:rsidRPr="006B00C1">
        <w:rPr>
          <w:rFonts w:eastAsia="Batang"/>
          <w:lang w:eastAsia="ko-KR"/>
        </w:rPr>
        <w:t>; and</w:t>
      </w:r>
    </w:p>
    <w:p w14:paraId="00FEBF5D" w14:textId="77777777" w:rsidR="0007205F" w:rsidRPr="0007205F" w:rsidRDefault="0007205F" w:rsidP="0007205F">
      <w:pPr>
        <w:ind w:left="360"/>
        <w:rPr>
          <w:rFonts w:eastAsia="Batang"/>
          <w:lang w:eastAsia="ko-KR"/>
        </w:rPr>
      </w:pPr>
    </w:p>
    <w:p w14:paraId="091D1A38" w14:textId="394BECB6" w:rsidR="009010E5" w:rsidRPr="006B00C1" w:rsidRDefault="009C529E" w:rsidP="006B00C1">
      <w:pPr>
        <w:pStyle w:val="ListParagraph"/>
        <w:numPr>
          <w:ilvl w:val="0"/>
          <w:numId w:val="36"/>
        </w:numPr>
        <w:spacing w:after="220"/>
        <w:rPr>
          <w:rFonts w:eastAsia="Batang"/>
          <w:lang w:eastAsia="ko-KR"/>
        </w:rPr>
      </w:pPr>
      <w:r>
        <w:rPr>
          <w:rFonts w:eastAsia="Batang"/>
          <w:lang w:eastAsia="ko-KR"/>
        </w:rPr>
        <w:t>T</w:t>
      </w:r>
      <w:r w:rsidR="009010E5" w:rsidRPr="006B00C1">
        <w:rPr>
          <w:rFonts w:eastAsia="Batang"/>
          <w:lang w:eastAsia="ko-KR"/>
        </w:rPr>
        <w:t xml:space="preserve">o discontinue the CWS Tasks No. 38 (ST.36), No.39 (ST.66) and No.42 (ST.86) and </w:t>
      </w:r>
      <w:r w:rsidR="0085062D">
        <w:rPr>
          <w:rFonts w:eastAsia="Batang"/>
          <w:lang w:eastAsia="ko-KR"/>
        </w:rPr>
        <w:t xml:space="preserve">the </w:t>
      </w:r>
      <w:r w:rsidR="009010E5" w:rsidRPr="006B00C1">
        <w:rPr>
          <w:rFonts w:eastAsia="Batang"/>
          <w:lang w:eastAsia="ko-KR"/>
        </w:rPr>
        <w:t>corresponding three Task Forces</w:t>
      </w:r>
      <w:r w:rsidR="0007205F">
        <w:rPr>
          <w:rFonts w:eastAsia="Batang"/>
          <w:lang w:eastAsia="ko-KR"/>
        </w:rPr>
        <w:t>:</w:t>
      </w:r>
      <w:r w:rsidR="009010E5" w:rsidRPr="006B00C1">
        <w:rPr>
          <w:rFonts w:eastAsia="Batang"/>
          <w:lang w:eastAsia="ko-KR"/>
        </w:rPr>
        <w:t xml:space="preserve"> ST.36, ST.66 and ST.86 Task Forces.</w:t>
      </w:r>
    </w:p>
    <w:p w14:paraId="0A5D24EE" w14:textId="7B54C8B6" w:rsidR="009010E5" w:rsidRDefault="006B00C1" w:rsidP="006B00C1">
      <w:pPr>
        <w:pStyle w:val="Heading3"/>
        <w:rPr>
          <w:lang w:eastAsia="ko-KR"/>
        </w:rPr>
      </w:pPr>
      <w:r>
        <w:rPr>
          <w:lang w:eastAsia="ko-KR"/>
        </w:rPr>
        <w:t>New Task on the Implementation of WIPO Standard ST.37</w:t>
      </w:r>
    </w:p>
    <w:p w14:paraId="755086AF" w14:textId="42597A59" w:rsidR="00634F83" w:rsidRDefault="00816986"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634F83">
        <w:rPr>
          <w:rFonts w:eastAsia="Batang"/>
          <w:lang w:eastAsia="ko-KR"/>
        </w:rPr>
        <w:t xml:space="preserve">Since the adoption of WIPO Standard ST.37 </w:t>
      </w:r>
      <w:r w:rsidR="002D59B0">
        <w:rPr>
          <w:rFonts w:eastAsia="Batang"/>
          <w:lang w:eastAsia="ko-KR"/>
        </w:rPr>
        <w:t>at the fifth session of the CWS</w:t>
      </w:r>
      <w:r w:rsidR="00634F83">
        <w:rPr>
          <w:rFonts w:eastAsia="Batang"/>
          <w:lang w:eastAsia="ko-KR"/>
        </w:rPr>
        <w:t>, 30 Offices have provided their patent authority file</w:t>
      </w:r>
      <w:r w:rsidR="0007205F">
        <w:rPr>
          <w:rFonts w:eastAsia="Batang"/>
          <w:lang w:eastAsia="ko-KR"/>
        </w:rPr>
        <w:t xml:space="preserve">s to the International </w:t>
      </w:r>
      <w:proofErr w:type="gramStart"/>
      <w:r w:rsidR="0007205F">
        <w:rPr>
          <w:rFonts w:eastAsia="Batang"/>
          <w:lang w:eastAsia="ko-KR"/>
        </w:rPr>
        <w:t>Bureau</w:t>
      </w:r>
      <w:proofErr w:type="gramEnd"/>
      <w:r w:rsidR="00634F83">
        <w:rPr>
          <w:rFonts w:eastAsia="Batang"/>
          <w:lang w:eastAsia="ko-KR"/>
        </w:rPr>
        <w:t xml:space="preserve"> </w:t>
      </w:r>
      <w:r w:rsidR="0007205F">
        <w:rPr>
          <w:rFonts w:eastAsia="Batang"/>
          <w:lang w:eastAsia="ko-KR"/>
        </w:rPr>
        <w:t>and these are</w:t>
      </w:r>
      <w:r w:rsidR="00634F83">
        <w:rPr>
          <w:rFonts w:eastAsia="Batang"/>
          <w:lang w:eastAsia="ko-KR"/>
        </w:rPr>
        <w:t xml:space="preserve"> </w:t>
      </w:r>
      <w:r w:rsidR="0085062D">
        <w:rPr>
          <w:rFonts w:eastAsia="Batang"/>
          <w:lang w:eastAsia="ko-KR"/>
        </w:rPr>
        <w:t xml:space="preserve">published </w:t>
      </w:r>
      <w:r w:rsidR="00634F83">
        <w:rPr>
          <w:rFonts w:eastAsia="Batang"/>
          <w:lang w:eastAsia="ko-KR"/>
        </w:rPr>
        <w:t xml:space="preserve">on </w:t>
      </w:r>
      <w:r w:rsidR="0018609D">
        <w:rPr>
          <w:rFonts w:eastAsia="Batang"/>
          <w:lang w:eastAsia="ko-KR"/>
        </w:rPr>
        <w:t xml:space="preserve">the </w:t>
      </w:r>
      <w:r w:rsidR="00634F83">
        <w:rPr>
          <w:rFonts w:eastAsia="Batang"/>
          <w:lang w:eastAsia="ko-KR"/>
        </w:rPr>
        <w:t>WIPO Authority File portal</w:t>
      </w:r>
      <w:r w:rsidR="0018609D">
        <w:rPr>
          <w:rFonts w:eastAsia="Batang"/>
          <w:lang w:eastAsia="ko-KR"/>
        </w:rPr>
        <w:t>.</w:t>
      </w:r>
      <w:r w:rsidR="00634F83">
        <w:rPr>
          <w:rFonts w:eastAsia="Batang"/>
          <w:lang w:eastAsia="ko-KR"/>
        </w:rPr>
        <w:t xml:space="preserve"> </w:t>
      </w:r>
      <w:r w:rsidR="0018609D">
        <w:rPr>
          <w:rFonts w:eastAsia="Batang"/>
          <w:lang w:eastAsia="ko-KR"/>
        </w:rPr>
        <w:t xml:space="preserve"> The number of participating organizations should be considered </w:t>
      </w:r>
      <w:proofErr w:type="gramStart"/>
      <w:r w:rsidR="0018609D">
        <w:rPr>
          <w:rFonts w:eastAsia="Batang"/>
          <w:lang w:eastAsia="ko-KR"/>
        </w:rPr>
        <w:t>in light of</w:t>
      </w:r>
      <w:proofErr w:type="gramEnd"/>
      <w:r w:rsidR="0018609D">
        <w:rPr>
          <w:rFonts w:eastAsia="Batang"/>
          <w:lang w:eastAsia="ko-KR"/>
        </w:rPr>
        <w:t xml:space="preserve"> the PATENTSCOPE database, which</w:t>
      </w:r>
      <w:r w:rsidR="0085062D">
        <w:rPr>
          <w:rFonts w:eastAsia="Batang"/>
          <w:lang w:eastAsia="ko-KR"/>
        </w:rPr>
        <w:t xml:space="preserve"> </w:t>
      </w:r>
      <w:r w:rsidR="00634F83">
        <w:rPr>
          <w:rFonts w:eastAsia="Batang"/>
          <w:lang w:eastAsia="ko-KR"/>
        </w:rPr>
        <w:t>contains patent document</w:t>
      </w:r>
      <w:r w:rsidR="004D337D">
        <w:rPr>
          <w:rFonts w:eastAsia="Batang"/>
          <w:lang w:eastAsia="ko-KR"/>
        </w:rPr>
        <w:t xml:space="preserve"> collections from </w:t>
      </w:r>
      <w:r w:rsidR="00634F83">
        <w:rPr>
          <w:rFonts w:eastAsia="Batang"/>
          <w:lang w:eastAsia="ko-KR"/>
        </w:rPr>
        <w:t>75 Offices</w:t>
      </w:r>
      <w:r w:rsidR="004D337D">
        <w:rPr>
          <w:rFonts w:eastAsia="Batang"/>
          <w:lang w:eastAsia="ko-KR"/>
        </w:rPr>
        <w:t xml:space="preserve">. </w:t>
      </w:r>
    </w:p>
    <w:p w14:paraId="079646B9" w14:textId="04B61BE7" w:rsidR="00816986"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proofErr w:type="gramStart"/>
      <w:r w:rsidR="00634F83" w:rsidRPr="00634F83">
        <w:rPr>
          <w:rFonts w:eastAsia="Batang"/>
          <w:lang w:eastAsia="ko-KR"/>
        </w:rPr>
        <w:t>Taking into account</w:t>
      </w:r>
      <w:proofErr w:type="gramEnd"/>
      <w:r w:rsidR="00634F83" w:rsidRPr="00634F83">
        <w:rPr>
          <w:rFonts w:eastAsia="Batang"/>
          <w:lang w:eastAsia="ko-KR"/>
        </w:rPr>
        <w:t xml:space="preserve"> the agreements made </w:t>
      </w:r>
      <w:r w:rsidR="0085062D">
        <w:rPr>
          <w:rFonts w:eastAsia="Batang"/>
          <w:lang w:eastAsia="ko-KR"/>
        </w:rPr>
        <w:t>by</w:t>
      </w:r>
      <w:r w:rsidR="0085062D" w:rsidRPr="00634F83">
        <w:rPr>
          <w:rFonts w:eastAsia="Batang"/>
          <w:lang w:eastAsia="ko-KR"/>
        </w:rPr>
        <w:t xml:space="preserve"> </w:t>
      </w:r>
      <w:r w:rsidR="00634F83" w:rsidRPr="00634F83">
        <w:rPr>
          <w:rFonts w:eastAsia="Batang"/>
          <w:lang w:eastAsia="ko-KR"/>
        </w:rPr>
        <w:t>the PCT Minimum Documentation</w:t>
      </w:r>
      <w:r w:rsidR="004D337D">
        <w:rPr>
          <w:rFonts w:eastAsia="Batang"/>
          <w:lang w:eastAsia="ko-KR"/>
        </w:rPr>
        <w:t xml:space="preserve"> </w:t>
      </w:r>
      <w:r w:rsidR="0085062D">
        <w:rPr>
          <w:rFonts w:eastAsia="Batang"/>
          <w:lang w:eastAsia="ko-KR"/>
        </w:rPr>
        <w:t xml:space="preserve">Task Force to provide a WIPO ST.37-compliant authority file, in addition to their digitized patent collection, </w:t>
      </w:r>
      <w:r w:rsidR="00634F83" w:rsidRPr="00634F83">
        <w:rPr>
          <w:rFonts w:eastAsia="Batang"/>
          <w:lang w:eastAsia="ko-KR"/>
        </w:rPr>
        <w:t>as well as the known benefits of</w:t>
      </w:r>
      <w:r w:rsidR="0085062D">
        <w:rPr>
          <w:rFonts w:eastAsia="Batang"/>
          <w:lang w:eastAsia="ko-KR"/>
        </w:rPr>
        <w:t xml:space="preserve"> patent</w:t>
      </w:r>
      <w:r w:rsidR="00634F83" w:rsidRPr="00634F83">
        <w:rPr>
          <w:rFonts w:eastAsia="Batang"/>
          <w:lang w:eastAsia="ko-KR"/>
        </w:rPr>
        <w:t xml:space="preserve"> authority files</w:t>
      </w:r>
      <w:r w:rsidR="0085062D">
        <w:rPr>
          <w:rFonts w:eastAsia="Batang"/>
          <w:lang w:eastAsia="ko-KR"/>
        </w:rPr>
        <w:t xml:space="preserve"> in validating these types of collections</w:t>
      </w:r>
      <w:r w:rsidR="00634F83" w:rsidRPr="00634F83">
        <w:rPr>
          <w:rFonts w:eastAsia="Batang"/>
          <w:lang w:eastAsia="ko-KR"/>
        </w:rPr>
        <w:t>, the International Bureau proposes the creation of a new Task</w:t>
      </w:r>
      <w:r w:rsidR="004D337D">
        <w:rPr>
          <w:rFonts w:eastAsia="Batang"/>
          <w:lang w:eastAsia="ko-KR"/>
        </w:rPr>
        <w:t xml:space="preserve"> to encourage IP offices to provide their patent authority file in compliance with </w:t>
      </w:r>
      <w:r w:rsidR="0085062D">
        <w:rPr>
          <w:rFonts w:eastAsia="Batang"/>
          <w:lang w:eastAsia="ko-KR"/>
        </w:rPr>
        <w:t xml:space="preserve">WIPO </w:t>
      </w:r>
      <w:r w:rsidR="004D337D">
        <w:rPr>
          <w:rFonts w:eastAsia="Batang"/>
          <w:lang w:eastAsia="ko-KR"/>
        </w:rPr>
        <w:t xml:space="preserve">ST.37 to the International Bureau.  </w:t>
      </w:r>
      <w:r w:rsidR="0085062D">
        <w:rPr>
          <w:rFonts w:eastAsia="Batang"/>
          <w:lang w:eastAsia="ko-KR"/>
        </w:rPr>
        <w:t xml:space="preserve">A </w:t>
      </w:r>
      <w:r w:rsidR="004D337D">
        <w:rPr>
          <w:rFonts w:eastAsia="Batang"/>
          <w:lang w:eastAsia="ko-KR"/>
        </w:rPr>
        <w:t xml:space="preserve">detailed proposal </w:t>
      </w:r>
      <w:r w:rsidR="0085062D">
        <w:rPr>
          <w:rFonts w:eastAsia="Batang"/>
          <w:lang w:eastAsia="ko-KR"/>
        </w:rPr>
        <w:t xml:space="preserve">for the creation of this new Task </w:t>
      </w:r>
      <w:r w:rsidR="004D337D">
        <w:rPr>
          <w:rFonts w:eastAsia="Batang"/>
          <w:lang w:eastAsia="ko-KR"/>
        </w:rPr>
        <w:t>is available in document CWS/11/</w:t>
      </w:r>
      <w:r w:rsidR="00301286">
        <w:rPr>
          <w:rFonts w:eastAsia="Batang"/>
          <w:lang w:eastAsia="ko-KR"/>
        </w:rPr>
        <w:t>15</w:t>
      </w:r>
      <w:r w:rsidR="004D337D">
        <w:rPr>
          <w:rFonts w:eastAsia="Batang"/>
          <w:lang w:eastAsia="ko-KR"/>
        </w:rPr>
        <w:t>.</w:t>
      </w:r>
    </w:p>
    <w:p w14:paraId="5E43A397" w14:textId="77777777" w:rsidR="00361722" w:rsidRDefault="00361722">
      <w:pPr>
        <w:rPr>
          <w:bCs/>
          <w:szCs w:val="26"/>
          <w:u w:val="single"/>
          <w:lang w:eastAsia="ko-KR"/>
        </w:rPr>
      </w:pPr>
      <w:r>
        <w:rPr>
          <w:lang w:eastAsia="ko-KR"/>
        </w:rPr>
        <w:br w:type="page"/>
      </w:r>
    </w:p>
    <w:p w14:paraId="7AA6784C" w14:textId="5C8E6849" w:rsidR="004D337D" w:rsidRDefault="00394A48" w:rsidP="00394A48">
      <w:pPr>
        <w:pStyle w:val="Heading3"/>
        <w:rPr>
          <w:lang w:eastAsia="ko-KR"/>
        </w:rPr>
      </w:pPr>
      <w:r>
        <w:rPr>
          <w:lang w:eastAsia="ko-KR"/>
        </w:rPr>
        <w:lastRenderedPageBreak/>
        <w:t xml:space="preserve">Work arrangement for </w:t>
      </w:r>
      <w:r w:rsidR="004D337D">
        <w:rPr>
          <w:lang w:eastAsia="ko-KR"/>
        </w:rPr>
        <w:t>WIPO Handbook Part 6 Update</w:t>
      </w:r>
    </w:p>
    <w:p w14:paraId="6D275F6D" w14:textId="6810BA12" w:rsidR="001A0261"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394A48">
        <w:rPr>
          <w:rFonts w:eastAsia="Batang"/>
          <w:lang w:eastAsia="ko-KR"/>
        </w:rPr>
        <w:t xml:space="preserve">At its tenth session, the CWS noted the activities and the plan of the International Bureau </w:t>
      </w:r>
      <w:r w:rsidR="0085062D">
        <w:rPr>
          <w:rFonts w:eastAsia="Batang"/>
          <w:lang w:eastAsia="ko-KR"/>
        </w:rPr>
        <w:t xml:space="preserve">to </w:t>
      </w:r>
      <w:r w:rsidR="00394A48">
        <w:rPr>
          <w:rFonts w:eastAsia="Batang"/>
          <w:lang w:eastAsia="ko-KR"/>
        </w:rPr>
        <w:t>the update of WIPO Handbook including the update of Part 6</w:t>
      </w:r>
      <w:r w:rsidR="001A0261">
        <w:rPr>
          <w:rFonts w:eastAsia="Batang"/>
          <w:lang w:eastAsia="ko-KR"/>
        </w:rPr>
        <w:t>.1</w:t>
      </w:r>
      <w:r w:rsidR="00394A48">
        <w:rPr>
          <w:rFonts w:eastAsia="Batang"/>
          <w:lang w:eastAsia="ko-KR"/>
        </w:rPr>
        <w:t xml:space="preserve"> of WIPO Handbook</w:t>
      </w:r>
      <w:r w:rsidR="00367716">
        <w:rPr>
          <w:rFonts w:eastAsia="Batang"/>
          <w:lang w:eastAsia="ko-KR"/>
        </w:rPr>
        <w:t>:</w:t>
      </w:r>
      <w:r w:rsidR="00394A48">
        <w:rPr>
          <w:rFonts w:eastAsia="Batang"/>
          <w:lang w:eastAsia="ko-KR"/>
        </w:rPr>
        <w:t xml:space="preserve"> </w:t>
      </w:r>
      <w:r w:rsidR="001A0261">
        <w:rPr>
          <w:rFonts w:eastAsia="Batang"/>
          <w:lang w:eastAsia="ko-KR"/>
        </w:rPr>
        <w:t>“</w:t>
      </w:r>
      <w:r w:rsidR="001A0261" w:rsidRPr="00B035BB">
        <w:rPr>
          <w:rFonts w:eastAsia="Batang"/>
          <w:i/>
          <w:lang w:eastAsia="ko-KR"/>
        </w:rPr>
        <w:t>Recommended minimum contents for intellectual property offices’ websites</w:t>
      </w:r>
      <w:r w:rsidR="001A0261">
        <w:rPr>
          <w:rFonts w:eastAsia="Batang"/>
          <w:lang w:eastAsia="ko-KR"/>
        </w:rPr>
        <w:t>”</w:t>
      </w:r>
      <w:r w:rsidR="001A0261" w:rsidRPr="001A0261">
        <w:rPr>
          <w:rFonts w:eastAsia="Batang"/>
          <w:lang w:eastAsia="ko-KR"/>
        </w:rPr>
        <w:t xml:space="preserve"> </w:t>
      </w:r>
      <w:r w:rsidR="00394A48">
        <w:rPr>
          <w:rFonts w:eastAsia="Batang"/>
          <w:lang w:eastAsia="ko-KR"/>
        </w:rPr>
        <w:t xml:space="preserve">(see document </w:t>
      </w:r>
      <w:r w:rsidR="0085062D" w:rsidRPr="00B035BB">
        <w:t>CWS/10/ITEM 21 IB</w:t>
      </w:r>
      <w:r w:rsidR="001A0261">
        <w:t>)</w:t>
      </w:r>
      <w:r w:rsidR="00394A48">
        <w:rPr>
          <w:rFonts w:eastAsia="Batang"/>
          <w:lang w:eastAsia="ko-KR"/>
        </w:rPr>
        <w:t xml:space="preserve">.  </w:t>
      </w:r>
      <w:r w:rsidR="001A0261">
        <w:rPr>
          <w:rFonts w:eastAsia="Batang"/>
          <w:lang w:eastAsia="ko-KR"/>
        </w:rPr>
        <w:t>The update of WIPO Handbook Part 6 is currently managed by the Digital Transformation Task Force</w:t>
      </w:r>
      <w:r w:rsidR="00367716">
        <w:rPr>
          <w:rFonts w:eastAsia="Batang"/>
          <w:lang w:eastAsia="ko-KR"/>
        </w:rPr>
        <w:t xml:space="preserve"> under the framework of Task No. 62, </w:t>
      </w:r>
      <w:r w:rsidR="00B035BB">
        <w:rPr>
          <w:rFonts w:eastAsia="Batang"/>
          <w:lang w:eastAsia="ko-KR"/>
        </w:rPr>
        <w:t xml:space="preserve">the description of </w:t>
      </w:r>
      <w:r w:rsidR="00367716">
        <w:rPr>
          <w:rFonts w:eastAsia="Batang"/>
          <w:lang w:eastAsia="ko-KR"/>
        </w:rPr>
        <w:t>which reads:</w:t>
      </w:r>
    </w:p>
    <w:p w14:paraId="74F4086D" w14:textId="171163F0" w:rsidR="001A0261" w:rsidRDefault="001A0261" w:rsidP="001A0261">
      <w:pPr>
        <w:spacing w:after="220"/>
        <w:ind w:left="567"/>
        <w:rPr>
          <w:rFonts w:eastAsia="Batang"/>
          <w:lang w:eastAsia="ko-KR"/>
        </w:rPr>
      </w:pPr>
      <w:r w:rsidRPr="001A0261">
        <w:rPr>
          <w:rFonts w:eastAsia="Batang"/>
          <w:lang w:eastAsia="ko-KR"/>
        </w:rPr>
        <w:t>“Review WIPO Standards: ST.6, ST.8, ST.10, ST.11, ST.15, ST.17, ST.18, ST.63 and ST.81, and WIPO Handbook Part 6, in view of electronic publication of IP documentation; and propose revisions of those Standards and materials if needed.”</w:t>
      </w:r>
    </w:p>
    <w:p w14:paraId="1B9C7AA3" w14:textId="67D6C978" w:rsidR="001A0261"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1A0261">
        <w:rPr>
          <w:rFonts w:eastAsia="Batang"/>
          <w:lang w:eastAsia="ko-KR"/>
        </w:rPr>
        <w:t xml:space="preserve">The </w:t>
      </w:r>
      <w:r w:rsidR="001A0261" w:rsidRPr="001A0261">
        <w:rPr>
          <w:rFonts w:eastAsia="Batang"/>
          <w:lang w:eastAsia="ko-KR"/>
        </w:rPr>
        <w:t>Public Access to Patent Information (PAPI) Task Force</w:t>
      </w:r>
      <w:r w:rsidR="001A0261">
        <w:rPr>
          <w:rFonts w:eastAsia="Batang"/>
          <w:lang w:eastAsia="ko-KR"/>
        </w:rPr>
        <w:t xml:space="preserve"> has been working on </w:t>
      </w:r>
      <w:r w:rsidRPr="001A0261">
        <w:rPr>
          <w:rFonts w:eastAsia="Batang"/>
          <w:lang w:eastAsia="ko-KR"/>
        </w:rPr>
        <w:t xml:space="preserve">publicly available patent </w:t>
      </w:r>
      <w:proofErr w:type="gramStart"/>
      <w:r w:rsidRPr="001A0261">
        <w:rPr>
          <w:rFonts w:eastAsia="Batang"/>
          <w:lang w:eastAsia="ko-KR"/>
        </w:rPr>
        <w:t>information</w:t>
      </w:r>
      <w:proofErr w:type="gramEnd"/>
      <w:r w:rsidRPr="001A0261">
        <w:rPr>
          <w:rFonts w:eastAsia="Batang"/>
          <w:lang w:eastAsia="ko-KR"/>
        </w:rPr>
        <w:t xml:space="preserve"> </w:t>
      </w:r>
      <w:r>
        <w:rPr>
          <w:rFonts w:eastAsia="Batang"/>
          <w:lang w:eastAsia="ko-KR"/>
        </w:rPr>
        <w:t>which is relevant to Part 6, under Task No. 52</w:t>
      </w:r>
      <w:r w:rsidR="001F7553">
        <w:rPr>
          <w:rFonts w:eastAsia="Batang"/>
          <w:lang w:eastAsia="ko-KR"/>
        </w:rPr>
        <w:t>,</w:t>
      </w:r>
      <w:r>
        <w:rPr>
          <w:rFonts w:eastAsia="Batang"/>
          <w:lang w:eastAsia="ko-KR"/>
        </w:rPr>
        <w:t xml:space="preserve"> the description of which </w:t>
      </w:r>
      <w:r w:rsidR="00367716">
        <w:rPr>
          <w:rFonts w:eastAsia="Batang"/>
          <w:lang w:eastAsia="ko-KR"/>
        </w:rPr>
        <w:t>reads</w:t>
      </w:r>
      <w:r>
        <w:rPr>
          <w:rFonts w:eastAsia="Batang"/>
          <w:lang w:eastAsia="ko-KR"/>
        </w:rPr>
        <w:t xml:space="preserve">:  </w:t>
      </w:r>
    </w:p>
    <w:p w14:paraId="33B688F5" w14:textId="5A25DF7D" w:rsidR="001A0261" w:rsidRDefault="006B6788" w:rsidP="006B6788">
      <w:pPr>
        <w:spacing w:after="220"/>
        <w:ind w:left="567"/>
        <w:rPr>
          <w:rFonts w:eastAsia="Batang"/>
          <w:lang w:eastAsia="ko-KR"/>
        </w:rPr>
      </w:pPr>
      <w:r>
        <w:rPr>
          <w:rFonts w:eastAsia="Batang"/>
          <w:lang w:eastAsia="ko-KR"/>
        </w:rPr>
        <w:t>“</w:t>
      </w:r>
      <w:r w:rsidR="001A0261" w:rsidRPr="001A0261">
        <w:rPr>
          <w:rFonts w:eastAsia="Batang"/>
          <w:lang w:eastAsia="ko-KR"/>
        </w:rPr>
        <w:t xml:space="preserve">Prepare recommendations for systems for providing access to publicly available patent information of industrial property </w:t>
      </w:r>
      <w:proofErr w:type="gramStart"/>
      <w:r w:rsidR="001A0261" w:rsidRPr="001A0261">
        <w:rPr>
          <w:rFonts w:eastAsia="Batang"/>
          <w:lang w:eastAsia="ko-KR"/>
        </w:rPr>
        <w:t>offices</w:t>
      </w:r>
      <w:proofErr w:type="gramEnd"/>
      <w:r>
        <w:rPr>
          <w:rFonts w:eastAsia="Batang"/>
          <w:lang w:eastAsia="ko-KR"/>
        </w:rPr>
        <w:t>”</w:t>
      </w:r>
    </w:p>
    <w:p w14:paraId="5705EBA9" w14:textId="7E44968A" w:rsidR="001A0261"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1A0261">
        <w:rPr>
          <w:rFonts w:eastAsia="Batang"/>
          <w:lang w:eastAsia="ko-KR"/>
        </w:rPr>
        <w:t>Since several Tasks are assigned to the Digital Task Force</w:t>
      </w:r>
      <w:r>
        <w:rPr>
          <w:rFonts w:eastAsia="Batang"/>
          <w:lang w:eastAsia="ko-KR"/>
        </w:rPr>
        <w:t xml:space="preserve"> and no concreate activity is </w:t>
      </w:r>
      <w:r w:rsidR="00301286">
        <w:rPr>
          <w:rFonts w:eastAsia="Batang"/>
          <w:lang w:eastAsia="ko-KR"/>
        </w:rPr>
        <w:t>undertaken</w:t>
      </w:r>
      <w:r>
        <w:rPr>
          <w:rFonts w:eastAsia="Batang"/>
          <w:lang w:eastAsia="ko-KR"/>
        </w:rPr>
        <w:t xml:space="preserve"> by the PAPI Task Force</w:t>
      </w:r>
      <w:r w:rsidR="001A0261">
        <w:rPr>
          <w:rFonts w:eastAsia="Batang"/>
          <w:lang w:eastAsia="ko-KR"/>
        </w:rPr>
        <w:t>, the International Bureau,</w:t>
      </w:r>
      <w:r>
        <w:rPr>
          <w:rFonts w:eastAsia="Batang"/>
          <w:lang w:eastAsia="ko-KR"/>
        </w:rPr>
        <w:t xml:space="preserve"> as the </w:t>
      </w:r>
      <w:r w:rsidR="00E71B94">
        <w:rPr>
          <w:rFonts w:eastAsia="Batang"/>
          <w:lang w:eastAsia="ko-KR"/>
        </w:rPr>
        <w:t>L</w:t>
      </w:r>
      <w:r>
        <w:rPr>
          <w:rFonts w:eastAsia="Batang"/>
          <w:lang w:eastAsia="ko-KR"/>
        </w:rPr>
        <w:t>eader of the PAPI Task Force,</w:t>
      </w:r>
      <w:r w:rsidR="001A0261">
        <w:rPr>
          <w:rFonts w:eastAsia="Batang"/>
          <w:lang w:eastAsia="ko-KR"/>
        </w:rPr>
        <w:t xml:space="preserve"> in consultation with the </w:t>
      </w:r>
      <w:r w:rsidR="00301286">
        <w:rPr>
          <w:rFonts w:eastAsia="Batang"/>
          <w:lang w:eastAsia="ko-KR"/>
        </w:rPr>
        <w:t xml:space="preserve">Leader of the </w:t>
      </w:r>
      <w:r w:rsidR="001A0261">
        <w:rPr>
          <w:rFonts w:eastAsia="Batang"/>
          <w:lang w:eastAsia="ko-KR"/>
        </w:rPr>
        <w:t>Digital Transformation Task Force, the United State Patent and Trademark Office (USPTO), propose</w:t>
      </w:r>
      <w:r w:rsidR="00E71B94">
        <w:rPr>
          <w:rFonts w:eastAsia="Batang"/>
          <w:lang w:eastAsia="ko-KR"/>
        </w:rPr>
        <w:t>s</w:t>
      </w:r>
      <w:r w:rsidR="001A0261">
        <w:rPr>
          <w:rFonts w:eastAsia="Batang"/>
          <w:lang w:eastAsia="ko-KR"/>
        </w:rPr>
        <w:t xml:space="preserve"> to transfer </w:t>
      </w:r>
      <w:bookmarkStart w:id="4" w:name="_Hlk146124054"/>
      <w:r w:rsidR="001A0261">
        <w:rPr>
          <w:rFonts w:eastAsia="Batang"/>
          <w:lang w:eastAsia="ko-KR"/>
        </w:rPr>
        <w:t xml:space="preserve">the responsibility of updating Part 6 </w:t>
      </w:r>
      <w:r w:rsidR="00E66226">
        <w:rPr>
          <w:rFonts w:eastAsia="Batang"/>
          <w:lang w:eastAsia="ko-KR"/>
        </w:rPr>
        <w:t>of WIPO Handbook</w:t>
      </w:r>
      <w:r w:rsidR="001A0261">
        <w:rPr>
          <w:rFonts w:eastAsia="Batang"/>
          <w:lang w:eastAsia="ko-KR"/>
        </w:rPr>
        <w:t xml:space="preserve"> to the PAPI Task Force</w:t>
      </w:r>
      <w:r w:rsidR="00E66226">
        <w:rPr>
          <w:rFonts w:eastAsia="Batang"/>
          <w:lang w:eastAsia="ko-KR"/>
        </w:rPr>
        <w:t xml:space="preserve"> from the Digital Transformation Task Force</w:t>
      </w:r>
      <w:bookmarkEnd w:id="4"/>
      <w:r w:rsidR="001A0261">
        <w:rPr>
          <w:rFonts w:eastAsia="Batang"/>
          <w:lang w:eastAsia="ko-KR"/>
        </w:rPr>
        <w:t>.</w:t>
      </w:r>
    </w:p>
    <w:p w14:paraId="3B9CE365" w14:textId="28501688" w:rsidR="004D337D"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t xml:space="preserve">The revisions to the </w:t>
      </w:r>
      <w:r w:rsidR="00135C8C">
        <w:rPr>
          <w:rFonts w:eastAsia="Batang"/>
          <w:lang w:eastAsia="ko-KR"/>
        </w:rPr>
        <w:t xml:space="preserve">descriptions of </w:t>
      </w:r>
      <w:r>
        <w:rPr>
          <w:rFonts w:eastAsia="Batang"/>
          <w:lang w:eastAsia="ko-KR"/>
        </w:rPr>
        <w:t>Task No. 52 and Task No. 62 are proposed in the reports by the respective Task Forces.</w:t>
      </w:r>
      <w:r w:rsidR="00367716">
        <w:rPr>
          <w:rFonts w:eastAsia="Batang"/>
          <w:lang w:eastAsia="ko-KR"/>
        </w:rPr>
        <w:t xml:space="preserve">  Further details on these proposals</w:t>
      </w:r>
      <w:r w:rsidR="001F7553">
        <w:rPr>
          <w:rFonts w:eastAsia="Batang"/>
          <w:lang w:eastAsia="ko-KR"/>
        </w:rPr>
        <w:t xml:space="preserve"> are available in</w:t>
      </w:r>
      <w:r w:rsidR="00367716">
        <w:rPr>
          <w:rFonts w:eastAsia="Batang"/>
          <w:lang w:eastAsia="ko-KR"/>
        </w:rPr>
        <w:t xml:space="preserve"> documents CWS/11/</w:t>
      </w:r>
      <w:r w:rsidR="001F7553">
        <w:rPr>
          <w:rFonts w:eastAsia="Batang"/>
          <w:lang w:eastAsia="ko-KR"/>
        </w:rPr>
        <w:t>12</w:t>
      </w:r>
      <w:r w:rsidR="00367716">
        <w:rPr>
          <w:rFonts w:eastAsia="Batang"/>
          <w:lang w:eastAsia="ko-KR"/>
        </w:rPr>
        <w:t xml:space="preserve"> and CWS/11/</w:t>
      </w:r>
      <w:r w:rsidR="001F7553">
        <w:rPr>
          <w:rFonts w:eastAsia="Batang"/>
          <w:lang w:eastAsia="ko-KR"/>
        </w:rPr>
        <w:t>11 respectively</w:t>
      </w:r>
      <w:r w:rsidR="00367716">
        <w:rPr>
          <w:rFonts w:eastAsia="Batang"/>
          <w:lang w:eastAsia="ko-KR"/>
        </w:rPr>
        <w:t xml:space="preserve">. </w:t>
      </w:r>
    </w:p>
    <w:p w14:paraId="5E2B2D54" w14:textId="4E741E58" w:rsidR="001D214D" w:rsidRPr="00301286" w:rsidRDefault="001D214D" w:rsidP="00301286">
      <w:pPr>
        <w:pStyle w:val="Heading3"/>
        <w:rPr>
          <w:lang w:eastAsia="ko-KR"/>
        </w:rPr>
      </w:pPr>
      <w:r>
        <w:rPr>
          <w:lang w:eastAsia="ko-KR"/>
        </w:rPr>
        <w:t xml:space="preserve">Review of </w:t>
      </w:r>
      <w:r w:rsidR="006B6788">
        <w:rPr>
          <w:lang w:eastAsia="ko-KR"/>
        </w:rPr>
        <w:t>Task No. 24 – A</w:t>
      </w:r>
      <w:r>
        <w:rPr>
          <w:lang w:eastAsia="ko-KR"/>
        </w:rPr>
        <w:t xml:space="preserve">nnual </w:t>
      </w:r>
      <w:r w:rsidR="006B6788">
        <w:rPr>
          <w:lang w:eastAsia="ko-KR"/>
        </w:rPr>
        <w:t>T</w:t>
      </w:r>
      <w:r>
        <w:rPr>
          <w:lang w:eastAsia="ko-KR"/>
        </w:rPr>
        <w:t xml:space="preserve">echnical </w:t>
      </w:r>
      <w:r w:rsidR="006B6788">
        <w:rPr>
          <w:lang w:eastAsia="ko-KR"/>
        </w:rPr>
        <w:t>R</w:t>
      </w:r>
      <w:r>
        <w:rPr>
          <w:lang w:eastAsia="ko-KR"/>
        </w:rPr>
        <w:t>eport</w:t>
      </w:r>
      <w:r w:rsidR="006B6788">
        <w:rPr>
          <w:lang w:eastAsia="ko-KR"/>
        </w:rPr>
        <w:t>s</w:t>
      </w:r>
    </w:p>
    <w:p w14:paraId="0E028515" w14:textId="237D368D" w:rsidR="00EF4CC1" w:rsidRDefault="005620DC" w:rsidP="00D604B2">
      <w:pPr>
        <w:rPr>
          <w:noProof/>
        </w:rPr>
      </w:pPr>
      <w:r>
        <w:rPr>
          <w:noProof/>
        </w:rPr>
        <w:fldChar w:fldCharType="begin"/>
      </w:r>
      <w:r>
        <w:rPr>
          <w:noProof/>
        </w:rPr>
        <w:instrText xml:space="preserve"> AUTONUM  </w:instrText>
      </w:r>
      <w:r>
        <w:rPr>
          <w:noProof/>
        </w:rPr>
        <w:fldChar w:fldCharType="end"/>
      </w:r>
      <w:r>
        <w:rPr>
          <w:noProof/>
        </w:rPr>
        <w:tab/>
      </w:r>
      <w:r w:rsidR="001D214D" w:rsidRPr="006C6C66">
        <w:rPr>
          <w:noProof/>
        </w:rPr>
        <w:t xml:space="preserve">At its ninth session, the CWS agreed to use a simplified ATR process for </w:t>
      </w:r>
      <w:r w:rsidR="00367716">
        <w:rPr>
          <w:noProof/>
        </w:rPr>
        <w:t xml:space="preserve">a period of </w:t>
      </w:r>
      <w:r w:rsidR="001D214D" w:rsidRPr="006C6C66">
        <w:rPr>
          <w:noProof/>
        </w:rPr>
        <w:t xml:space="preserve">three years and then </w:t>
      </w:r>
      <w:r w:rsidR="00367716">
        <w:rPr>
          <w:noProof/>
        </w:rPr>
        <w:t>determine</w:t>
      </w:r>
      <w:r w:rsidR="001D214D" w:rsidRPr="006C6C66">
        <w:rPr>
          <w:noProof/>
        </w:rPr>
        <w:t xml:space="preserve"> whether or not to discontinue ATR collection (see paragraphs 97 to 105 of document CWS/9/25).</w:t>
      </w:r>
      <w:r w:rsidR="001D214D">
        <w:rPr>
          <w:noProof/>
        </w:rPr>
        <w:t xml:space="preserve">  IPOs were invited to provide their 2022 ATRs </w:t>
      </w:r>
      <w:r w:rsidR="00ED11F7">
        <w:rPr>
          <w:noProof/>
        </w:rPr>
        <w:t xml:space="preserve">via three </w:t>
      </w:r>
      <w:r w:rsidR="001D214D">
        <w:rPr>
          <w:noProof/>
        </w:rPr>
        <w:t>Circular</w:t>
      </w:r>
      <w:r w:rsidR="00ED11F7">
        <w:rPr>
          <w:noProof/>
        </w:rPr>
        <w:t>s</w:t>
      </w:r>
      <w:r w:rsidR="001D214D">
        <w:rPr>
          <w:noProof/>
        </w:rPr>
        <w:t xml:space="preserve"> C.CWS 1</w:t>
      </w:r>
      <w:r w:rsidR="00ED11F7">
        <w:rPr>
          <w:noProof/>
        </w:rPr>
        <w:t>66, 167 and 168</w:t>
      </w:r>
      <w:r w:rsidR="001D214D">
        <w:rPr>
          <w:noProof/>
        </w:rPr>
        <w:t xml:space="preserve"> and this is the secon</w:t>
      </w:r>
      <w:r w:rsidR="00367716">
        <w:rPr>
          <w:noProof/>
        </w:rPr>
        <w:t>d</w:t>
      </w:r>
      <w:r w:rsidR="001D214D">
        <w:rPr>
          <w:noProof/>
        </w:rPr>
        <w:t xml:space="preserve"> year of </w:t>
      </w:r>
      <w:r w:rsidR="00367716">
        <w:rPr>
          <w:noProof/>
        </w:rPr>
        <w:t xml:space="preserve">implementing </w:t>
      </w:r>
      <w:r w:rsidR="001D214D">
        <w:rPr>
          <w:noProof/>
        </w:rPr>
        <w:t>the simpli</w:t>
      </w:r>
      <w:r w:rsidR="00EF4CC1">
        <w:rPr>
          <w:noProof/>
        </w:rPr>
        <w:t>fied ATR process.  At its twelveth session, the CWS will consider and decide whether or not ATR collection will be continued.</w:t>
      </w:r>
    </w:p>
    <w:p w14:paraId="64C91639" w14:textId="77777777" w:rsidR="00EF4CC1" w:rsidRDefault="00EF4CC1" w:rsidP="00D604B2">
      <w:pPr>
        <w:rPr>
          <w:noProof/>
        </w:rPr>
      </w:pPr>
    </w:p>
    <w:p w14:paraId="60FD3B50" w14:textId="7322FF2D" w:rsidR="00EF4CC1" w:rsidRDefault="005620DC" w:rsidP="00E71B94">
      <w:pPr>
        <w:spacing w:after="240"/>
        <w:rPr>
          <w:noProof/>
          <w:szCs w:val="22"/>
        </w:rPr>
      </w:pPr>
      <w:r w:rsidRPr="00C66B10">
        <w:rPr>
          <w:noProof/>
          <w:szCs w:val="22"/>
        </w:rPr>
        <w:fldChar w:fldCharType="begin"/>
      </w:r>
      <w:r w:rsidRPr="00C66B10">
        <w:rPr>
          <w:noProof/>
          <w:szCs w:val="22"/>
        </w:rPr>
        <w:instrText xml:space="preserve"> AUTONUM  </w:instrText>
      </w:r>
      <w:r w:rsidRPr="00C66B10">
        <w:rPr>
          <w:noProof/>
          <w:szCs w:val="22"/>
        </w:rPr>
        <w:fldChar w:fldCharType="end"/>
      </w:r>
      <w:r w:rsidRPr="00ED11F7">
        <w:rPr>
          <w:noProof/>
          <w:szCs w:val="22"/>
        </w:rPr>
        <w:tab/>
      </w:r>
      <w:r w:rsidR="009C529E">
        <w:rPr>
          <w:noProof/>
          <w:szCs w:val="22"/>
        </w:rPr>
        <w:t xml:space="preserve">It should be noted </w:t>
      </w:r>
      <w:r w:rsidR="00ED11F7">
        <w:rPr>
          <w:noProof/>
          <w:szCs w:val="22"/>
        </w:rPr>
        <w:t xml:space="preserve">that </w:t>
      </w:r>
      <w:r w:rsidR="00EF4CC1" w:rsidRPr="00ED11F7">
        <w:rPr>
          <w:noProof/>
          <w:szCs w:val="22"/>
        </w:rPr>
        <w:t xml:space="preserve">24 Offices provided their 2022 ATRs while 17 Offices participated </w:t>
      </w:r>
      <w:r w:rsidR="00CE4B53">
        <w:rPr>
          <w:noProof/>
          <w:szCs w:val="22"/>
        </w:rPr>
        <w:t xml:space="preserve">in 2021 ATRs </w:t>
      </w:r>
      <w:r w:rsidR="00ED11F7">
        <w:rPr>
          <w:noProof/>
          <w:szCs w:val="22"/>
        </w:rPr>
        <w:t xml:space="preserve">during 2022.  </w:t>
      </w:r>
      <w:r w:rsidR="009C529E">
        <w:rPr>
          <w:noProof/>
          <w:szCs w:val="22"/>
        </w:rPr>
        <w:t>Further detail</w:t>
      </w:r>
      <w:r w:rsidR="000D6457">
        <w:rPr>
          <w:noProof/>
          <w:szCs w:val="22"/>
        </w:rPr>
        <w:t xml:space="preserve"> regarding specific numbers for each IP Right type</w:t>
      </w:r>
      <w:r w:rsidR="009C529E">
        <w:rPr>
          <w:noProof/>
          <w:szCs w:val="22"/>
        </w:rPr>
        <w:t xml:space="preserve"> is </w:t>
      </w:r>
      <w:r w:rsidR="000D6457">
        <w:rPr>
          <w:noProof/>
          <w:szCs w:val="22"/>
        </w:rPr>
        <w:t>provided in the table below</w:t>
      </w:r>
      <w:r w:rsidR="00EF4CC1" w:rsidRPr="00ED11F7">
        <w:rPr>
          <w:noProof/>
          <w:szCs w:val="22"/>
        </w:rPr>
        <w:t>:</w:t>
      </w:r>
    </w:p>
    <w:tbl>
      <w:tblPr>
        <w:tblStyle w:val="TableGrid"/>
        <w:tblW w:w="0" w:type="auto"/>
        <w:tblLook w:val="04A0" w:firstRow="1" w:lastRow="0" w:firstColumn="1" w:lastColumn="0" w:noHBand="0" w:noVBand="1"/>
      </w:tblPr>
      <w:tblGrid>
        <w:gridCol w:w="3115"/>
        <w:gridCol w:w="3115"/>
        <w:gridCol w:w="3115"/>
      </w:tblGrid>
      <w:tr w:rsidR="00ED11F7" w14:paraId="7D7455F0" w14:textId="77777777" w:rsidTr="00ED11F7">
        <w:tc>
          <w:tcPr>
            <w:tcW w:w="3115" w:type="dxa"/>
          </w:tcPr>
          <w:p w14:paraId="38F07686" w14:textId="2117D23A" w:rsidR="00ED11F7" w:rsidRDefault="00ED11F7" w:rsidP="00E66226">
            <w:pPr>
              <w:jc w:val="center"/>
              <w:rPr>
                <w:noProof/>
                <w:szCs w:val="22"/>
              </w:rPr>
            </w:pPr>
            <w:r>
              <w:rPr>
                <w:noProof/>
                <w:szCs w:val="22"/>
              </w:rPr>
              <w:t xml:space="preserve">ATR </w:t>
            </w:r>
            <w:r w:rsidR="00B035BB">
              <w:rPr>
                <w:noProof/>
                <w:szCs w:val="22"/>
              </w:rPr>
              <w:t>Type</w:t>
            </w:r>
          </w:p>
        </w:tc>
        <w:tc>
          <w:tcPr>
            <w:tcW w:w="3115" w:type="dxa"/>
          </w:tcPr>
          <w:p w14:paraId="7BFFB583" w14:textId="53DA2DA2" w:rsidR="00ED11F7" w:rsidRDefault="00ED11F7" w:rsidP="00E66226">
            <w:pPr>
              <w:jc w:val="center"/>
              <w:rPr>
                <w:noProof/>
                <w:szCs w:val="22"/>
              </w:rPr>
            </w:pPr>
            <w:r>
              <w:rPr>
                <w:noProof/>
                <w:szCs w:val="22"/>
              </w:rPr>
              <w:t>2022 activites</w:t>
            </w:r>
          </w:p>
        </w:tc>
        <w:tc>
          <w:tcPr>
            <w:tcW w:w="3115" w:type="dxa"/>
          </w:tcPr>
          <w:p w14:paraId="1BE363B2" w14:textId="0F5D57D4" w:rsidR="00ED11F7" w:rsidRDefault="00ED11F7" w:rsidP="00E66226">
            <w:pPr>
              <w:jc w:val="center"/>
              <w:rPr>
                <w:noProof/>
                <w:szCs w:val="22"/>
              </w:rPr>
            </w:pPr>
            <w:r>
              <w:rPr>
                <w:noProof/>
                <w:szCs w:val="22"/>
              </w:rPr>
              <w:t>2021 activities</w:t>
            </w:r>
          </w:p>
        </w:tc>
      </w:tr>
      <w:tr w:rsidR="00ED11F7" w14:paraId="24612CD7" w14:textId="77777777" w:rsidTr="00ED11F7">
        <w:tc>
          <w:tcPr>
            <w:tcW w:w="3115" w:type="dxa"/>
          </w:tcPr>
          <w:p w14:paraId="7311D3D1" w14:textId="35B58ECC" w:rsidR="00ED11F7" w:rsidRDefault="00ED11F7" w:rsidP="00D604B2">
            <w:pPr>
              <w:rPr>
                <w:noProof/>
                <w:szCs w:val="22"/>
              </w:rPr>
            </w:pPr>
            <w:r>
              <w:rPr>
                <w:noProof/>
                <w:szCs w:val="22"/>
              </w:rPr>
              <w:t>Industrial Designs Information</w:t>
            </w:r>
          </w:p>
        </w:tc>
        <w:tc>
          <w:tcPr>
            <w:tcW w:w="3115" w:type="dxa"/>
          </w:tcPr>
          <w:p w14:paraId="0DF7EE0B" w14:textId="2D9942A9" w:rsidR="00ED11F7" w:rsidRDefault="00ED11F7" w:rsidP="00361722">
            <w:pPr>
              <w:jc w:val="center"/>
              <w:rPr>
                <w:noProof/>
                <w:szCs w:val="22"/>
              </w:rPr>
            </w:pPr>
            <w:r>
              <w:rPr>
                <w:noProof/>
                <w:szCs w:val="22"/>
              </w:rPr>
              <w:t>18</w:t>
            </w:r>
          </w:p>
        </w:tc>
        <w:tc>
          <w:tcPr>
            <w:tcW w:w="3115" w:type="dxa"/>
          </w:tcPr>
          <w:p w14:paraId="7B73CBDF" w14:textId="4FFF3C4F" w:rsidR="00ED11F7" w:rsidRDefault="00ED11F7" w:rsidP="00361722">
            <w:pPr>
              <w:jc w:val="center"/>
              <w:rPr>
                <w:noProof/>
                <w:szCs w:val="22"/>
              </w:rPr>
            </w:pPr>
            <w:r>
              <w:rPr>
                <w:noProof/>
                <w:szCs w:val="22"/>
              </w:rPr>
              <w:t>15</w:t>
            </w:r>
          </w:p>
        </w:tc>
      </w:tr>
      <w:tr w:rsidR="00ED11F7" w14:paraId="6499F8EB" w14:textId="77777777" w:rsidTr="00ED11F7">
        <w:tc>
          <w:tcPr>
            <w:tcW w:w="3115" w:type="dxa"/>
          </w:tcPr>
          <w:p w14:paraId="3F01ED47" w14:textId="1EF81F78" w:rsidR="00ED11F7" w:rsidRDefault="00ED11F7" w:rsidP="00D604B2">
            <w:pPr>
              <w:rPr>
                <w:noProof/>
                <w:szCs w:val="22"/>
              </w:rPr>
            </w:pPr>
            <w:r>
              <w:rPr>
                <w:noProof/>
                <w:szCs w:val="22"/>
              </w:rPr>
              <w:t>Patent Information</w:t>
            </w:r>
          </w:p>
        </w:tc>
        <w:tc>
          <w:tcPr>
            <w:tcW w:w="3115" w:type="dxa"/>
          </w:tcPr>
          <w:p w14:paraId="47F886F9" w14:textId="2F9F89FB" w:rsidR="00ED11F7" w:rsidRDefault="00ED11F7" w:rsidP="00361722">
            <w:pPr>
              <w:jc w:val="center"/>
              <w:rPr>
                <w:noProof/>
                <w:szCs w:val="22"/>
              </w:rPr>
            </w:pPr>
            <w:r>
              <w:rPr>
                <w:noProof/>
                <w:szCs w:val="22"/>
              </w:rPr>
              <w:t>17</w:t>
            </w:r>
          </w:p>
        </w:tc>
        <w:tc>
          <w:tcPr>
            <w:tcW w:w="3115" w:type="dxa"/>
          </w:tcPr>
          <w:p w14:paraId="245ED18E" w14:textId="442F6428" w:rsidR="00ED11F7" w:rsidRDefault="00ED11F7" w:rsidP="00361722">
            <w:pPr>
              <w:jc w:val="center"/>
              <w:rPr>
                <w:noProof/>
                <w:szCs w:val="22"/>
              </w:rPr>
            </w:pPr>
            <w:r>
              <w:rPr>
                <w:noProof/>
                <w:szCs w:val="22"/>
              </w:rPr>
              <w:t>17</w:t>
            </w:r>
          </w:p>
        </w:tc>
      </w:tr>
      <w:tr w:rsidR="00ED11F7" w14:paraId="73B5454E" w14:textId="77777777" w:rsidTr="00ED11F7">
        <w:tc>
          <w:tcPr>
            <w:tcW w:w="3115" w:type="dxa"/>
          </w:tcPr>
          <w:p w14:paraId="63F04D7C" w14:textId="495E63DD" w:rsidR="00ED11F7" w:rsidRDefault="00ED11F7" w:rsidP="00D604B2">
            <w:pPr>
              <w:rPr>
                <w:noProof/>
                <w:szCs w:val="22"/>
              </w:rPr>
            </w:pPr>
            <w:r>
              <w:rPr>
                <w:noProof/>
                <w:szCs w:val="22"/>
              </w:rPr>
              <w:t>Trademark Information</w:t>
            </w:r>
          </w:p>
        </w:tc>
        <w:tc>
          <w:tcPr>
            <w:tcW w:w="3115" w:type="dxa"/>
          </w:tcPr>
          <w:p w14:paraId="14D9832A" w14:textId="7394AE71" w:rsidR="00ED11F7" w:rsidRDefault="00ED11F7" w:rsidP="00361722">
            <w:pPr>
              <w:jc w:val="center"/>
              <w:rPr>
                <w:noProof/>
                <w:szCs w:val="22"/>
              </w:rPr>
            </w:pPr>
            <w:r>
              <w:rPr>
                <w:noProof/>
                <w:szCs w:val="22"/>
              </w:rPr>
              <w:t>18</w:t>
            </w:r>
          </w:p>
        </w:tc>
        <w:tc>
          <w:tcPr>
            <w:tcW w:w="3115" w:type="dxa"/>
          </w:tcPr>
          <w:p w14:paraId="7789920F" w14:textId="1D9BDF2F" w:rsidR="00ED11F7" w:rsidRDefault="00ED11F7" w:rsidP="00361722">
            <w:pPr>
              <w:jc w:val="center"/>
              <w:rPr>
                <w:noProof/>
                <w:szCs w:val="22"/>
              </w:rPr>
            </w:pPr>
            <w:r>
              <w:rPr>
                <w:noProof/>
                <w:szCs w:val="22"/>
              </w:rPr>
              <w:t>15</w:t>
            </w:r>
          </w:p>
        </w:tc>
      </w:tr>
    </w:tbl>
    <w:p w14:paraId="58FBC532" w14:textId="77777777" w:rsidR="00ED11F7" w:rsidRPr="00ED11F7" w:rsidRDefault="00ED11F7" w:rsidP="00D604B2">
      <w:pPr>
        <w:rPr>
          <w:noProof/>
          <w:szCs w:val="22"/>
        </w:rPr>
      </w:pPr>
    </w:p>
    <w:p w14:paraId="2907650B" w14:textId="59C127CA" w:rsidR="003C7519" w:rsidRPr="004176E0" w:rsidRDefault="003C7519" w:rsidP="004B5C2B">
      <w:pPr>
        <w:pStyle w:val="Heading2"/>
        <w:numPr>
          <w:ilvl w:val="0"/>
          <w:numId w:val="0"/>
        </w:numPr>
      </w:pPr>
      <w:r w:rsidRPr="004176E0">
        <w:t>Proposal for Task Prioritization</w:t>
      </w:r>
      <w:r w:rsidR="004176E0" w:rsidRPr="004176E0">
        <w:t xml:space="preserve"> surv</w:t>
      </w:r>
      <w:r w:rsidR="009509BB">
        <w:t>E</w:t>
      </w:r>
      <w:r w:rsidR="004176E0" w:rsidRPr="004176E0">
        <w:t>y ques</w:t>
      </w:r>
      <w:r w:rsidR="00C20025">
        <w:t>T</w:t>
      </w:r>
      <w:r w:rsidR="004176E0" w:rsidRPr="004176E0">
        <w:t>ionnair</w:t>
      </w:r>
      <w:r w:rsidR="009509BB">
        <w:t>E</w:t>
      </w:r>
    </w:p>
    <w:p w14:paraId="09303045" w14:textId="15A27C38" w:rsidR="000D6457" w:rsidRDefault="004B5C2B" w:rsidP="00E71B94">
      <w:pPr>
        <w:spacing w:after="220"/>
      </w:pPr>
      <w:r w:rsidRPr="004176E0">
        <w:fldChar w:fldCharType="begin"/>
      </w:r>
      <w:r w:rsidRPr="004176E0">
        <w:instrText xml:space="preserve"> AUTONUM  </w:instrText>
      </w:r>
      <w:r w:rsidRPr="004176E0">
        <w:fldChar w:fldCharType="end"/>
      </w:r>
      <w:r w:rsidRPr="004176E0">
        <w:tab/>
      </w:r>
      <w:r w:rsidR="004176E0" w:rsidRPr="004176E0">
        <w:t>As requested by the CWS</w:t>
      </w:r>
      <w:r w:rsidR="00ED11F7">
        <w:t xml:space="preserve"> at the last session</w:t>
      </w:r>
      <w:r w:rsidR="004176E0" w:rsidRPr="004176E0">
        <w:t>, the Secretariat</w:t>
      </w:r>
      <w:r w:rsidR="00ED11F7">
        <w:t>,</w:t>
      </w:r>
      <w:r w:rsidR="004176E0" w:rsidRPr="004176E0">
        <w:t xml:space="preserve"> in collaboration with the </w:t>
      </w:r>
      <w:r w:rsidR="00ED11F7">
        <w:t>l</w:t>
      </w:r>
      <w:r w:rsidR="004176E0" w:rsidRPr="004176E0">
        <w:t>eaders of its Task Forces</w:t>
      </w:r>
      <w:r w:rsidR="00ED11F7">
        <w:t>,</w:t>
      </w:r>
      <w:r w:rsidR="004176E0" w:rsidRPr="004176E0">
        <w:t xml:space="preserve"> has prepared a </w:t>
      </w:r>
      <w:r w:rsidR="00ED11F7">
        <w:t xml:space="preserve">draft </w:t>
      </w:r>
      <w:r w:rsidR="004176E0" w:rsidRPr="004176E0">
        <w:t xml:space="preserve">survey questionnaire for determining the preferences of IPOs in </w:t>
      </w:r>
      <w:r w:rsidR="00ED11F7">
        <w:t xml:space="preserve">how to </w:t>
      </w:r>
      <w:r w:rsidR="004176E0" w:rsidRPr="004176E0">
        <w:t>prioritiz</w:t>
      </w:r>
      <w:r w:rsidR="00ED11F7">
        <w:t>e</w:t>
      </w:r>
      <w:r w:rsidR="004176E0" w:rsidRPr="004176E0">
        <w:t xml:space="preserve"> Tasks</w:t>
      </w:r>
      <w:r w:rsidR="00ED11F7">
        <w:t xml:space="preserve"> in the CWS work program</w:t>
      </w:r>
      <w:r w:rsidR="004176E0" w:rsidRPr="004176E0">
        <w:t>.  The proposed questionnaire is presented for consideration by the CWS as document CWS/11/</w:t>
      </w:r>
      <w:r w:rsidR="00B035BB">
        <w:t>6</w:t>
      </w:r>
      <w:r w:rsidR="004176E0" w:rsidRPr="004176E0">
        <w:t>.</w:t>
      </w:r>
      <w:r w:rsidR="00301286">
        <w:t xml:space="preserve"> </w:t>
      </w:r>
    </w:p>
    <w:p w14:paraId="216CADE4" w14:textId="77777777" w:rsidR="00983DBF" w:rsidRDefault="00983DBF"/>
    <w:p w14:paraId="05F0EEB7" w14:textId="0C7F8CBC" w:rsidR="00880F9F" w:rsidRPr="008B38F6" w:rsidRDefault="00983DBF" w:rsidP="00880F9F">
      <w:pPr>
        <w:pStyle w:val="ONUME"/>
        <w:ind w:left="5533"/>
      </w:pPr>
      <w:r>
        <w:rPr>
          <w:i/>
        </w:rPr>
        <w:fldChar w:fldCharType="begin"/>
      </w:r>
      <w:r>
        <w:rPr>
          <w:i/>
        </w:rPr>
        <w:instrText xml:space="preserve"> AUTONUM  </w:instrText>
      </w:r>
      <w:r>
        <w:rPr>
          <w:i/>
        </w:rPr>
        <w:fldChar w:fldCharType="end"/>
      </w:r>
      <w:r>
        <w:rPr>
          <w:i/>
        </w:rPr>
        <w:tab/>
      </w:r>
      <w:r w:rsidR="00880F9F" w:rsidRPr="008B38F6">
        <w:rPr>
          <w:i/>
        </w:rPr>
        <w:t>The CWS is invited to:</w:t>
      </w:r>
    </w:p>
    <w:p w14:paraId="070298A8" w14:textId="5690B166" w:rsidR="00880F9F" w:rsidRPr="008B38F6" w:rsidRDefault="00880F9F" w:rsidP="00880F9F">
      <w:pPr>
        <w:pStyle w:val="ONUME"/>
        <w:numPr>
          <w:ilvl w:val="1"/>
          <w:numId w:val="18"/>
        </w:numPr>
        <w:tabs>
          <w:tab w:val="num" w:pos="6101"/>
        </w:tabs>
        <w:ind w:left="5529" w:firstLine="563"/>
        <w:rPr>
          <w:i/>
        </w:rPr>
      </w:pPr>
      <w:r w:rsidRPr="008B38F6">
        <w:rPr>
          <w:i/>
        </w:rPr>
        <w:t>note the cont</w:t>
      </w:r>
      <w:r>
        <w:rPr>
          <w:i/>
        </w:rPr>
        <w:t xml:space="preserve">ent of the present </w:t>
      </w:r>
      <w:proofErr w:type="gramStart"/>
      <w:r>
        <w:rPr>
          <w:i/>
        </w:rPr>
        <w:t>document;</w:t>
      </w:r>
      <w:proofErr w:type="gramEnd"/>
      <w:r>
        <w:rPr>
          <w:i/>
        </w:rPr>
        <w:t xml:space="preserve"> </w:t>
      </w:r>
    </w:p>
    <w:p w14:paraId="47244857" w14:textId="621E2DE6" w:rsidR="00302865" w:rsidRDefault="00ED11F7" w:rsidP="00880F9F">
      <w:pPr>
        <w:pStyle w:val="ONUME"/>
        <w:numPr>
          <w:ilvl w:val="1"/>
          <w:numId w:val="18"/>
        </w:numPr>
        <w:tabs>
          <w:tab w:val="num" w:pos="6101"/>
        </w:tabs>
        <w:spacing w:before="240" w:after="0"/>
        <w:ind w:left="5530" w:firstLine="562"/>
        <w:rPr>
          <w:i/>
        </w:rPr>
      </w:pPr>
      <w:r>
        <w:rPr>
          <w:i/>
        </w:rPr>
        <w:t>approve the merging</w:t>
      </w:r>
      <w:r w:rsidR="005620DC">
        <w:rPr>
          <w:i/>
        </w:rPr>
        <w:t xml:space="preserve"> of </w:t>
      </w:r>
      <w:r w:rsidR="002D59B0">
        <w:rPr>
          <w:i/>
        </w:rPr>
        <w:t>Task No. 3</w:t>
      </w:r>
      <w:r>
        <w:rPr>
          <w:i/>
        </w:rPr>
        <w:t>8</w:t>
      </w:r>
      <w:r w:rsidR="002D59B0">
        <w:rPr>
          <w:i/>
        </w:rPr>
        <w:t>, Task No. 3</w:t>
      </w:r>
      <w:r>
        <w:rPr>
          <w:i/>
        </w:rPr>
        <w:t>9</w:t>
      </w:r>
      <w:r w:rsidR="002D59B0">
        <w:rPr>
          <w:i/>
        </w:rPr>
        <w:t xml:space="preserve"> and Task No. 4</w:t>
      </w:r>
      <w:r>
        <w:rPr>
          <w:i/>
        </w:rPr>
        <w:t>2</w:t>
      </w:r>
      <w:r w:rsidR="002D59B0">
        <w:rPr>
          <w:i/>
        </w:rPr>
        <w:t xml:space="preserve"> into Task No. 4</w:t>
      </w:r>
      <w:r>
        <w:rPr>
          <w:i/>
        </w:rPr>
        <w:t>1</w:t>
      </w:r>
      <w:r w:rsidR="002D59B0">
        <w:rPr>
          <w:i/>
        </w:rPr>
        <w:t xml:space="preserve">; </w:t>
      </w:r>
      <w:r w:rsidR="00E71B94">
        <w:rPr>
          <w:i/>
        </w:rPr>
        <w:t xml:space="preserve">the proposal for </w:t>
      </w:r>
      <w:r w:rsidR="002D59B0">
        <w:rPr>
          <w:i/>
        </w:rPr>
        <w:t xml:space="preserve">update </w:t>
      </w:r>
      <w:r w:rsidR="00E71B94">
        <w:rPr>
          <w:i/>
        </w:rPr>
        <w:t xml:space="preserve">of </w:t>
      </w:r>
      <w:r w:rsidR="002D59B0">
        <w:rPr>
          <w:i/>
        </w:rPr>
        <w:t>the description of Task No.</w:t>
      </w:r>
      <w:r>
        <w:rPr>
          <w:i/>
        </w:rPr>
        <w:t>41</w:t>
      </w:r>
      <w:r w:rsidR="00B035BB">
        <w:rPr>
          <w:i/>
        </w:rPr>
        <w:t>, which will be continually assigned to</w:t>
      </w:r>
      <w:r w:rsidR="002D59B0">
        <w:rPr>
          <w:i/>
        </w:rPr>
        <w:t xml:space="preserve"> the XML4IP Task Force;</w:t>
      </w:r>
      <w:r w:rsidR="00B035BB">
        <w:rPr>
          <w:i/>
        </w:rPr>
        <w:t xml:space="preserve"> and</w:t>
      </w:r>
      <w:r w:rsidR="002D59B0">
        <w:rPr>
          <w:i/>
        </w:rPr>
        <w:t xml:space="preserve"> </w:t>
      </w:r>
      <w:r w:rsidR="00E71B94">
        <w:rPr>
          <w:i/>
        </w:rPr>
        <w:t xml:space="preserve">the </w:t>
      </w:r>
      <w:r w:rsidR="002D59B0">
        <w:rPr>
          <w:i/>
        </w:rPr>
        <w:t>discontinu</w:t>
      </w:r>
      <w:r w:rsidR="00E71B94">
        <w:rPr>
          <w:i/>
        </w:rPr>
        <w:t>ation of</w:t>
      </w:r>
      <w:r w:rsidR="002D59B0">
        <w:rPr>
          <w:i/>
        </w:rPr>
        <w:t xml:space="preserve"> the ST.36, ST.66 and ST.86 Task Forces as proposed in paragraph 14</w:t>
      </w:r>
      <w:r w:rsidR="002770EC" w:rsidRPr="002770EC">
        <w:rPr>
          <w:i/>
        </w:rPr>
        <w:t xml:space="preserve"> </w:t>
      </w:r>
      <w:proofErr w:type="gramStart"/>
      <w:r w:rsidR="002770EC">
        <w:rPr>
          <w:i/>
        </w:rPr>
        <w:t>above</w:t>
      </w:r>
      <w:r w:rsidR="002D59B0">
        <w:rPr>
          <w:i/>
        </w:rPr>
        <w:t>;</w:t>
      </w:r>
      <w:proofErr w:type="gramEnd"/>
    </w:p>
    <w:p w14:paraId="7B6070DA" w14:textId="18C76CD4" w:rsidR="00E66226" w:rsidRPr="00302865" w:rsidRDefault="00E66226" w:rsidP="00880F9F">
      <w:pPr>
        <w:pStyle w:val="ONUME"/>
        <w:numPr>
          <w:ilvl w:val="1"/>
          <w:numId w:val="18"/>
        </w:numPr>
        <w:tabs>
          <w:tab w:val="num" w:pos="6101"/>
        </w:tabs>
        <w:spacing w:before="240" w:after="0"/>
        <w:ind w:left="5530" w:firstLine="562"/>
        <w:rPr>
          <w:i/>
        </w:rPr>
      </w:pPr>
      <w:r>
        <w:rPr>
          <w:i/>
        </w:rPr>
        <w:t>consider and approve transferring</w:t>
      </w:r>
      <w:r w:rsidRPr="00E66226">
        <w:t xml:space="preserve"> </w:t>
      </w:r>
      <w:r w:rsidRPr="00E66226">
        <w:rPr>
          <w:i/>
        </w:rPr>
        <w:t>the responsibility of updating Part 6 of WIPO Handbook</w:t>
      </w:r>
      <w:r>
        <w:rPr>
          <w:i/>
        </w:rPr>
        <w:t xml:space="preserve"> </w:t>
      </w:r>
      <w:r w:rsidRPr="00E66226">
        <w:rPr>
          <w:i/>
        </w:rPr>
        <w:t>from the Digital Transformation Task Force</w:t>
      </w:r>
      <w:r>
        <w:rPr>
          <w:i/>
        </w:rPr>
        <w:t xml:space="preserve"> </w:t>
      </w:r>
      <w:r w:rsidRPr="00E66226">
        <w:rPr>
          <w:i/>
        </w:rPr>
        <w:t>to the PAPI Task Force</w:t>
      </w:r>
      <w:r>
        <w:rPr>
          <w:i/>
        </w:rPr>
        <w:t xml:space="preserve"> as proposed in paragraph 19 </w:t>
      </w:r>
      <w:proofErr w:type="gramStart"/>
      <w:r>
        <w:rPr>
          <w:i/>
        </w:rPr>
        <w:t>above;</w:t>
      </w:r>
      <w:proofErr w:type="gramEnd"/>
      <w:r>
        <w:rPr>
          <w:i/>
        </w:rPr>
        <w:t xml:space="preserve">  </w:t>
      </w:r>
    </w:p>
    <w:p w14:paraId="69CA730C" w14:textId="6B0FCAC3" w:rsidR="00880F9F" w:rsidRDefault="00880F9F" w:rsidP="00880F9F">
      <w:pPr>
        <w:pStyle w:val="ONUME"/>
        <w:numPr>
          <w:ilvl w:val="1"/>
          <w:numId w:val="18"/>
        </w:numPr>
        <w:tabs>
          <w:tab w:val="num" w:pos="6101"/>
        </w:tabs>
        <w:spacing w:before="240" w:after="0"/>
        <w:ind w:left="5530" w:firstLine="562"/>
        <w:rPr>
          <w:i/>
        </w:rPr>
      </w:pPr>
      <w:r w:rsidRPr="008B38F6">
        <w:rPr>
          <w:i/>
        </w:rPr>
        <w:t xml:space="preserve">consider the Task List as </w:t>
      </w:r>
      <w:r>
        <w:rPr>
          <w:i/>
        </w:rPr>
        <w:t>presented in the Annex to this document</w:t>
      </w:r>
      <w:r w:rsidR="00F00089">
        <w:rPr>
          <w:i/>
        </w:rPr>
        <w:t xml:space="preserve"> </w:t>
      </w:r>
      <w:r w:rsidR="00F00089" w:rsidRPr="00DD3F72">
        <w:rPr>
          <w:i/>
        </w:rPr>
        <w:t xml:space="preserve">taking into consideration of the recommendation by the Evaluation Report, </w:t>
      </w:r>
      <w:r w:rsidR="00F00089" w:rsidRPr="00CD6825">
        <w:rPr>
          <w:i/>
        </w:rPr>
        <w:t xml:space="preserve">including the </w:t>
      </w:r>
      <w:r w:rsidR="00DD3F72" w:rsidRPr="00CD6825">
        <w:rPr>
          <w:i/>
        </w:rPr>
        <w:t xml:space="preserve">implication of </w:t>
      </w:r>
      <w:r w:rsidR="00F00089" w:rsidRPr="00CD6825">
        <w:rPr>
          <w:i/>
        </w:rPr>
        <w:t>workload of the Task Forces for the coming year for the Member States and WIPO Secretariat,</w:t>
      </w:r>
      <w:r w:rsidR="00F00089" w:rsidRPr="00DD3F72">
        <w:rPr>
          <w:i/>
        </w:rPr>
        <w:t xml:space="preserve"> as indicated in paragraph </w:t>
      </w:r>
      <w:r w:rsidR="002D59B0">
        <w:rPr>
          <w:i/>
        </w:rPr>
        <w:t>10</w:t>
      </w:r>
      <w:r w:rsidR="00F00089" w:rsidRPr="00DD3F72">
        <w:rPr>
          <w:i/>
        </w:rPr>
        <w:t xml:space="preserve"> above</w:t>
      </w:r>
      <w:r>
        <w:rPr>
          <w:i/>
        </w:rPr>
        <w:t>; and</w:t>
      </w:r>
    </w:p>
    <w:p w14:paraId="09A72506" w14:textId="5A5C4A0D" w:rsidR="00880F9F" w:rsidRDefault="00880F9F" w:rsidP="00880F9F">
      <w:pPr>
        <w:pStyle w:val="ONUME"/>
        <w:numPr>
          <w:ilvl w:val="1"/>
          <w:numId w:val="18"/>
        </w:numPr>
        <w:tabs>
          <w:tab w:val="num" w:pos="6101"/>
        </w:tabs>
        <w:spacing w:before="240" w:after="0"/>
        <w:ind w:left="5530" w:firstLine="562"/>
        <w:rPr>
          <w:i/>
        </w:rPr>
      </w:pPr>
      <w:r w:rsidRPr="008B38F6">
        <w:rPr>
          <w:i/>
        </w:rPr>
        <w:t xml:space="preserve">approve the Secretariat to incorporate </w:t>
      </w:r>
      <w:r w:rsidRPr="008B38F6">
        <w:rPr>
          <w:i/>
          <w:szCs w:val="22"/>
        </w:rPr>
        <w:t>the agreements</w:t>
      </w:r>
      <w:r w:rsidR="00502C1E">
        <w:rPr>
          <w:i/>
          <w:szCs w:val="22"/>
        </w:rPr>
        <w:t xml:space="preserve">, </w:t>
      </w:r>
      <w:r w:rsidRPr="008B38F6">
        <w:rPr>
          <w:i/>
          <w:szCs w:val="22"/>
        </w:rPr>
        <w:t>reached at this session</w:t>
      </w:r>
      <w:r w:rsidRPr="008B38F6">
        <w:rPr>
          <w:i/>
        </w:rPr>
        <w:t xml:space="preserve"> in the CWS Work Program and the CWS Work Program Overview </w:t>
      </w:r>
      <w:r>
        <w:rPr>
          <w:i/>
        </w:rPr>
        <w:t xml:space="preserve">and publish them on WIPO website as </w:t>
      </w:r>
      <w:r w:rsidRPr="008B38F6">
        <w:rPr>
          <w:i/>
        </w:rPr>
        <w:t>described in paragraph</w:t>
      </w:r>
      <w:r w:rsidR="002D59B0">
        <w:rPr>
          <w:i/>
        </w:rPr>
        <w:t>11</w:t>
      </w:r>
      <w:r w:rsidRPr="008B38F6">
        <w:rPr>
          <w:i/>
        </w:rPr>
        <w:t xml:space="preserve"> above.</w:t>
      </w:r>
    </w:p>
    <w:p w14:paraId="0072A52D" w14:textId="77777777" w:rsidR="00983DBF" w:rsidRPr="008B38F6" w:rsidRDefault="00983DBF" w:rsidP="00983DBF">
      <w:pPr>
        <w:pStyle w:val="ONUME"/>
        <w:tabs>
          <w:tab w:val="num" w:pos="6101"/>
        </w:tabs>
        <w:spacing w:before="240" w:after="0"/>
        <w:ind w:left="6092"/>
        <w:rPr>
          <w:i/>
        </w:rPr>
      </w:pPr>
    </w:p>
    <w:p w14:paraId="0599E3E5" w14:textId="77777777" w:rsidR="00AE7643" w:rsidRDefault="00AE7643" w:rsidP="002E585B">
      <w:pPr>
        <w:pStyle w:val="Endofdocument"/>
        <w:ind w:left="5530"/>
        <w:rPr>
          <w:rFonts w:cs="Arial"/>
          <w:sz w:val="22"/>
          <w:szCs w:val="22"/>
          <w:highlight w:val="yellow"/>
        </w:rPr>
      </w:pPr>
    </w:p>
    <w:p w14:paraId="53F49F16" w14:textId="72E6E2DD" w:rsidR="002E585B" w:rsidRPr="00084955" w:rsidRDefault="002E585B" w:rsidP="002E585B">
      <w:pPr>
        <w:pStyle w:val="Endofdocument"/>
        <w:ind w:left="5530"/>
      </w:pPr>
      <w:r w:rsidRPr="00AE7643">
        <w:rPr>
          <w:rFonts w:cs="Arial"/>
          <w:sz w:val="22"/>
          <w:szCs w:val="22"/>
        </w:rPr>
        <w:t>[</w:t>
      </w:r>
      <w:r w:rsidR="00AF178B">
        <w:rPr>
          <w:rFonts w:cs="Arial"/>
          <w:sz w:val="22"/>
          <w:szCs w:val="22"/>
        </w:rPr>
        <w:t xml:space="preserve">Annex </w:t>
      </w:r>
      <w:r w:rsidR="00AE7643" w:rsidRPr="00AE7643">
        <w:rPr>
          <w:rFonts w:cs="Arial"/>
          <w:sz w:val="22"/>
          <w:szCs w:val="22"/>
        </w:rPr>
        <w:t>follows</w:t>
      </w:r>
      <w:r w:rsidRPr="00AE7643">
        <w:rPr>
          <w:rFonts w:cs="Arial"/>
          <w:sz w:val="22"/>
          <w:szCs w:val="22"/>
        </w:rPr>
        <w:t>]</w:t>
      </w:r>
    </w:p>
    <w:p w14:paraId="6A87E828" w14:textId="64580B2A" w:rsidR="002326AB" w:rsidRDefault="002326AB" w:rsidP="002326AB">
      <w:pPr>
        <w:spacing w:after="220"/>
      </w:pPr>
    </w:p>
    <w:p w14:paraId="10E45D3F" w14:textId="37F316C1" w:rsidR="007B3CC2" w:rsidRDefault="007B3CC2" w:rsidP="004F4293"/>
    <w:sectPr w:rsidR="007B3CC2" w:rsidSect="002E585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F9C5" w14:textId="77777777" w:rsidR="004E7104" w:rsidRDefault="004E7104">
      <w:r>
        <w:separator/>
      </w:r>
    </w:p>
  </w:endnote>
  <w:endnote w:type="continuationSeparator" w:id="0">
    <w:p w14:paraId="3AD5BF6D" w14:textId="77777777" w:rsidR="004E7104" w:rsidRDefault="004E7104" w:rsidP="003B38C1">
      <w:r>
        <w:separator/>
      </w:r>
    </w:p>
    <w:p w14:paraId="351D925D" w14:textId="77777777" w:rsidR="004E7104" w:rsidRPr="003B38C1" w:rsidRDefault="004E7104" w:rsidP="003B38C1">
      <w:pPr>
        <w:spacing w:after="60"/>
        <w:rPr>
          <w:sz w:val="17"/>
        </w:rPr>
      </w:pPr>
      <w:r>
        <w:rPr>
          <w:sz w:val="17"/>
        </w:rPr>
        <w:t>[Endnote continued from previous page]</w:t>
      </w:r>
    </w:p>
  </w:endnote>
  <w:endnote w:type="continuationNotice" w:id="1">
    <w:p w14:paraId="6272CCEB" w14:textId="77777777" w:rsidR="004E7104" w:rsidRPr="003B38C1" w:rsidRDefault="004E710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EC01" w14:textId="77777777" w:rsidR="000705CF" w:rsidRDefault="00070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193E" w14:textId="77777777" w:rsidR="000705CF" w:rsidRDefault="00070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AA37" w14:textId="77777777" w:rsidR="000705CF" w:rsidRDefault="00070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1A07" w14:textId="77777777" w:rsidR="004E7104" w:rsidRDefault="004E7104">
      <w:r>
        <w:separator/>
      </w:r>
    </w:p>
  </w:footnote>
  <w:footnote w:type="continuationSeparator" w:id="0">
    <w:p w14:paraId="59B37648" w14:textId="77777777" w:rsidR="004E7104" w:rsidRDefault="004E7104" w:rsidP="008B60B2">
      <w:r>
        <w:separator/>
      </w:r>
    </w:p>
    <w:p w14:paraId="54CD8F2F" w14:textId="77777777" w:rsidR="004E7104" w:rsidRPr="00ED77FB" w:rsidRDefault="004E7104" w:rsidP="008B60B2">
      <w:pPr>
        <w:spacing w:after="60"/>
        <w:rPr>
          <w:sz w:val="17"/>
          <w:szCs w:val="17"/>
        </w:rPr>
      </w:pPr>
      <w:r w:rsidRPr="00ED77FB">
        <w:rPr>
          <w:sz w:val="17"/>
          <w:szCs w:val="17"/>
        </w:rPr>
        <w:t>[Footnote continued from previous page]</w:t>
      </w:r>
    </w:p>
  </w:footnote>
  <w:footnote w:type="continuationNotice" w:id="1">
    <w:p w14:paraId="6CD2ADD8" w14:textId="77777777" w:rsidR="004E7104" w:rsidRPr="00ED77FB" w:rsidRDefault="004E710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C09A" w14:textId="77777777" w:rsidR="000705CF" w:rsidRDefault="00070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837" w14:textId="2001BC69" w:rsidR="00D07C78" w:rsidRPr="002326AB" w:rsidRDefault="002E585B" w:rsidP="00477D6B">
    <w:pPr>
      <w:jc w:val="right"/>
      <w:rPr>
        <w:caps/>
      </w:rPr>
    </w:pPr>
    <w:bookmarkStart w:id="5" w:name="Code2"/>
    <w:bookmarkEnd w:id="5"/>
    <w:r>
      <w:rPr>
        <w:caps/>
      </w:rPr>
      <w:t>C</w:t>
    </w:r>
    <w:r w:rsidR="00D53CBA">
      <w:rPr>
        <w:caps/>
      </w:rPr>
      <w:t>WS/</w:t>
    </w:r>
    <w:r w:rsidR="00913A36">
      <w:rPr>
        <w:caps/>
      </w:rPr>
      <w:t>1</w:t>
    </w:r>
    <w:r w:rsidR="000D6457">
      <w:rPr>
        <w:caps/>
      </w:rPr>
      <w:t>1</w:t>
    </w:r>
    <w:r w:rsidR="00913A36">
      <w:rPr>
        <w:caps/>
      </w:rPr>
      <w:t>/</w:t>
    </w:r>
    <w:r w:rsidR="000D6457">
      <w:rPr>
        <w:caps/>
      </w:rPr>
      <w:t>8</w:t>
    </w:r>
    <w:r w:rsidR="009509BB">
      <w:rPr>
        <w:caps/>
      </w:rPr>
      <w:t xml:space="preserve"> CORR.</w:t>
    </w:r>
  </w:p>
  <w:p w14:paraId="52B3C166" w14:textId="0E456EB7" w:rsidR="00D07C78" w:rsidRDefault="00D07C78" w:rsidP="00477D6B">
    <w:pPr>
      <w:jc w:val="right"/>
    </w:pPr>
    <w:r>
      <w:t xml:space="preserve">page </w:t>
    </w:r>
    <w:r>
      <w:fldChar w:fldCharType="begin"/>
    </w:r>
    <w:r>
      <w:instrText xml:space="preserve"> PAGE  \* MERGEFORMAT </w:instrText>
    </w:r>
    <w:r>
      <w:fldChar w:fldCharType="separate"/>
    </w:r>
    <w:r w:rsidR="00F05AC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1E76" w14:textId="77777777" w:rsidR="000705CF" w:rsidRDefault="00070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6"/>
  </w:num>
  <w:num w:numId="3" w16cid:durableId="233131383">
    <w:abstractNumId w:val="0"/>
  </w:num>
  <w:num w:numId="4" w16cid:durableId="467742861">
    <w:abstractNumId w:val="18"/>
  </w:num>
  <w:num w:numId="5" w16cid:durableId="901328498">
    <w:abstractNumId w:val="3"/>
  </w:num>
  <w:num w:numId="6" w16cid:durableId="533469840">
    <w:abstractNumId w:val="12"/>
  </w:num>
  <w:num w:numId="7" w16cid:durableId="1583097749">
    <w:abstractNumId w:val="26"/>
  </w:num>
  <w:num w:numId="8" w16cid:durableId="1394740297">
    <w:abstractNumId w:val="22"/>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1"/>
  </w:num>
  <w:num w:numId="19" w16cid:durableId="1232958238">
    <w:abstractNumId w:val="7"/>
  </w:num>
  <w:num w:numId="20" w16cid:durableId="1423573102">
    <w:abstractNumId w:val="6"/>
  </w:num>
  <w:num w:numId="21" w16cid:durableId="515729416">
    <w:abstractNumId w:val="29"/>
  </w:num>
  <w:num w:numId="22" w16cid:durableId="1854342051">
    <w:abstractNumId w:val="25"/>
  </w:num>
  <w:num w:numId="23" w16cid:durableId="1939412421">
    <w:abstractNumId w:val="13"/>
  </w:num>
  <w:num w:numId="24" w16cid:durableId="1181816063">
    <w:abstractNumId w:val="28"/>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4"/>
  </w:num>
  <w:num w:numId="30" w16cid:durableId="1569488281">
    <w:abstractNumId w:val="11"/>
  </w:num>
  <w:num w:numId="31" w16cid:durableId="2056006788">
    <w:abstractNumId w:val="19"/>
  </w:num>
  <w:num w:numId="32" w16cid:durableId="1539509155">
    <w:abstractNumId w:val="24"/>
  </w:num>
  <w:num w:numId="33" w16cid:durableId="1834445333">
    <w:abstractNumId w:val="23"/>
  </w:num>
  <w:num w:numId="34" w16cid:durableId="1072234653">
    <w:abstractNumId w:val="10"/>
  </w:num>
  <w:num w:numId="35" w16cid:durableId="1147749685">
    <w:abstractNumId w:val="17"/>
  </w:num>
  <w:num w:numId="36" w16cid:durableId="541403394">
    <w:abstractNumId w:val="27"/>
  </w:num>
  <w:num w:numId="37" w16cid:durableId="1031490863">
    <w:abstractNumId w:val="15"/>
  </w:num>
  <w:num w:numId="38" w16cid:durableId="246352957">
    <w:abstractNumId w:val="20"/>
  </w:num>
  <w:num w:numId="39" w16cid:durableId="162847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6D84"/>
    <w:rsid w:val="00034A9F"/>
    <w:rsid w:val="00043CAA"/>
    <w:rsid w:val="0005166E"/>
    <w:rsid w:val="00051FA7"/>
    <w:rsid w:val="00055CD5"/>
    <w:rsid w:val="00056816"/>
    <w:rsid w:val="0006757B"/>
    <w:rsid w:val="000705CF"/>
    <w:rsid w:val="0007205F"/>
    <w:rsid w:val="00075432"/>
    <w:rsid w:val="00092912"/>
    <w:rsid w:val="000968ED"/>
    <w:rsid w:val="000A3D97"/>
    <w:rsid w:val="000A6EFD"/>
    <w:rsid w:val="000B32A9"/>
    <w:rsid w:val="000B7236"/>
    <w:rsid w:val="000C0613"/>
    <w:rsid w:val="000D0970"/>
    <w:rsid w:val="000D6457"/>
    <w:rsid w:val="000F5E56"/>
    <w:rsid w:val="00101336"/>
    <w:rsid w:val="00110B70"/>
    <w:rsid w:val="001165B8"/>
    <w:rsid w:val="00134EFD"/>
    <w:rsid w:val="00135C8C"/>
    <w:rsid w:val="001362EE"/>
    <w:rsid w:val="00137848"/>
    <w:rsid w:val="001500DE"/>
    <w:rsid w:val="00160104"/>
    <w:rsid w:val="001647D5"/>
    <w:rsid w:val="001832A6"/>
    <w:rsid w:val="0018609D"/>
    <w:rsid w:val="001A0261"/>
    <w:rsid w:val="001A328F"/>
    <w:rsid w:val="001B6786"/>
    <w:rsid w:val="001C0626"/>
    <w:rsid w:val="001C2D44"/>
    <w:rsid w:val="001D1C4F"/>
    <w:rsid w:val="001D214D"/>
    <w:rsid w:val="001D2AB7"/>
    <w:rsid w:val="001D4107"/>
    <w:rsid w:val="001F7553"/>
    <w:rsid w:val="00200E98"/>
    <w:rsid w:val="00203D24"/>
    <w:rsid w:val="0021217E"/>
    <w:rsid w:val="00222C84"/>
    <w:rsid w:val="00227B4C"/>
    <w:rsid w:val="002326AB"/>
    <w:rsid w:val="002339EF"/>
    <w:rsid w:val="0024039A"/>
    <w:rsid w:val="00242FC5"/>
    <w:rsid w:val="00243430"/>
    <w:rsid w:val="00261643"/>
    <w:rsid w:val="00261AA5"/>
    <w:rsid w:val="002634C4"/>
    <w:rsid w:val="00276878"/>
    <w:rsid w:val="002770EC"/>
    <w:rsid w:val="00280365"/>
    <w:rsid w:val="00280C7A"/>
    <w:rsid w:val="002928D3"/>
    <w:rsid w:val="00293EE8"/>
    <w:rsid w:val="002B5823"/>
    <w:rsid w:val="002C63D1"/>
    <w:rsid w:val="002D59B0"/>
    <w:rsid w:val="002D61B0"/>
    <w:rsid w:val="002E585B"/>
    <w:rsid w:val="002F1FE6"/>
    <w:rsid w:val="002F4E68"/>
    <w:rsid w:val="00301286"/>
    <w:rsid w:val="00302865"/>
    <w:rsid w:val="00312F7F"/>
    <w:rsid w:val="00323A29"/>
    <w:rsid w:val="00337D78"/>
    <w:rsid w:val="0034042A"/>
    <w:rsid w:val="00354376"/>
    <w:rsid w:val="00355887"/>
    <w:rsid w:val="00356D35"/>
    <w:rsid w:val="003578D1"/>
    <w:rsid w:val="00361450"/>
    <w:rsid w:val="00361722"/>
    <w:rsid w:val="00361A83"/>
    <w:rsid w:val="003673CF"/>
    <w:rsid w:val="00367716"/>
    <w:rsid w:val="00371AEA"/>
    <w:rsid w:val="003726AC"/>
    <w:rsid w:val="003845C1"/>
    <w:rsid w:val="00394A48"/>
    <w:rsid w:val="003A433C"/>
    <w:rsid w:val="003A6F89"/>
    <w:rsid w:val="003B339D"/>
    <w:rsid w:val="003B38C1"/>
    <w:rsid w:val="003C34E9"/>
    <w:rsid w:val="003C7519"/>
    <w:rsid w:val="003D5977"/>
    <w:rsid w:val="003E17E6"/>
    <w:rsid w:val="003E4B10"/>
    <w:rsid w:val="003E5BF8"/>
    <w:rsid w:val="003F0C04"/>
    <w:rsid w:val="004167C6"/>
    <w:rsid w:val="0041768C"/>
    <w:rsid w:val="004176E0"/>
    <w:rsid w:val="00423E3E"/>
    <w:rsid w:val="00427AF4"/>
    <w:rsid w:val="00434EDA"/>
    <w:rsid w:val="0044175F"/>
    <w:rsid w:val="004647DA"/>
    <w:rsid w:val="00474062"/>
    <w:rsid w:val="00477D6B"/>
    <w:rsid w:val="00491DA7"/>
    <w:rsid w:val="004A79D9"/>
    <w:rsid w:val="004B17F8"/>
    <w:rsid w:val="004B5C2B"/>
    <w:rsid w:val="004C7545"/>
    <w:rsid w:val="004D337D"/>
    <w:rsid w:val="004E7104"/>
    <w:rsid w:val="004E7733"/>
    <w:rsid w:val="004F4293"/>
    <w:rsid w:val="005019FF"/>
    <w:rsid w:val="00502C1E"/>
    <w:rsid w:val="00511202"/>
    <w:rsid w:val="0053057A"/>
    <w:rsid w:val="00532B4B"/>
    <w:rsid w:val="0054680A"/>
    <w:rsid w:val="00556076"/>
    <w:rsid w:val="00557D55"/>
    <w:rsid w:val="00560A29"/>
    <w:rsid w:val="005620DC"/>
    <w:rsid w:val="005864B6"/>
    <w:rsid w:val="005B38AE"/>
    <w:rsid w:val="005B40E9"/>
    <w:rsid w:val="005C6649"/>
    <w:rsid w:val="005C79B2"/>
    <w:rsid w:val="005D752F"/>
    <w:rsid w:val="005E45AA"/>
    <w:rsid w:val="005E6C0F"/>
    <w:rsid w:val="00605827"/>
    <w:rsid w:val="006063B6"/>
    <w:rsid w:val="00615F4E"/>
    <w:rsid w:val="0062695D"/>
    <w:rsid w:val="00634F83"/>
    <w:rsid w:val="00634F89"/>
    <w:rsid w:val="00646050"/>
    <w:rsid w:val="00655CC7"/>
    <w:rsid w:val="0067093C"/>
    <w:rsid w:val="006713CA"/>
    <w:rsid w:val="00676C5C"/>
    <w:rsid w:val="006857F9"/>
    <w:rsid w:val="00691396"/>
    <w:rsid w:val="006A726D"/>
    <w:rsid w:val="006B00C1"/>
    <w:rsid w:val="006B24D1"/>
    <w:rsid w:val="006B6788"/>
    <w:rsid w:val="006C6644"/>
    <w:rsid w:val="006D5587"/>
    <w:rsid w:val="006E2F95"/>
    <w:rsid w:val="006F6518"/>
    <w:rsid w:val="00720EFD"/>
    <w:rsid w:val="00745732"/>
    <w:rsid w:val="00751EC3"/>
    <w:rsid w:val="0075547E"/>
    <w:rsid w:val="0076025F"/>
    <w:rsid w:val="0076525D"/>
    <w:rsid w:val="007854AF"/>
    <w:rsid w:val="00787A1A"/>
    <w:rsid w:val="00793A7C"/>
    <w:rsid w:val="007A1076"/>
    <w:rsid w:val="007A398A"/>
    <w:rsid w:val="007B3CC2"/>
    <w:rsid w:val="007B5A88"/>
    <w:rsid w:val="007C3283"/>
    <w:rsid w:val="007D1613"/>
    <w:rsid w:val="007E4C0E"/>
    <w:rsid w:val="007F1D88"/>
    <w:rsid w:val="007F2F98"/>
    <w:rsid w:val="00816986"/>
    <w:rsid w:val="00822E03"/>
    <w:rsid w:val="00823760"/>
    <w:rsid w:val="0082662B"/>
    <w:rsid w:val="008318E0"/>
    <w:rsid w:val="008335B0"/>
    <w:rsid w:val="008356C0"/>
    <w:rsid w:val="00846CF6"/>
    <w:rsid w:val="0085062D"/>
    <w:rsid w:val="00851529"/>
    <w:rsid w:val="008610AC"/>
    <w:rsid w:val="00880F9F"/>
    <w:rsid w:val="00890F1D"/>
    <w:rsid w:val="008A134B"/>
    <w:rsid w:val="008B2CC1"/>
    <w:rsid w:val="008B60B2"/>
    <w:rsid w:val="008D34C2"/>
    <w:rsid w:val="009010E5"/>
    <w:rsid w:val="0090319B"/>
    <w:rsid w:val="0090731E"/>
    <w:rsid w:val="00913A36"/>
    <w:rsid w:val="00915BD1"/>
    <w:rsid w:val="00916EE2"/>
    <w:rsid w:val="00917DB2"/>
    <w:rsid w:val="00946C68"/>
    <w:rsid w:val="009509BB"/>
    <w:rsid w:val="0096402A"/>
    <w:rsid w:val="00966A22"/>
    <w:rsid w:val="0096722F"/>
    <w:rsid w:val="009718C0"/>
    <w:rsid w:val="00980843"/>
    <w:rsid w:val="00983DBF"/>
    <w:rsid w:val="00994AC9"/>
    <w:rsid w:val="009A3F7A"/>
    <w:rsid w:val="009B160D"/>
    <w:rsid w:val="009B1988"/>
    <w:rsid w:val="009B1F82"/>
    <w:rsid w:val="009B2CBB"/>
    <w:rsid w:val="009C529E"/>
    <w:rsid w:val="009D286E"/>
    <w:rsid w:val="009E0BF7"/>
    <w:rsid w:val="009E2791"/>
    <w:rsid w:val="009E3F6F"/>
    <w:rsid w:val="009F499F"/>
    <w:rsid w:val="00A3264D"/>
    <w:rsid w:val="00A34EE9"/>
    <w:rsid w:val="00A35557"/>
    <w:rsid w:val="00A37342"/>
    <w:rsid w:val="00A42DAF"/>
    <w:rsid w:val="00A45BD8"/>
    <w:rsid w:val="00A54493"/>
    <w:rsid w:val="00A55422"/>
    <w:rsid w:val="00A6290C"/>
    <w:rsid w:val="00A718CE"/>
    <w:rsid w:val="00A869B7"/>
    <w:rsid w:val="00A90F0A"/>
    <w:rsid w:val="00AA6F7F"/>
    <w:rsid w:val="00AB6703"/>
    <w:rsid w:val="00AC205C"/>
    <w:rsid w:val="00AC279B"/>
    <w:rsid w:val="00AC4CEC"/>
    <w:rsid w:val="00AE3376"/>
    <w:rsid w:val="00AE7643"/>
    <w:rsid w:val="00AF0A6B"/>
    <w:rsid w:val="00AF178B"/>
    <w:rsid w:val="00B035BB"/>
    <w:rsid w:val="00B05A69"/>
    <w:rsid w:val="00B07276"/>
    <w:rsid w:val="00B128BF"/>
    <w:rsid w:val="00B355B6"/>
    <w:rsid w:val="00B415AD"/>
    <w:rsid w:val="00B739DD"/>
    <w:rsid w:val="00B75281"/>
    <w:rsid w:val="00B80108"/>
    <w:rsid w:val="00B91DD7"/>
    <w:rsid w:val="00B92F1F"/>
    <w:rsid w:val="00B941D5"/>
    <w:rsid w:val="00B9734B"/>
    <w:rsid w:val="00BA1A90"/>
    <w:rsid w:val="00BA30E2"/>
    <w:rsid w:val="00BD4661"/>
    <w:rsid w:val="00BF7515"/>
    <w:rsid w:val="00C10182"/>
    <w:rsid w:val="00C11BFE"/>
    <w:rsid w:val="00C12366"/>
    <w:rsid w:val="00C20025"/>
    <w:rsid w:val="00C2413A"/>
    <w:rsid w:val="00C43423"/>
    <w:rsid w:val="00C5068F"/>
    <w:rsid w:val="00C54C62"/>
    <w:rsid w:val="00C57F29"/>
    <w:rsid w:val="00C63AD7"/>
    <w:rsid w:val="00C66B10"/>
    <w:rsid w:val="00C67F29"/>
    <w:rsid w:val="00C86D74"/>
    <w:rsid w:val="00CB6496"/>
    <w:rsid w:val="00CB6E70"/>
    <w:rsid w:val="00CD04F1"/>
    <w:rsid w:val="00CD6825"/>
    <w:rsid w:val="00CE4B53"/>
    <w:rsid w:val="00CE65EE"/>
    <w:rsid w:val="00CF6577"/>
    <w:rsid w:val="00CF681A"/>
    <w:rsid w:val="00D0537C"/>
    <w:rsid w:val="00D05A1A"/>
    <w:rsid w:val="00D07C78"/>
    <w:rsid w:val="00D11981"/>
    <w:rsid w:val="00D20E47"/>
    <w:rsid w:val="00D2734C"/>
    <w:rsid w:val="00D45252"/>
    <w:rsid w:val="00D45CCE"/>
    <w:rsid w:val="00D46A05"/>
    <w:rsid w:val="00D53CBA"/>
    <w:rsid w:val="00D604B2"/>
    <w:rsid w:val="00D61BB3"/>
    <w:rsid w:val="00D70243"/>
    <w:rsid w:val="00D71B4D"/>
    <w:rsid w:val="00D93D55"/>
    <w:rsid w:val="00DD3F72"/>
    <w:rsid w:val="00DD7436"/>
    <w:rsid w:val="00DD7B7F"/>
    <w:rsid w:val="00DF3E80"/>
    <w:rsid w:val="00E07C74"/>
    <w:rsid w:val="00E145CF"/>
    <w:rsid w:val="00E15015"/>
    <w:rsid w:val="00E171CC"/>
    <w:rsid w:val="00E310F5"/>
    <w:rsid w:val="00E31404"/>
    <w:rsid w:val="00E335FE"/>
    <w:rsid w:val="00E42E8E"/>
    <w:rsid w:val="00E42FB8"/>
    <w:rsid w:val="00E45755"/>
    <w:rsid w:val="00E55A68"/>
    <w:rsid w:val="00E66226"/>
    <w:rsid w:val="00E71B94"/>
    <w:rsid w:val="00E82FE2"/>
    <w:rsid w:val="00EA6E55"/>
    <w:rsid w:val="00EA7D6E"/>
    <w:rsid w:val="00EB0274"/>
    <w:rsid w:val="00EB2F76"/>
    <w:rsid w:val="00EC43A5"/>
    <w:rsid w:val="00EC4E49"/>
    <w:rsid w:val="00ED11F7"/>
    <w:rsid w:val="00ED77FB"/>
    <w:rsid w:val="00EE45FA"/>
    <w:rsid w:val="00EF4CC1"/>
    <w:rsid w:val="00F00089"/>
    <w:rsid w:val="00F043DE"/>
    <w:rsid w:val="00F05ACC"/>
    <w:rsid w:val="00F10894"/>
    <w:rsid w:val="00F23F48"/>
    <w:rsid w:val="00F25685"/>
    <w:rsid w:val="00F3360D"/>
    <w:rsid w:val="00F342EB"/>
    <w:rsid w:val="00F64EE0"/>
    <w:rsid w:val="00F66152"/>
    <w:rsid w:val="00F70E86"/>
    <w:rsid w:val="00F81AD1"/>
    <w:rsid w:val="00F9165B"/>
    <w:rsid w:val="00F939C5"/>
    <w:rsid w:val="00FA234F"/>
    <w:rsid w:val="00FA679E"/>
    <w:rsid w:val="00FC482F"/>
    <w:rsid w:val="00FC6F93"/>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cw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en/taskforce/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cws/en/work-program.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xport/sites/www/about-wipo/en/oversight/docs/iaod/evaluation/220216-evaluation-WIPO-standing-committees-summary.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5</Pages>
  <Words>1899</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CWS/11/3</vt:lpstr>
    </vt:vector>
  </TitlesOfParts>
  <Company>WIPO</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dc:title>
  <dc:subject>Proposal for survey on Office practices for Digital Transformation</dc:subject>
  <dc:creator>WIPO</dc:creator>
  <cp:keywords>FOR OFFICIAL USE ONLY</cp:keywords>
  <dc:description/>
  <cp:lastModifiedBy>MOSTAJO Apolonia</cp:lastModifiedBy>
  <cp:revision>2</cp:revision>
  <cp:lastPrinted>2023-12-04T16:31:00Z</cp:lastPrinted>
  <dcterms:created xsi:type="dcterms:W3CDTF">2023-12-05T08:44:00Z</dcterms:created>
  <dcterms:modified xsi:type="dcterms:W3CDTF">2023-12-05T08:44:00Z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