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1B773" w14:textId="77777777" w:rsidR="008B2CC1" w:rsidRPr="00B80DE6" w:rsidRDefault="00B92F1F" w:rsidP="00846CF6">
      <w:pPr>
        <w:pBdr>
          <w:bottom w:val="single" w:sz="4" w:space="11" w:color="auto"/>
        </w:pBdr>
        <w:spacing w:after="120"/>
        <w:jc w:val="right"/>
        <w:rPr>
          <w:b/>
          <w:sz w:val="32"/>
          <w:szCs w:val="40"/>
        </w:rPr>
      </w:pPr>
      <w:r w:rsidRPr="00B80DE6">
        <w:rPr>
          <w:noProof/>
          <w:sz w:val="28"/>
          <w:szCs w:val="28"/>
        </w:rPr>
        <w:drawing>
          <wp:inline distT="0" distB="0" distL="0" distR="0" wp14:anchorId="356F76C3" wp14:editId="102BD88E">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0F278A7A" w14:textId="67969245" w:rsidR="008B2CC1" w:rsidRPr="00B80DE6" w:rsidRDefault="001D2EDC" w:rsidP="009C7DC9">
      <w:pPr>
        <w:jc w:val="right"/>
        <w:rPr>
          <w:rFonts w:ascii="Arial Black" w:hAnsi="Arial Black"/>
          <w:caps/>
          <w:sz w:val="15"/>
          <w:szCs w:val="15"/>
        </w:rPr>
      </w:pPr>
      <w:r w:rsidRPr="00B80DE6">
        <w:rPr>
          <w:rFonts w:ascii="Arial Black" w:hAnsi="Arial Black"/>
          <w:caps/>
          <w:sz w:val="15"/>
          <w:szCs w:val="15"/>
        </w:rPr>
        <w:t>CWs/1</w:t>
      </w:r>
      <w:r w:rsidR="002F3F87" w:rsidRPr="00B80DE6">
        <w:rPr>
          <w:rFonts w:ascii="Arial Black" w:hAnsi="Arial Black"/>
          <w:caps/>
          <w:sz w:val="15"/>
          <w:szCs w:val="15"/>
        </w:rPr>
        <w:t>2</w:t>
      </w:r>
      <w:r w:rsidR="00846CF6" w:rsidRPr="00B80DE6">
        <w:rPr>
          <w:rFonts w:ascii="Arial Black" w:hAnsi="Arial Black"/>
          <w:caps/>
          <w:sz w:val="15"/>
          <w:szCs w:val="15"/>
        </w:rPr>
        <w:t>/</w:t>
      </w:r>
      <w:bookmarkStart w:id="0" w:name="Code"/>
      <w:bookmarkEnd w:id="0"/>
      <w:r w:rsidR="002F3F87" w:rsidRPr="00B80DE6">
        <w:rPr>
          <w:rFonts w:ascii="Arial Black" w:hAnsi="Arial Black"/>
          <w:caps/>
          <w:sz w:val="15"/>
          <w:szCs w:val="15"/>
        </w:rPr>
        <w:t>24</w:t>
      </w:r>
    </w:p>
    <w:p w14:paraId="7AF819AC" w14:textId="77777777" w:rsidR="008B2CC1" w:rsidRPr="00B80DE6" w:rsidRDefault="00EB2F76" w:rsidP="00EB2F76">
      <w:pPr>
        <w:jc w:val="right"/>
        <w:rPr>
          <w:rFonts w:ascii="Arial Black" w:hAnsi="Arial Black"/>
          <w:caps/>
          <w:sz w:val="15"/>
          <w:szCs w:val="15"/>
        </w:rPr>
      </w:pPr>
      <w:r w:rsidRPr="00B80DE6">
        <w:rPr>
          <w:rFonts w:ascii="Arial Black" w:hAnsi="Arial Black"/>
          <w:caps/>
          <w:sz w:val="15"/>
          <w:szCs w:val="15"/>
        </w:rPr>
        <w:t xml:space="preserve">ORIGINAL: </w:t>
      </w:r>
      <w:bookmarkStart w:id="1" w:name="Original"/>
      <w:r w:rsidR="00D80CC9" w:rsidRPr="00B80DE6">
        <w:rPr>
          <w:rFonts w:ascii="Arial Black" w:hAnsi="Arial Black"/>
          <w:caps/>
          <w:sz w:val="15"/>
          <w:szCs w:val="15"/>
        </w:rPr>
        <w:t>english</w:t>
      </w:r>
    </w:p>
    <w:bookmarkEnd w:id="1"/>
    <w:p w14:paraId="1AFDD3E6" w14:textId="47DCE61C" w:rsidR="008B2CC1" w:rsidRPr="00B80DE6" w:rsidRDefault="00EB2F76" w:rsidP="0075232F">
      <w:pPr>
        <w:spacing w:after="1200"/>
        <w:jc w:val="right"/>
        <w:rPr>
          <w:rFonts w:ascii="Arial Black" w:hAnsi="Arial Black"/>
          <w:caps/>
          <w:sz w:val="15"/>
          <w:szCs w:val="15"/>
        </w:rPr>
      </w:pPr>
      <w:r w:rsidRPr="00B80DE6">
        <w:rPr>
          <w:rFonts w:ascii="Arial Black" w:hAnsi="Arial Black"/>
          <w:caps/>
          <w:sz w:val="15"/>
          <w:szCs w:val="15"/>
        </w:rPr>
        <w:t xml:space="preserve">DATE: </w:t>
      </w:r>
      <w:bookmarkStart w:id="2" w:name="Date"/>
      <w:r w:rsidR="002F3F87" w:rsidRPr="00B80DE6">
        <w:rPr>
          <w:rFonts w:ascii="Arial Black" w:hAnsi="Arial Black"/>
          <w:caps/>
          <w:sz w:val="15"/>
          <w:szCs w:val="15"/>
        </w:rPr>
        <w:t xml:space="preserve">august </w:t>
      </w:r>
      <w:r w:rsidR="00AC33C1">
        <w:rPr>
          <w:rFonts w:ascii="Arial Black" w:hAnsi="Arial Black"/>
          <w:caps/>
          <w:sz w:val="15"/>
          <w:szCs w:val="15"/>
        </w:rPr>
        <w:t>15</w:t>
      </w:r>
      <w:r w:rsidR="001D2EDC" w:rsidRPr="00B80DE6">
        <w:rPr>
          <w:rFonts w:ascii="Arial Black" w:hAnsi="Arial Black"/>
          <w:caps/>
          <w:sz w:val="15"/>
          <w:szCs w:val="15"/>
        </w:rPr>
        <w:t>, 202</w:t>
      </w:r>
      <w:r w:rsidR="002F3F87" w:rsidRPr="00B80DE6">
        <w:rPr>
          <w:rFonts w:ascii="Arial Black" w:hAnsi="Arial Black"/>
          <w:caps/>
          <w:sz w:val="15"/>
          <w:szCs w:val="15"/>
        </w:rPr>
        <w:t>4</w:t>
      </w:r>
    </w:p>
    <w:bookmarkEnd w:id="2"/>
    <w:p w14:paraId="16B6CE23" w14:textId="77777777" w:rsidR="008B2CC1" w:rsidRPr="00B80DE6" w:rsidRDefault="00E45755" w:rsidP="00720EFD">
      <w:pPr>
        <w:pStyle w:val="Heading1"/>
        <w:spacing w:before="0" w:after="480"/>
        <w:rPr>
          <w:sz w:val="36"/>
          <w:szCs w:val="28"/>
        </w:rPr>
      </w:pPr>
      <w:r w:rsidRPr="00B80DE6">
        <w:rPr>
          <w:caps w:val="0"/>
          <w:sz w:val="28"/>
        </w:rPr>
        <w:t xml:space="preserve">Committee on WIPO Standards </w:t>
      </w:r>
      <w:r w:rsidRPr="00B80DE6">
        <w:rPr>
          <w:sz w:val="28"/>
        </w:rPr>
        <w:t>(CWS)</w:t>
      </w:r>
    </w:p>
    <w:p w14:paraId="7E0ED54D" w14:textId="7F09F388" w:rsidR="00E45755" w:rsidRPr="00B80DE6" w:rsidRDefault="001D2EDC" w:rsidP="00E45755">
      <w:pPr>
        <w:outlineLvl w:val="1"/>
        <w:rPr>
          <w:b/>
          <w:sz w:val="24"/>
          <w:szCs w:val="24"/>
        </w:rPr>
      </w:pPr>
      <w:r w:rsidRPr="00B80DE6">
        <w:rPr>
          <w:b/>
          <w:sz w:val="24"/>
          <w:szCs w:val="24"/>
        </w:rPr>
        <w:t>T</w:t>
      </w:r>
      <w:r w:rsidR="002F3F87" w:rsidRPr="00B80DE6">
        <w:rPr>
          <w:b/>
          <w:sz w:val="24"/>
          <w:szCs w:val="24"/>
        </w:rPr>
        <w:t xml:space="preserve">welfth </w:t>
      </w:r>
      <w:r w:rsidR="00E45755" w:rsidRPr="00B80DE6">
        <w:rPr>
          <w:b/>
          <w:sz w:val="24"/>
          <w:szCs w:val="24"/>
        </w:rPr>
        <w:t>Session</w:t>
      </w:r>
    </w:p>
    <w:p w14:paraId="1A19DAD8" w14:textId="2A8BCEF4" w:rsidR="008B2CC1" w:rsidRPr="00B80DE6" w:rsidRDefault="00846CF6" w:rsidP="001D2EDC">
      <w:pPr>
        <w:spacing w:after="720"/>
        <w:outlineLvl w:val="1"/>
        <w:rPr>
          <w:b/>
          <w:sz w:val="24"/>
          <w:szCs w:val="24"/>
        </w:rPr>
      </w:pPr>
      <w:r w:rsidRPr="00B80DE6">
        <w:rPr>
          <w:b/>
          <w:sz w:val="24"/>
          <w:szCs w:val="24"/>
        </w:rPr>
        <w:t xml:space="preserve">Geneva, </w:t>
      </w:r>
      <w:r w:rsidR="002F3F87" w:rsidRPr="00B80DE6">
        <w:rPr>
          <w:b/>
          <w:sz w:val="24"/>
          <w:szCs w:val="24"/>
        </w:rPr>
        <w:t>September</w:t>
      </w:r>
      <w:r w:rsidR="001D2EDC" w:rsidRPr="00B80DE6">
        <w:rPr>
          <w:b/>
          <w:sz w:val="24"/>
          <w:szCs w:val="24"/>
        </w:rPr>
        <w:t xml:space="preserve"> </w:t>
      </w:r>
      <w:r w:rsidR="002F3F87" w:rsidRPr="00B80DE6">
        <w:rPr>
          <w:b/>
          <w:sz w:val="24"/>
          <w:szCs w:val="24"/>
        </w:rPr>
        <w:t>16</w:t>
      </w:r>
      <w:r w:rsidR="001D2EDC" w:rsidRPr="00B80DE6">
        <w:rPr>
          <w:b/>
          <w:sz w:val="24"/>
          <w:szCs w:val="24"/>
        </w:rPr>
        <w:t xml:space="preserve"> to </w:t>
      </w:r>
      <w:r w:rsidR="002F3F87" w:rsidRPr="00B80DE6">
        <w:rPr>
          <w:b/>
          <w:sz w:val="24"/>
          <w:szCs w:val="24"/>
        </w:rPr>
        <w:t>19</w:t>
      </w:r>
      <w:r w:rsidR="001D2EDC" w:rsidRPr="00B80DE6">
        <w:rPr>
          <w:b/>
          <w:sz w:val="24"/>
          <w:szCs w:val="24"/>
        </w:rPr>
        <w:t>, 202</w:t>
      </w:r>
      <w:r w:rsidR="002F3F87" w:rsidRPr="00B80DE6">
        <w:rPr>
          <w:b/>
          <w:sz w:val="24"/>
          <w:szCs w:val="24"/>
        </w:rPr>
        <w:t>4</w:t>
      </w:r>
    </w:p>
    <w:p w14:paraId="6CED4B49" w14:textId="508F3B9C" w:rsidR="008B2CC1" w:rsidRPr="00B80DE6" w:rsidRDefault="001D2EDC" w:rsidP="001D2EDC">
      <w:pPr>
        <w:spacing w:after="360"/>
        <w:outlineLvl w:val="0"/>
        <w:rPr>
          <w:caps/>
          <w:sz w:val="24"/>
        </w:rPr>
      </w:pPr>
      <w:bookmarkStart w:id="3" w:name="TitleOfDoc"/>
      <w:r w:rsidRPr="00B80DE6">
        <w:rPr>
          <w:caps/>
          <w:sz w:val="24"/>
        </w:rPr>
        <w:t>Report on 202</w:t>
      </w:r>
      <w:r w:rsidR="002F3F87" w:rsidRPr="00B80DE6">
        <w:rPr>
          <w:caps/>
          <w:sz w:val="24"/>
        </w:rPr>
        <w:t>3</w:t>
      </w:r>
      <w:r w:rsidRPr="00B80DE6">
        <w:rPr>
          <w:caps/>
          <w:sz w:val="24"/>
        </w:rPr>
        <w:t xml:space="preserve"> Annual Technical Reports (ATRs)</w:t>
      </w:r>
    </w:p>
    <w:p w14:paraId="70DD9312" w14:textId="357971B3" w:rsidR="004165AE" w:rsidRPr="00B80DE6" w:rsidRDefault="00D80CC9" w:rsidP="00A960D4">
      <w:pPr>
        <w:spacing w:after="240"/>
        <w:rPr>
          <w:i/>
        </w:rPr>
      </w:pPr>
      <w:bookmarkStart w:id="4" w:name="Prepared"/>
      <w:bookmarkEnd w:id="4"/>
      <w:bookmarkEnd w:id="3"/>
      <w:r w:rsidRPr="00B80DE6">
        <w:rPr>
          <w:i/>
        </w:rPr>
        <w:t xml:space="preserve">Document prepared by the </w:t>
      </w:r>
      <w:r w:rsidR="00A960D4" w:rsidRPr="00B80DE6">
        <w:rPr>
          <w:i/>
        </w:rPr>
        <w:t>Secretariat</w:t>
      </w:r>
    </w:p>
    <w:p w14:paraId="5A927767" w14:textId="77777777" w:rsidR="00A960D4" w:rsidRPr="00B80DE6" w:rsidRDefault="00A960D4" w:rsidP="00A27603"/>
    <w:p w14:paraId="58D8D3ED" w14:textId="77777777" w:rsidR="004165AE" w:rsidRPr="00B80DE6" w:rsidRDefault="004165AE" w:rsidP="00A960D4"/>
    <w:p w14:paraId="76343CD8" w14:textId="26A41552" w:rsidR="00AA5836" w:rsidRPr="00B80DE6" w:rsidRDefault="0049063F" w:rsidP="00AA5836">
      <w:pPr>
        <w:pStyle w:val="Heading2"/>
        <w:spacing w:before="0"/>
        <w:rPr>
          <w:rFonts w:eastAsia="Malgun Gothic"/>
          <w:caps w:val="0"/>
          <w:szCs w:val="22"/>
        </w:rPr>
      </w:pPr>
      <w:r w:rsidRPr="00B80DE6">
        <w:rPr>
          <w:rFonts w:eastAsia="Malgun Gothic"/>
          <w:caps w:val="0"/>
          <w:szCs w:val="22"/>
        </w:rPr>
        <w:t>SUMMARY</w:t>
      </w:r>
    </w:p>
    <w:p w14:paraId="3FAA0591" w14:textId="6C3690F3" w:rsidR="00A960D4" w:rsidRPr="00B80DE6" w:rsidRDefault="00AA5836" w:rsidP="00A27603">
      <w:pPr>
        <w:pStyle w:val="ONUMFS"/>
        <w:numPr>
          <w:ilvl w:val="0"/>
          <w:numId w:val="0"/>
        </w:numPr>
      </w:pPr>
      <w:r w:rsidRPr="00B80DE6">
        <w:fldChar w:fldCharType="begin"/>
      </w:r>
      <w:r w:rsidRPr="00B80DE6">
        <w:instrText xml:space="preserve"> AUTONUM  </w:instrText>
      </w:r>
      <w:r w:rsidRPr="00B80DE6">
        <w:fldChar w:fldCharType="end"/>
      </w:r>
      <w:r w:rsidRPr="00B80DE6">
        <w:tab/>
        <w:t xml:space="preserve">This document includes </w:t>
      </w:r>
      <w:r w:rsidR="004165AE" w:rsidRPr="00B80DE6">
        <w:t xml:space="preserve">information on the Annual Technical Reports (ATRs) submitted in 2024 by </w:t>
      </w:r>
      <w:r w:rsidRPr="00B80DE6">
        <w:t>Intellectual Property Offices (IPOs)</w:t>
      </w:r>
      <w:r w:rsidR="00A960D4" w:rsidRPr="00B80DE6">
        <w:t xml:space="preserve">. </w:t>
      </w:r>
      <w:r w:rsidRPr="00B80DE6">
        <w:t xml:space="preserve"> </w:t>
      </w:r>
      <w:r w:rsidR="00A960D4" w:rsidRPr="00B80DE6">
        <w:t xml:space="preserve">As the pilot period using the simplified format has concluded with </w:t>
      </w:r>
      <w:r w:rsidR="007A7BE2" w:rsidRPr="00B80DE6">
        <w:t>an increase</w:t>
      </w:r>
      <w:r w:rsidR="00A960D4" w:rsidRPr="00B80DE6">
        <w:t xml:space="preserve"> in the number of ATRs received, the International Bureau</w:t>
      </w:r>
      <w:r w:rsidR="004165AE" w:rsidRPr="00B80DE6">
        <w:t xml:space="preserve"> proposes to continue the </w:t>
      </w:r>
      <w:r w:rsidR="00A960D4" w:rsidRPr="00B80DE6">
        <w:t xml:space="preserve">collection of </w:t>
      </w:r>
      <w:r w:rsidR="004165AE" w:rsidRPr="00B80DE6">
        <w:t>ATRs.</w:t>
      </w:r>
    </w:p>
    <w:p w14:paraId="29CB192B" w14:textId="2E42C122" w:rsidR="00D80CC9" w:rsidRPr="00B80DE6" w:rsidRDefault="00D80CC9" w:rsidP="00D80CC9">
      <w:pPr>
        <w:pStyle w:val="Heading2"/>
        <w:spacing w:before="0"/>
        <w:rPr>
          <w:rFonts w:eastAsia="Malgun Gothic"/>
          <w:caps w:val="0"/>
          <w:szCs w:val="22"/>
        </w:rPr>
      </w:pPr>
      <w:r w:rsidRPr="00B80DE6">
        <w:rPr>
          <w:rFonts w:eastAsia="Malgun Gothic"/>
          <w:caps w:val="0"/>
          <w:szCs w:val="22"/>
        </w:rPr>
        <w:t>BACKGROUND</w:t>
      </w:r>
    </w:p>
    <w:p w14:paraId="37C135AE" w14:textId="7891FB88" w:rsidR="007270E2" w:rsidRPr="00B80DE6" w:rsidRDefault="007270E2" w:rsidP="00B8222D">
      <w:pPr>
        <w:pStyle w:val="ONUMFS"/>
        <w:numPr>
          <w:ilvl w:val="0"/>
          <w:numId w:val="0"/>
        </w:numPr>
      </w:pPr>
      <w:r w:rsidRPr="00B80DE6">
        <w:fldChar w:fldCharType="begin"/>
      </w:r>
      <w:r w:rsidRPr="00B80DE6">
        <w:instrText xml:space="preserve"> AUTONUM  </w:instrText>
      </w:r>
      <w:r w:rsidRPr="00B80DE6">
        <w:fldChar w:fldCharType="end"/>
      </w:r>
      <w:r w:rsidRPr="00B80DE6">
        <w:tab/>
      </w:r>
      <w:r w:rsidR="0069725D" w:rsidRPr="00B80DE6">
        <w:t xml:space="preserve">ATRs have been collected by the International Bureau since 1978 and published on the WIPO website since 1998.  </w:t>
      </w:r>
      <w:r w:rsidRPr="00B80DE6">
        <w:t xml:space="preserve">IPOs </w:t>
      </w:r>
      <w:r w:rsidR="0069725D" w:rsidRPr="00B80DE6">
        <w:t>continue to be</w:t>
      </w:r>
      <w:r w:rsidRPr="00B80DE6">
        <w:t xml:space="preserve"> invited to submit their ATRs under the framework of Task No. 24 whose description reads:</w:t>
      </w:r>
    </w:p>
    <w:p w14:paraId="13525BBC" w14:textId="477ADAE9" w:rsidR="007270E2" w:rsidRPr="00B80DE6" w:rsidRDefault="00AA5836" w:rsidP="00A27603">
      <w:pPr>
        <w:pStyle w:val="ONUMFS"/>
        <w:numPr>
          <w:ilvl w:val="0"/>
          <w:numId w:val="0"/>
        </w:numPr>
        <w:ind w:left="567"/>
        <w:rPr>
          <w:i/>
          <w:iCs/>
        </w:rPr>
      </w:pPr>
      <w:r w:rsidRPr="00B80DE6">
        <w:rPr>
          <w:i/>
          <w:iCs/>
        </w:rPr>
        <w:t>“</w:t>
      </w:r>
      <w:r w:rsidR="007270E2" w:rsidRPr="00B80DE6">
        <w:rPr>
          <w:i/>
          <w:iCs/>
        </w:rPr>
        <w:t>Collect and publish Annual Technical Reports (ATRs) on Patent, Trademark and Industrial Design Information Activities of the CWS Members (ATR/PI, ATR/TM, ATR/ID)</w:t>
      </w:r>
      <w:r w:rsidRPr="00B80DE6">
        <w:rPr>
          <w:i/>
          <w:iCs/>
        </w:rPr>
        <w:t>”</w:t>
      </w:r>
    </w:p>
    <w:p w14:paraId="15A03588" w14:textId="136B8659" w:rsidR="000E55FC" w:rsidRPr="00B80DE6" w:rsidRDefault="00D80CC9" w:rsidP="003327B1">
      <w:r w:rsidRPr="00B80DE6">
        <w:fldChar w:fldCharType="begin"/>
      </w:r>
      <w:r w:rsidRPr="00B80DE6">
        <w:instrText xml:space="preserve"> AUTONUM  </w:instrText>
      </w:r>
      <w:r w:rsidRPr="00B80DE6">
        <w:fldChar w:fldCharType="end"/>
      </w:r>
      <w:r w:rsidRPr="00B80DE6">
        <w:tab/>
        <w:t xml:space="preserve">At its </w:t>
      </w:r>
      <w:r w:rsidR="00A40E21" w:rsidRPr="00B80DE6">
        <w:t xml:space="preserve">ninth </w:t>
      </w:r>
      <w:r w:rsidRPr="00B80DE6">
        <w:t>session in 20</w:t>
      </w:r>
      <w:r w:rsidR="00A40E21" w:rsidRPr="00B80DE6">
        <w:t>2</w:t>
      </w:r>
      <w:r w:rsidRPr="00B80DE6">
        <w:t xml:space="preserve">1, </w:t>
      </w:r>
      <w:r w:rsidR="00E220C0" w:rsidRPr="00B80DE6">
        <w:t xml:space="preserve">after noting the declining participation and usefulness </w:t>
      </w:r>
      <w:r w:rsidRPr="00B80DE6">
        <w:t xml:space="preserve">the </w:t>
      </w:r>
      <w:r w:rsidR="00A960D4" w:rsidRPr="00B80DE6">
        <w:t xml:space="preserve">CWS considered two options proposed </w:t>
      </w:r>
      <w:r w:rsidR="00E220C0" w:rsidRPr="00B80DE6">
        <w:t>by the International Bureau</w:t>
      </w:r>
      <w:r w:rsidR="00A960D4" w:rsidRPr="00B80DE6">
        <w:t xml:space="preserve"> to improve</w:t>
      </w:r>
      <w:r w:rsidR="000E55FC" w:rsidRPr="00B80DE6">
        <w:t xml:space="preserve"> ATR collection: discontinuing ATR collection and simplifying ATR collection</w:t>
      </w:r>
      <w:r w:rsidR="00A960D4" w:rsidRPr="00B80DE6">
        <w:t xml:space="preserve"> by collecting links to </w:t>
      </w:r>
      <w:r w:rsidR="00E220C0" w:rsidRPr="00B80DE6">
        <w:t xml:space="preserve">this </w:t>
      </w:r>
      <w:r w:rsidR="00A960D4" w:rsidRPr="00B80DE6">
        <w:t xml:space="preserve">information </w:t>
      </w:r>
      <w:r w:rsidR="00E220C0" w:rsidRPr="00B80DE6">
        <w:t>from</w:t>
      </w:r>
      <w:r w:rsidR="00A960D4" w:rsidRPr="00B80DE6">
        <w:t xml:space="preserve"> IPO websites. </w:t>
      </w:r>
      <w:r w:rsidR="000E55FC" w:rsidRPr="00B80DE6">
        <w:t xml:space="preserve"> </w:t>
      </w:r>
      <w:r w:rsidR="00A960D4" w:rsidRPr="00B80DE6">
        <w:t xml:space="preserve">These options were prepared by the International Bureau </w:t>
      </w:r>
      <w:r w:rsidR="000E55FC" w:rsidRPr="00B80DE6">
        <w:t xml:space="preserve">on the basis </w:t>
      </w:r>
      <w:r w:rsidR="00A960D4" w:rsidRPr="00B80DE6">
        <w:t xml:space="preserve">that this type of information is now typically widely available through other sources and so the original purposes of these ATRs may </w:t>
      </w:r>
      <w:r w:rsidR="00006654">
        <w:rPr>
          <w:rFonts w:eastAsia="MS Mincho" w:hint="eastAsia"/>
          <w:lang w:eastAsia="ja-JP"/>
        </w:rPr>
        <w:t xml:space="preserve">have been </w:t>
      </w:r>
      <w:r w:rsidR="00A960D4" w:rsidRPr="00B80DE6">
        <w:t xml:space="preserve">fulfilled through other means.  </w:t>
      </w:r>
      <w:r w:rsidR="00E220C0" w:rsidRPr="00B80DE6">
        <w:t>In particular,</w:t>
      </w:r>
      <w:r w:rsidR="000E55FC" w:rsidRPr="00B80DE6">
        <w:t xml:space="preserve"> </w:t>
      </w:r>
      <w:r w:rsidR="00424C14" w:rsidRPr="00B80DE6">
        <w:t xml:space="preserve">relevant technical </w:t>
      </w:r>
      <w:r w:rsidR="00E220C0" w:rsidRPr="00B80DE6">
        <w:t xml:space="preserve">data </w:t>
      </w:r>
      <w:r w:rsidR="00424C14" w:rsidRPr="00B80DE6">
        <w:t>is available</w:t>
      </w:r>
      <w:r w:rsidR="00E220C0" w:rsidRPr="00B80DE6">
        <w:t xml:space="preserve"> </w:t>
      </w:r>
      <w:r w:rsidR="000E55FC" w:rsidRPr="00B80DE6">
        <w:t xml:space="preserve">in IPO annual reports and websites, </w:t>
      </w:r>
      <w:r w:rsidR="00A960D4" w:rsidRPr="00B80DE6">
        <w:t>the</w:t>
      </w:r>
      <w:r w:rsidR="000E55FC" w:rsidRPr="00B80DE6">
        <w:t xml:space="preserve"> numbers of ATRs provided</w:t>
      </w:r>
      <w:r w:rsidR="00424C14" w:rsidRPr="00B80DE6">
        <w:t xml:space="preserve"> </w:t>
      </w:r>
      <w:r w:rsidR="00006654">
        <w:rPr>
          <w:rFonts w:eastAsia="MS Mincho" w:hint="eastAsia"/>
          <w:lang w:eastAsia="ja-JP"/>
        </w:rPr>
        <w:t>are</w:t>
      </w:r>
      <w:r w:rsidR="00424C14" w:rsidRPr="00B80DE6">
        <w:t xml:space="preserve"> declining</w:t>
      </w:r>
      <w:r w:rsidR="000E55FC" w:rsidRPr="00B80DE6">
        <w:t xml:space="preserve">, and </w:t>
      </w:r>
      <w:r w:rsidR="00A960D4" w:rsidRPr="00B80DE6">
        <w:t>the</w:t>
      </w:r>
      <w:r w:rsidR="00424C14" w:rsidRPr="00B80DE6">
        <w:t>re are a</w:t>
      </w:r>
      <w:r w:rsidR="000E55FC" w:rsidRPr="00B80DE6">
        <w:t xml:space="preserve"> small number of user visits to ATRs.  (See document CWS/9/18.)</w:t>
      </w:r>
    </w:p>
    <w:p w14:paraId="624BDE62" w14:textId="77777777" w:rsidR="000E55FC" w:rsidRPr="00B80DE6" w:rsidRDefault="000E55FC" w:rsidP="003327B1"/>
    <w:p w14:paraId="064D9B9E" w14:textId="6BC75814" w:rsidR="00A960D4" w:rsidRPr="00B80DE6" w:rsidRDefault="000E55FC" w:rsidP="003327B1">
      <w:r w:rsidRPr="00B80DE6">
        <w:fldChar w:fldCharType="begin"/>
      </w:r>
      <w:r w:rsidRPr="00B80DE6">
        <w:instrText xml:space="preserve"> AUTONUM  </w:instrText>
      </w:r>
      <w:r w:rsidRPr="00B80DE6">
        <w:fldChar w:fldCharType="end"/>
      </w:r>
      <w:r w:rsidRPr="00B80DE6">
        <w:tab/>
        <w:t>At the same session, the CWS</w:t>
      </w:r>
      <w:r w:rsidR="004165AE" w:rsidRPr="00B80DE6">
        <w:t xml:space="preserve"> </w:t>
      </w:r>
      <w:r w:rsidR="00A960D4" w:rsidRPr="00B80DE6">
        <w:t>agreed to tr</w:t>
      </w:r>
      <w:r w:rsidR="00006654">
        <w:rPr>
          <w:rFonts w:eastAsia="MS Mincho" w:hint="eastAsia"/>
          <w:lang w:eastAsia="ja-JP"/>
        </w:rPr>
        <w:t>y</w:t>
      </w:r>
      <w:r w:rsidR="00A960D4" w:rsidRPr="00B80DE6">
        <w:t xml:space="preserve"> the use of</w:t>
      </w:r>
      <w:r w:rsidR="00A40E21" w:rsidRPr="00B80DE6">
        <w:t xml:space="preserve"> a simplified format where IPOs </w:t>
      </w:r>
      <w:r w:rsidR="0064199E" w:rsidRPr="00B80DE6">
        <w:t xml:space="preserve">may </w:t>
      </w:r>
      <w:r w:rsidR="00A40E21" w:rsidRPr="00B80DE6">
        <w:t xml:space="preserve">provide links to </w:t>
      </w:r>
      <w:r w:rsidR="00E72584" w:rsidRPr="00B80DE6">
        <w:t xml:space="preserve">their </w:t>
      </w:r>
      <w:r w:rsidR="00A40E21" w:rsidRPr="00B80DE6">
        <w:t>a</w:t>
      </w:r>
      <w:r w:rsidR="00E72584" w:rsidRPr="00B80DE6">
        <w:t xml:space="preserve">nnual </w:t>
      </w:r>
      <w:r w:rsidR="00A40E21" w:rsidRPr="00B80DE6">
        <w:t>r</w:t>
      </w:r>
      <w:r w:rsidR="00E72584" w:rsidRPr="00B80DE6">
        <w:t>eport</w:t>
      </w:r>
      <w:r w:rsidR="00A40E21" w:rsidRPr="00B80DE6">
        <w:t xml:space="preserve"> or website instead of </w:t>
      </w:r>
      <w:r w:rsidR="0069725D" w:rsidRPr="00B80DE6">
        <w:t xml:space="preserve">detailing their activities and systems through a </w:t>
      </w:r>
      <w:r w:rsidR="00A40E21" w:rsidRPr="00B80DE6">
        <w:t>text</w:t>
      </w:r>
      <w:r w:rsidR="0064199E" w:rsidRPr="00B80DE6">
        <w:t xml:space="preserve"> </w:t>
      </w:r>
      <w:r w:rsidR="0069725D" w:rsidRPr="00B80DE6">
        <w:t>submission,</w:t>
      </w:r>
      <w:r w:rsidR="00A960D4" w:rsidRPr="00B80DE6">
        <w:t xml:space="preserve"> for a period of 3 years (see paragraph 104 of document </w:t>
      </w:r>
      <w:r w:rsidR="00A960D4" w:rsidRPr="00B80DE6">
        <w:lastRenderedPageBreak/>
        <w:t>CWS/9/25)</w:t>
      </w:r>
      <w:r w:rsidR="00E72584" w:rsidRPr="00B80DE6">
        <w:t xml:space="preserve">.  </w:t>
      </w:r>
      <w:r w:rsidR="004165AE" w:rsidRPr="00B80DE6">
        <w:t xml:space="preserve">The CWS also agreed </w:t>
      </w:r>
      <w:r w:rsidR="00C4575D" w:rsidRPr="00B80DE6">
        <w:t xml:space="preserve">that after this time that </w:t>
      </w:r>
      <w:r w:rsidR="00006654">
        <w:rPr>
          <w:rFonts w:eastAsia="MS Mincho" w:hint="eastAsia"/>
          <w:lang w:eastAsia="ja-JP"/>
        </w:rPr>
        <w:t>i</w:t>
      </w:r>
      <w:r w:rsidR="00C4575D" w:rsidRPr="00B80DE6">
        <w:t>t</w:t>
      </w:r>
      <w:r w:rsidR="00E72584" w:rsidRPr="00B80DE6">
        <w:t xml:space="preserve"> </w:t>
      </w:r>
      <w:r w:rsidR="0064199E" w:rsidRPr="00B80DE6">
        <w:t>reconsider</w:t>
      </w:r>
      <w:r w:rsidR="00006654">
        <w:rPr>
          <w:rFonts w:eastAsia="MS Mincho" w:hint="eastAsia"/>
          <w:lang w:eastAsia="ja-JP"/>
        </w:rPr>
        <w:t>s</w:t>
      </w:r>
      <w:r w:rsidR="0064199E" w:rsidRPr="00B80DE6">
        <w:t xml:space="preserve"> whether to continue ATR collection</w:t>
      </w:r>
      <w:r w:rsidR="004165AE" w:rsidRPr="00B80DE6">
        <w:t xml:space="preserve"> </w:t>
      </w:r>
      <w:r w:rsidR="004165AE" w:rsidRPr="00B80DE6">
        <w:rPr>
          <w:noProof/>
        </w:rPr>
        <w:t>at its twelveth session</w:t>
      </w:r>
      <w:r w:rsidR="00D80CC9" w:rsidRPr="00B80DE6">
        <w:t>.  (</w:t>
      </w:r>
      <w:r w:rsidR="0064199E" w:rsidRPr="00B80DE6">
        <w:t>See paragrap</w:t>
      </w:r>
      <w:r w:rsidR="00C4575D" w:rsidRPr="00B80DE6">
        <w:t xml:space="preserve">h </w:t>
      </w:r>
      <w:r w:rsidR="0064199E" w:rsidRPr="00B80DE6">
        <w:t>105 of document CWS/9/25)</w:t>
      </w:r>
      <w:r w:rsidR="00D15801" w:rsidRPr="00B80DE6">
        <w:t>.</w:t>
      </w:r>
    </w:p>
    <w:p w14:paraId="0F2026DE" w14:textId="77777777" w:rsidR="004165AE" w:rsidRPr="00B80DE6" w:rsidRDefault="004165AE" w:rsidP="007A7BE2"/>
    <w:p w14:paraId="3702407F" w14:textId="1154573C" w:rsidR="007270E2" w:rsidRPr="00B80DE6" w:rsidRDefault="007270E2" w:rsidP="007270E2">
      <w:pPr>
        <w:pStyle w:val="Heading2"/>
        <w:spacing w:before="0"/>
      </w:pPr>
      <w:r w:rsidRPr="00B80DE6">
        <w:rPr>
          <w:rFonts w:eastAsia="Malgun Gothic"/>
          <w:caps w:val="0"/>
          <w:szCs w:val="22"/>
        </w:rPr>
        <w:t>202</w:t>
      </w:r>
      <w:r w:rsidR="004165AE" w:rsidRPr="00B80DE6">
        <w:rPr>
          <w:rFonts w:eastAsia="Malgun Gothic"/>
          <w:caps w:val="0"/>
          <w:szCs w:val="22"/>
        </w:rPr>
        <w:t>3</w:t>
      </w:r>
      <w:r w:rsidRPr="00B80DE6">
        <w:rPr>
          <w:rFonts w:eastAsia="Malgun Gothic"/>
          <w:caps w:val="0"/>
          <w:szCs w:val="22"/>
        </w:rPr>
        <w:t xml:space="preserve"> ACTIVIT</w:t>
      </w:r>
      <w:r w:rsidR="004165AE" w:rsidRPr="00B80DE6">
        <w:rPr>
          <w:rFonts w:eastAsia="Malgun Gothic"/>
          <w:caps w:val="0"/>
          <w:szCs w:val="22"/>
        </w:rPr>
        <w:t>Y</w:t>
      </w:r>
      <w:r w:rsidRPr="00B80DE6">
        <w:rPr>
          <w:rFonts w:eastAsia="Malgun Gothic"/>
          <w:caps w:val="0"/>
          <w:szCs w:val="22"/>
        </w:rPr>
        <w:t xml:space="preserve"> REPORT</w:t>
      </w:r>
      <w:r w:rsidR="004165AE" w:rsidRPr="00B80DE6">
        <w:rPr>
          <w:rFonts w:eastAsia="Malgun Gothic"/>
          <w:caps w:val="0"/>
          <w:szCs w:val="22"/>
        </w:rPr>
        <w:t>S</w:t>
      </w:r>
    </w:p>
    <w:p w14:paraId="165314A4" w14:textId="0D866CAE" w:rsidR="00B80DE6" w:rsidRPr="00B80DE6" w:rsidRDefault="000458E1" w:rsidP="00A27603">
      <w:pPr>
        <w:pStyle w:val="ONUMFS"/>
        <w:numPr>
          <w:ilvl w:val="0"/>
          <w:numId w:val="0"/>
        </w:numPr>
      </w:pPr>
      <w:r w:rsidRPr="00B80DE6">
        <w:fldChar w:fldCharType="begin"/>
      </w:r>
      <w:r w:rsidRPr="00B80DE6">
        <w:instrText xml:space="preserve"> AUTONUM  </w:instrText>
      </w:r>
      <w:r w:rsidRPr="00B80DE6">
        <w:fldChar w:fldCharType="end"/>
      </w:r>
      <w:r w:rsidRPr="00B80DE6">
        <w:tab/>
        <w:t>In April 202</w:t>
      </w:r>
      <w:r w:rsidR="007270E2" w:rsidRPr="00B80DE6">
        <w:t>4</w:t>
      </w:r>
      <w:r w:rsidRPr="00B80DE6">
        <w:t xml:space="preserve">, the Secretariat issued </w:t>
      </w:r>
      <w:r w:rsidR="00C4575D" w:rsidRPr="00B80DE6">
        <w:t>c</w:t>
      </w:r>
      <w:r w:rsidRPr="00B80DE6">
        <w:t>irculars C.CWS</w:t>
      </w:r>
      <w:r w:rsidR="00C4575D" w:rsidRPr="00B80DE6">
        <w:t>.</w:t>
      </w:r>
      <w:r w:rsidRPr="00B80DE6">
        <w:t xml:space="preserve">182, </w:t>
      </w:r>
      <w:r w:rsidR="00C4575D" w:rsidRPr="00B80DE6">
        <w:t>C.CWS.</w:t>
      </w:r>
      <w:r w:rsidRPr="00B80DE6">
        <w:t xml:space="preserve">183, and </w:t>
      </w:r>
      <w:r w:rsidR="00C4575D" w:rsidRPr="00B80DE6">
        <w:t>C.CWS.</w:t>
      </w:r>
      <w:r w:rsidRPr="00B80DE6">
        <w:t xml:space="preserve">184 requesting IPOs to submit ATRs on their </w:t>
      </w:r>
      <w:r w:rsidR="00C4575D" w:rsidRPr="00B80DE6">
        <w:t xml:space="preserve">technical </w:t>
      </w:r>
      <w:r w:rsidRPr="00B80DE6">
        <w:t>activities in 2023</w:t>
      </w:r>
      <w:r w:rsidR="00C4575D" w:rsidRPr="00B80DE6">
        <w:t>, for each of the main industrial property rights</w:t>
      </w:r>
      <w:r w:rsidRPr="00B80DE6">
        <w:t xml:space="preserve">.  </w:t>
      </w:r>
      <w:r w:rsidR="004A0FFE" w:rsidRPr="00B80DE6">
        <w:t>Twenty-four</w:t>
      </w:r>
      <w:r w:rsidRPr="00B80DE6">
        <w:t xml:space="preserve"> IPOs</w:t>
      </w:r>
      <w:r w:rsidR="004A0FFE" w:rsidRPr="00B80DE6">
        <w:t xml:space="preserve"> submitted 65 ATRs</w:t>
      </w:r>
      <w:r w:rsidRPr="00B80DE6">
        <w:t xml:space="preserve">.  This represents a slight </w:t>
      </w:r>
      <w:r w:rsidR="004A0FFE" w:rsidRPr="00B80DE6">
        <w:t>increase</w:t>
      </w:r>
      <w:r w:rsidRPr="00B80DE6">
        <w:t xml:space="preserve"> from last year, when </w:t>
      </w:r>
      <w:r w:rsidR="004A0FFE" w:rsidRPr="00B80DE6">
        <w:t xml:space="preserve">53 </w:t>
      </w:r>
      <w:r w:rsidRPr="00B80DE6">
        <w:t xml:space="preserve">submissions were received from </w:t>
      </w:r>
      <w:r w:rsidR="004A0FFE" w:rsidRPr="00B80DE6">
        <w:t>24</w:t>
      </w:r>
      <w:r w:rsidRPr="00B80DE6">
        <w:t xml:space="preserve"> IPOs on their activities in 202</w:t>
      </w:r>
      <w:r w:rsidR="004A0FFE" w:rsidRPr="00B80DE6">
        <w:t>2</w:t>
      </w:r>
      <w:r w:rsidRPr="00B80DE6">
        <w:t>.</w:t>
      </w:r>
      <w:r w:rsidR="007270E2" w:rsidRPr="00B80DE6">
        <w:t xml:space="preserve">  </w:t>
      </w:r>
      <w:r w:rsidRPr="00B80DE6">
        <w:t xml:space="preserve">The 2023 ATRs are published </w:t>
      </w:r>
      <w:r w:rsidR="00C4575D" w:rsidRPr="00B80DE6">
        <w:t>o</w:t>
      </w:r>
      <w:r w:rsidRPr="00B80DE6">
        <w:t xml:space="preserve">n the ATRs wiki at: </w:t>
      </w:r>
      <w:hyperlink r:id="rId9" w:history="1">
        <w:r w:rsidR="00B80DE6">
          <w:rPr>
            <w:rStyle w:val="Hyperlink"/>
          </w:rPr>
          <w:t>https://www3.wipo.int/confluence/display/ATR/Browse+by+Year</w:t>
        </w:r>
      </w:hyperlink>
      <w:r w:rsidRPr="00B80DE6">
        <w:t>.</w:t>
      </w:r>
    </w:p>
    <w:p w14:paraId="25D5BCDB" w14:textId="0C4B953F" w:rsidR="002F3F87" w:rsidRPr="00B80DE6" w:rsidRDefault="004165AE" w:rsidP="00B80DE6">
      <w:pPr>
        <w:pStyle w:val="Heading2"/>
        <w:spacing w:before="0"/>
      </w:pPr>
      <w:r w:rsidRPr="00B80DE6">
        <w:rPr>
          <w:rFonts w:eastAsia="Malgun Gothic"/>
          <w:caps w:val="0"/>
          <w:szCs w:val="22"/>
        </w:rPr>
        <w:t xml:space="preserve">PROPOSAL </w:t>
      </w:r>
      <w:r w:rsidR="0049063F" w:rsidRPr="00B80DE6">
        <w:rPr>
          <w:rFonts w:eastAsia="Malgun Gothic"/>
          <w:caps w:val="0"/>
          <w:szCs w:val="22"/>
        </w:rPr>
        <w:t>FOR CONTINUATION</w:t>
      </w:r>
    </w:p>
    <w:p w14:paraId="596720B5" w14:textId="14C491FF" w:rsidR="00E92E82" w:rsidRPr="002C0B18" w:rsidRDefault="002F3F87" w:rsidP="002C0B18">
      <w:pPr>
        <w:spacing w:after="240"/>
      </w:pPr>
      <w:r w:rsidRPr="00B80DE6">
        <w:rPr>
          <w:noProof/>
        </w:rPr>
        <w:fldChar w:fldCharType="begin"/>
      </w:r>
      <w:r w:rsidRPr="00B80DE6">
        <w:rPr>
          <w:noProof/>
        </w:rPr>
        <w:instrText xml:space="preserve"> AUTONUM  </w:instrText>
      </w:r>
      <w:r w:rsidRPr="00B80DE6">
        <w:rPr>
          <w:noProof/>
        </w:rPr>
        <w:fldChar w:fldCharType="end"/>
      </w:r>
      <w:r w:rsidRPr="00B80DE6">
        <w:rPr>
          <w:noProof/>
        </w:rPr>
        <w:tab/>
      </w:r>
      <w:r w:rsidR="004A0FFE" w:rsidRPr="00B80DE6">
        <w:rPr>
          <w:noProof/>
        </w:rPr>
        <w:t>D</w:t>
      </w:r>
      <w:r w:rsidRPr="00B80DE6">
        <w:rPr>
          <w:noProof/>
        </w:rPr>
        <w:t>urin</w:t>
      </w:r>
      <w:r w:rsidR="00C4575D" w:rsidRPr="00B80DE6">
        <w:rPr>
          <w:noProof/>
        </w:rPr>
        <w:t>g</w:t>
      </w:r>
      <w:r w:rsidRPr="00B80DE6">
        <w:rPr>
          <w:noProof/>
        </w:rPr>
        <w:t xml:space="preserve"> the </w:t>
      </w:r>
      <w:r w:rsidR="00C4575D" w:rsidRPr="00B80DE6">
        <w:rPr>
          <w:noProof/>
        </w:rPr>
        <w:t>past three years</w:t>
      </w:r>
      <w:r w:rsidR="004A0FFE" w:rsidRPr="00B80DE6">
        <w:rPr>
          <w:noProof/>
        </w:rPr>
        <w:t xml:space="preserve">, ATR </w:t>
      </w:r>
      <w:r w:rsidR="004A0FFE" w:rsidRPr="00B80DE6">
        <w:t>s</w:t>
      </w:r>
      <w:r w:rsidR="00E92E82" w:rsidRPr="00B80DE6">
        <w:t>ubmissions were received from 17 IPOs</w:t>
      </w:r>
      <w:r w:rsidR="008A5DDA" w:rsidRPr="00B80DE6">
        <w:t xml:space="preserve"> </w:t>
      </w:r>
      <w:r w:rsidR="00EB5DE4" w:rsidRPr="00B80DE6">
        <w:t xml:space="preserve">in </w:t>
      </w:r>
      <w:r w:rsidR="008A5DDA" w:rsidRPr="00B80DE6">
        <w:t>2022</w:t>
      </w:r>
      <w:r w:rsidR="00EB5DE4" w:rsidRPr="00B80DE6">
        <w:t>; 24 IPOs in 2023; and</w:t>
      </w:r>
      <w:r w:rsidR="004A0FFE" w:rsidRPr="00B80DE6">
        <w:t xml:space="preserve"> </w:t>
      </w:r>
      <w:r w:rsidR="0049063F" w:rsidRPr="00B80DE6">
        <w:t>24</w:t>
      </w:r>
      <w:r w:rsidR="00EB5DE4" w:rsidRPr="00B80DE6">
        <w:t xml:space="preserve"> IPOs in 2024</w:t>
      </w:r>
      <w:r w:rsidR="00E92E82" w:rsidRPr="00B80DE6">
        <w:t xml:space="preserve">.  </w:t>
      </w:r>
      <w:r w:rsidR="007738E9" w:rsidRPr="00B80DE6">
        <w:t xml:space="preserve">The International Bureau notes that the number of ATR submissions has been increased during the pilot period and the simplified template seems helpful to streamline the preparation of ATRs by IPOs. </w:t>
      </w:r>
      <w:r w:rsidR="002C0B18">
        <w:t xml:space="preserve"> </w:t>
      </w:r>
      <w:r w:rsidR="003327B1" w:rsidRPr="00B80DE6">
        <w:rPr>
          <w:noProof/>
          <w:szCs w:val="22"/>
        </w:rPr>
        <w:t>Further detail regarding specific numbers for each IP Right type is provided in the table below:</w:t>
      </w:r>
    </w:p>
    <w:tbl>
      <w:tblPr>
        <w:tblStyle w:val="TableGrid"/>
        <w:tblW w:w="0" w:type="auto"/>
        <w:tblLook w:val="04A0" w:firstRow="1" w:lastRow="0" w:firstColumn="1" w:lastColumn="0" w:noHBand="0" w:noVBand="1"/>
      </w:tblPr>
      <w:tblGrid>
        <w:gridCol w:w="2695"/>
        <w:gridCol w:w="1886"/>
        <w:gridCol w:w="2375"/>
        <w:gridCol w:w="2392"/>
      </w:tblGrid>
      <w:tr w:rsidR="008A5DDA" w:rsidRPr="00B80DE6" w14:paraId="24352436" w14:textId="77777777" w:rsidTr="005978F0">
        <w:tc>
          <w:tcPr>
            <w:tcW w:w="2695" w:type="dxa"/>
            <w:shd w:val="clear" w:color="auto" w:fill="D9D9D9" w:themeFill="background1" w:themeFillShade="D9"/>
          </w:tcPr>
          <w:p w14:paraId="1501F499" w14:textId="77777777" w:rsidR="008A5DDA" w:rsidRPr="00B80DE6" w:rsidRDefault="008A5DDA" w:rsidP="00B470EC">
            <w:pPr>
              <w:jc w:val="center"/>
              <w:rPr>
                <w:b/>
                <w:bCs/>
                <w:noProof/>
                <w:szCs w:val="22"/>
              </w:rPr>
            </w:pPr>
            <w:r w:rsidRPr="00B80DE6">
              <w:rPr>
                <w:b/>
                <w:bCs/>
                <w:noProof/>
                <w:szCs w:val="22"/>
              </w:rPr>
              <w:t>ATR Type</w:t>
            </w:r>
          </w:p>
        </w:tc>
        <w:tc>
          <w:tcPr>
            <w:tcW w:w="1886" w:type="dxa"/>
            <w:shd w:val="clear" w:color="auto" w:fill="D9D9D9" w:themeFill="background1" w:themeFillShade="D9"/>
          </w:tcPr>
          <w:p w14:paraId="64261459" w14:textId="114B417D" w:rsidR="008A5DDA" w:rsidRPr="00B80DE6" w:rsidRDefault="008A5DDA" w:rsidP="008A5DDA">
            <w:pPr>
              <w:jc w:val="center"/>
              <w:rPr>
                <w:b/>
                <w:bCs/>
                <w:noProof/>
                <w:szCs w:val="22"/>
              </w:rPr>
            </w:pPr>
            <w:r w:rsidRPr="00B80DE6">
              <w:rPr>
                <w:b/>
                <w:bCs/>
                <w:noProof/>
                <w:szCs w:val="22"/>
              </w:rPr>
              <w:t>202</w:t>
            </w:r>
            <w:r w:rsidR="00A1669B">
              <w:rPr>
                <w:b/>
                <w:bCs/>
                <w:noProof/>
                <w:szCs w:val="22"/>
              </w:rPr>
              <w:t>1</w:t>
            </w:r>
            <w:r w:rsidRPr="00B80DE6">
              <w:rPr>
                <w:b/>
                <w:bCs/>
                <w:noProof/>
                <w:szCs w:val="22"/>
              </w:rPr>
              <w:t xml:space="preserve"> activites</w:t>
            </w:r>
          </w:p>
        </w:tc>
        <w:tc>
          <w:tcPr>
            <w:tcW w:w="2375" w:type="dxa"/>
            <w:shd w:val="clear" w:color="auto" w:fill="D9D9D9" w:themeFill="background1" w:themeFillShade="D9"/>
          </w:tcPr>
          <w:p w14:paraId="07115CAA" w14:textId="163AADB1" w:rsidR="008A5DDA" w:rsidRPr="00B80DE6" w:rsidRDefault="008A5DDA" w:rsidP="00B470EC">
            <w:pPr>
              <w:jc w:val="center"/>
              <w:rPr>
                <w:b/>
                <w:bCs/>
                <w:noProof/>
                <w:szCs w:val="22"/>
              </w:rPr>
            </w:pPr>
            <w:r w:rsidRPr="00B80DE6">
              <w:rPr>
                <w:b/>
                <w:bCs/>
                <w:noProof/>
                <w:szCs w:val="22"/>
              </w:rPr>
              <w:t>2022 activites</w:t>
            </w:r>
          </w:p>
        </w:tc>
        <w:tc>
          <w:tcPr>
            <w:tcW w:w="2392" w:type="dxa"/>
            <w:shd w:val="clear" w:color="auto" w:fill="D9D9D9" w:themeFill="background1" w:themeFillShade="D9"/>
          </w:tcPr>
          <w:p w14:paraId="401C9962" w14:textId="45BB2A33" w:rsidR="008A5DDA" w:rsidRPr="00B80DE6" w:rsidRDefault="008A5DDA" w:rsidP="00B470EC">
            <w:pPr>
              <w:jc w:val="center"/>
              <w:rPr>
                <w:b/>
                <w:bCs/>
                <w:noProof/>
                <w:szCs w:val="22"/>
              </w:rPr>
            </w:pPr>
            <w:r w:rsidRPr="00B80DE6">
              <w:rPr>
                <w:b/>
                <w:bCs/>
                <w:noProof/>
                <w:szCs w:val="22"/>
              </w:rPr>
              <w:t>202</w:t>
            </w:r>
            <w:r w:rsidR="00A1669B">
              <w:rPr>
                <w:b/>
                <w:bCs/>
                <w:noProof/>
                <w:szCs w:val="22"/>
              </w:rPr>
              <w:t>3</w:t>
            </w:r>
            <w:r w:rsidRPr="00B80DE6">
              <w:rPr>
                <w:b/>
                <w:bCs/>
                <w:noProof/>
                <w:szCs w:val="22"/>
              </w:rPr>
              <w:t xml:space="preserve"> activities</w:t>
            </w:r>
          </w:p>
        </w:tc>
      </w:tr>
      <w:tr w:rsidR="008A5DDA" w:rsidRPr="00B80DE6" w14:paraId="2BF2675E" w14:textId="77777777" w:rsidTr="005978F0">
        <w:tc>
          <w:tcPr>
            <w:tcW w:w="2695" w:type="dxa"/>
          </w:tcPr>
          <w:p w14:paraId="25BAFCC4" w14:textId="77777777" w:rsidR="008A5DDA" w:rsidRPr="00B80DE6" w:rsidRDefault="008A5DDA" w:rsidP="00B470EC">
            <w:pPr>
              <w:rPr>
                <w:noProof/>
                <w:szCs w:val="22"/>
              </w:rPr>
            </w:pPr>
            <w:r w:rsidRPr="00B80DE6">
              <w:rPr>
                <w:noProof/>
                <w:szCs w:val="22"/>
              </w:rPr>
              <w:t>Industrial Designs Information</w:t>
            </w:r>
          </w:p>
        </w:tc>
        <w:tc>
          <w:tcPr>
            <w:tcW w:w="1886" w:type="dxa"/>
          </w:tcPr>
          <w:p w14:paraId="04D5E5D4" w14:textId="4213D25A" w:rsidR="008A5DDA" w:rsidRPr="00B80DE6" w:rsidRDefault="004A0FFE" w:rsidP="00B470EC">
            <w:pPr>
              <w:jc w:val="center"/>
              <w:rPr>
                <w:noProof/>
                <w:szCs w:val="22"/>
              </w:rPr>
            </w:pPr>
            <w:r w:rsidRPr="00B80DE6">
              <w:rPr>
                <w:noProof/>
                <w:szCs w:val="22"/>
              </w:rPr>
              <w:t>1</w:t>
            </w:r>
            <w:r w:rsidR="00A1669B">
              <w:rPr>
                <w:noProof/>
                <w:szCs w:val="22"/>
              </w:rPr>
              <w:t>5</w:t>
            </w:r>
          </w:p>
        </w:tc>
        <w:tc>
          <w:tcPr>
            <w:tcW w:w="2375" w:type="dxa"/>
          </w:tcPr>
          <w:p w14:paraId="117FBA2E" w14:textId="23E78B40" w:rsidR="008A5DDA" w:rsidRPr="00B80DE6" w:rsidRDefault="008A5DDA" w:rsidP="00B470EC">
            <w:pPr>
              <w:jc w:val="center"/>
              <w:rPr>
                <w:noProof/>
                <w:szCs w:val="22"/>
              </w:rPr>
            </w:pPr>
            <w:r w:rsidRPr="00B80DE6">
              <w:rPr>
                <w:noProof/>
                <w:szCs w:val="22"/>
              </w:rPr>
              <w:t>18</w:t>
            </w:r>
          </w:p>
        </w:tc>
        <w:tc>
          <w:tcPr>
            <w:tcW w:w="2392" w:type="dxa"/>
          </w:tcPr>
          <w:p w14:paraId="6C163B6B" w14:textId="0EF66F19" w:rsidR="008A5DDA" w:rsidRPr="00B80DE6" w:rsidRDefault="008A5DDA" w:rsidP="00B470EC">
            <w:pPr>
              <w:jc w:val="center"/>
              <w:rPr>
                <w:noProof/>
                <w:szCs w:val="22"/>
              </w:rPr>
            </w:pPr>
            <w:r w:rsidRPr="00B80DE6">
              <w:rPr>
                <w:noProof/>
                <w:szCs w:val="22"/>
              </w:rPr>
              <w:t>1</w:t>
            </w:r>
            <w:r w:rsidR="00A1669B">
              <w:rPr>
                <w:noProof/>
                <w:szCs w:val="22"/>
              </w:rPr>
              <w:t>9</w:t>
            </w:r>
          </w:p>
        </w:tc>
      </w:tr>
      <w:tr w:rsidR="008A5DDA" w:rsidRPr="00B80DE6" w14:paraId="1D5C5FED" w14:textId="77777777" w:rsidTr="005978F0">
        <w:tc>
          <w:tcPr>
            <w:tcW w:w="2695" w:type="dxa"/>
          </w:tcPr>
          <w:p w14:paraId="0D743F6B" w14:textId="77777777" w:rsidR="008A5DDA" w:rsidRPr="00B80DE6" w:rsidRDefault="008A5DDA" w:rsidP="00B470EC">
            <w:pPr>
              <w:rPr>
                <w:noProof/>
                <w:szCs w:val="22"/>
              </w:rPr>
            </w:pPr>
            <w:r w:rsidRPr="00B80DE6">
              <w:rPr>
                <w:noProof/>
                <w:szCs w:val="22"/>
              </w:rPr>
              <w:t>Patent Information</w:t>
            </w:r>
          </w:p>
        </w:tc>
        <w:tc>
          <w:tcPr>
            <w:tcW w:w="1886" w:type="dxa"/>
          </w:tcPr>
          <w:p w14:paraId="24895EEA" w14:textId="2EED185A" w:rsidR="008A5DDA" w:rsidRPr="00B80DE6" w:rsidRDefault="00A1669B" w:rsidP="00B470EC">
            <w:pPr>
              <w:jc w:val="center"/>
              <w:rPr>
                <w:noProof/>
                <w:szCs w:val="22"/>
              </w:rPr>
            </w:pPr>
            <w:r>
              <w:rPr>
                <w:noProof/>
                <w:szCs w:val="22"/>
              </w:rPr>
              <w:t>17</w:t>
            </w:r>
          </w:p>
        </w:tc>
        <w:tc>
          <w:tcPr>
            <w:tcW w:w="2375" w:type="dxa"/>
          </w:tcPr>
          <w:p w14:paraId="3FB19D2D" w14:textId="1CDEA5BF" w:rsidR="008A5DDA" w:rsidRPr="00B80DE6" w:rsidRDefault="008A5DDA" w:rsidP="00B470EC">
            <w:pPr>
              <w:jc w:val="center"/>
              <w:rPr>
                <w:noProof/>
                <w:szCs w:val="22"/>
              </w:rPr>
            </w:pPr>
            <w:r w:rsidRPr="00B80DE6">
              <w:rPr>
                <w:noProof/>
                <w:szCs w:val="22"/>
              </w:rPr>
              <w:t>17</w:t>
            </w:r>
          </w:p>
        </w:tc>
        <w:tc>
          <w:tcPr>
            <w:tcW w:w="2392" w:type="dxa"/>
          </w:tcPr>
          <w:p w14:paraId="1BE78EC2" w14:textId="7C25F59A" w:rsidR="008A5DDA" w:rsidRPr="00B80DE6" w:rsidRDefault="00A1669B" w:rsidP="00B470EC">
            <w:pPr>
              <w:jc w:val="center"/>
              <w:rPr>
                <w:noProof/>
                <w:szCs w:val="22"/>
              </w:rPr>
            </w:pPr>
            <w:r>
              <w:rPr>
                <w:noProof/>
                <w:szCs w:val="22"/>
              </w:rPr>
              <w:t>22</w:t>
            </w:r>
          </w:p>
        </w:tc>
      </w:tr>
      <w:tr w:rsidR="008A5DDA" w:rsidRPr="00B80DE6" w14:paraId="798CE332" w14:textId="77777777" w:rsidTr="005978F0">
        <w:tc>
          <w:tcPr>
            <w:tcW w:w="2695" w:type="dxa"/>
            <w:tcBorders>
              <w:bottom w:val="single" w:sz="4" w:space="0" w:color="auto"/>
            </w:tcBorders>
          </w:tcPr>
          <w:p w14:paraId="7BD8CA74" w14:textId="77777777" w:rsidR="008A5DDA" w:rsidRPr="00B80DE6" w:rsidRDefault="008A5DDA" w:rsidP="00B470EC">
            <w:pPr>
              <w:rPr>
                <w:noProof/>
                <w:szCs w:val="22"/>
              </w:rPr>
            </w:pPr>
            <w:r w:rsidRPr="00B80DE6">
              <w:rPr>
                <w:noProof/>
                <w:szCs w:val="22"/>
              </w:rPr>
              <w:t>Trademark Information</w:t>
            </w:r>
          </w:p>
        </w:tc>
        <w:tc>
          <w:tcPr>
            <w:tcW w:w="1886" w:type="dxa"/>
            <w:tcBorders>
              <w:bottom w:val="single" w:sz="4" w:space="0" w:color="auto"/>
            </w:tcBorders>
          </w:tcPr>
          <w:p w14:paraId="50E350EC" w14:textId="3BC12200" w:rsidR="008A5DDA" w:rsidRPr="00B80DE6" w:rsidRDefault="00A1669B" w:rsidP="00B470EC">
            <w:pPr>
              <w:jc w:val="center"/>
              <w:rPr>
                <w:noProof/>
                <w:szCs w:val="22"/>
              </w:rPr>
            </w:pPr>
            <w:r>
              <w:rPr>
                <w:noProof/>
                <w:szCs w:val="22"/>
              </w:rPr>
              <w:t>15</w:t>
            </w:r>
          </w:p>
        </w:tc>
        <w:tc>
          <w:tcPr>
            <w:tcW w:w="2375" w:type="dxa"/>
            <w:tcBorders>
              <w:bottom w:val="single" w:sz="4" w:space="0" w:color="auto"/>
            </w:tcBorders>
          </w:tcPr>
          <w:p w14:paraId="46DBCFA8" w14:textId="450AF845" w:rsidR="008A5DDA" w:rsidRPr="00B80DE6" w:rsidRDefault="008A5DDA" w:rsidP="00B470EC">
            <w:pPr>
              <w:jc w:val="center"/>
              <w:rPr>
                <w:noProof/>
                <w:szCs w:val="22"/>
              </w:rPr>
            </w:pPr>
            <w:r w:rsidRPr="00B80DE6">
              <w:rPr>
                <w:noProof/>
                <w:szCs w:val="22"/>
              </w:rPr>
              <w:t>18</w:t>
            </w:r>
          </w:p>
        </w:tc>
        <w:tc>
          <w:tcPr>
            <w:tcW w:w="2392" w:type="dxa"/>
            <w:tcBorders>
              <w:bottom w:val="single" w:sz="4" w:space="0" w:color="auto"/>
            </w:tcBorders>
          </w:tcPr>
          <w:p w14:paraId="79BA4242" w14:textId="189D74D9" w:rsidR="008A5DDA" w:rsidRPr="00B80DE6" w:rsidRDefault="00A1669B" w:rsidP="00B470EC">
            <w:pPr>
              <w:jc w:val="center"/>
              <w:rPr>
                <w:noProof/>
                <w:szCs w:val="22"/>
              </w:rPr>
            </w:pPr>
            <w:r>
              <w:rPr>
                <w:noProof/>
                <w:szCs w:val="22"/>
              </w:rPr>
              <w:t>23</w:t>
            </w:r>
          </w:p>
        </w:tc>
      </w:tr>
      <w:tr w:rsidR="00EB5DE4" w:rsidRPr="00CD6DE9" w14:paraId="41043CAF" w14:textId="77777777" w:rsidTr="005978F0">
        <w:tc>
          <w:tcPr>
            <w:tcW w:w="2695" w:type="dxa"/>
            <w:shd w:val="clear" w:color="auto" w:fill="FFFFFF" w:themeFill="background1"/>
          </w:tcPr>
          <w:p w14:paraId="4F2012B6" w14:textId="3B576DA8" w:rsidR="00EB5DE4" w:rsidRPr="005978F0" w:rsidRDefault="00EB5DE4" w:rsidP="00B470EC">
            <w:pPr>
              <w:rPr>
                <w:b/>
                <w:bCs/>
                <w:noProof/>
                <w:szCs w:val="22"/>
              </w:rPr>
            </w:pPr>
            <w:r w:rsidRPr="005978F0">
              <w:rPr>
                <w:b/>
                <w:bCs/>
                <w:noProof/>
                <w:szCs w:val="22"/>
              </w:rPr>
              <w:t>Total n</w:t>
            </w:r>
            <w:r w:rsidR="002F14EE" w:rsidRPr="005978F0">
              <w:rPr>
                <w:b/>
                <w:bCs/>
                <w:noProof/>
                <w:szCs w:val="22"/>
              </w:rPr>
              <w:t>umber</w:t>
            </w:r>
            <w:r w:rsidRPr="005978F0">
              <w:rPr>
                <w:b/>
                <w:bCs/>
                <w:noProof/>
                <w:szCs w:val="22"/>
              </w:rPr>
              <w:t xml:space="preserve"> of ATRs</w:t>
            </w:r>
          </w:p>
        </w:tc>
        <w:tc>
          <w:tcPr>
            <w:tcW w:w="1886" w:type="dxa"/>
            <w:shd w:val="clear" w:color="auto" w:fill="FFFFFF" w:themeFill="background1"/>
          </w:tcPr>
          <w:p w14:paraId="1C7AACA8" w14:textId="4FD371C5" w:rsidR="00EB5DE4" w:rsidRPr="005978F0" w:rsidRDefault="00A1669B" w:rsidP="00B470EC">
            <w:pPr>
              <w:jc w:val="center"/>
              <w:rPr>
                <w:b/>
                <w:bCs/>
                <w:noProof/>
                <w:szCs w:val="22"/>
              </w:rPr>
            </w:pPr>
            <w:r w:rsidRPr="005978F0">
              <w:rPr>
                <w:b/>
                <w:bCs/>
                <w:noProof/>
                <w:szCs w:val="22"/>
              </w:rPr>
              <w:t>47</w:t>
            </w:r>
          </w:p>
        </w:tc>
        <w:tc>
          <w:tcPr>
            <w:tcW w:w="2375" w:type="dxa"/>
            <w:shd w:val="clear" w:color="auto" w:fill="FFFFFF" w:themeFill="background1"/>
          </w:tcPr>
          <w:p w14:paraId="293E6906" w14:textId="704C94F6" w:rsidR="00EB5DE4" w:rsidRPr="005978F0" w:rsidRDefault="00EB5DE4" w:rsidP="00B470EC">
            <w:pPr>
              <w:jc w:val="center"/>
              <w:rPr>
                <w:b/>
                <w:bCs/>
                <w:noProof/>
                <w:szCs w:val="22"/>
              </w:rPr>
            </w:pPr>
            <w:r w:rsidRPr="005978F0">
              <w:rPr>
                <w:b/>
                <w:bCs/>
                <w:noProof/>
                <w:szCs w:val="22"/>
              </w:rPr>
              <w:t>53</w:t>
            </w:r>
          </w:p>
        </w:tc>
        <w:tc>
          <w:tcPr>
            <w:tcW w:w="2392" w:type="dxa"/>
            <w:shd w:val="clear" w:color="auto" w:fill="FFFFFF" w:themeFill="background1"/>
          </w:tcPr>
          <w:p w14:paraId="5A4FC34D" w14:textId="0B718496" w:rsidR="00EB5DE4" w:rsidRPr="005978F0" w:rsidRDefault="00A1669B" w:rsidP="00B470EC">
            <w:pPr>
              <w:jc w:val="center"/>
              <w:rPr>
                <w:b/>
                <w:bCs/>
                <w:noProof/>
                <w:szCs w:val="22"/>
              </w:rPr>
            </w:pPr>
            <w:r w:rsidRPr="005978F0">
              <w:rPr>
                <w:b/>
                <w:bCs/>
                <w:noProof/>
                <w:szCs w:val="22"/>
              </w:rPr>
              <w:t>65</w:t>
            </w:r>
          </w:p>
        </w:tc>
      </w:tr>
    </w:tbl>
    <w:p w14:paraId="258293F1" w14:textId="2E1C6D36" w:rsidR="00B80DE6" w:rsidRPr="00B80DE6" w:rsidRDefault="00B80DE6" w:rsidP="00B80DE6">
      <w:pPr>
        <w:pStyle w:val="ONUMFS"/>
        <w:numPr>
          <w:ilvl w:val="0"/>
          <w:numId w:val="0"/>
        </w:numPr>
        <w:spacing w:before="240"/>
      </w:pPr>
      <w:r w:rsidRPr="00B80DE6">
        <w:fldChar w:fldCharType="begin"/>
      </w:r>
      <w:r w:rsidRPr="00B80DE6">
        <w:instrText xml:space="preserve"> AUTONUM  </w:instrText>
      </w:r>
      <w:r w:rsidRPr="00B80DE6">
        <w:fldChar w:fldCharType="end"/>
      </w:r>
      <w:r w:rsidRPr="00B80DE6">
        <w:tab/>
        <w:t xml:space="preserve">With regards to the </w:t>
      </w:r>
      <w:r w:rsidR="00EA3D2D">
        <w:t>number of visits to the</w:t>
      </w:r>
      <w:r w:rsidRPr="00B80DE6">
        <w:t xml:space="preserve"> ATR pages during the</w:t>
      </w:r>
      <w:r w:rsidR="00EA3D2D">
        <w:t xml:space="preserve"> past</w:t>
      </w:r>
      <w:r w:rsidRPr="00B80DE6">
        <w:t xml:space="preserve"> three years, the number of visits to the most recent ATRs in the given period has recently increased.  </w:t>
      </w:r>
      <w:r w:rsidR="002C0B18">
        <w:t xml:space="preserve">Although this represents a small number of visits relative to other WIPO Standards resources, </w:t>
      </w:r>
      <w:r w:rsidR="006258D3">
        <w:t>the consolidation of this information is still considered useful</w:t>
      </w:r>
      <w:r w:rsidR="002C0B18">
        <w:t xml:space="preserve">.  </w:t>
      </w:r>
      <w:r w:rsidRPr="00B80DE6">
        <w:rPr>
          <w:noProof/>
          <w:szCs w:val="22"/>
        </w:rPr>
        <w:t>Further detail on the number of unique visitors and page views is provided in the table below:</w:t>
      </w:r>
      <w:r w:rsidRPr="00B80DE6">
        <w:t xml:space="preserve"> </w:t>
      </w:r>
    </w:p>
    <w:tbl>
      <w:tblPr>
        <w:tblStyle w:val="TableGrid"/>
        <w:tblW w:w="9355" w:type="dxa"/>
        <w:tblLook w:val="04A0" w:firstRow="1" w:lastRow="0" w:firstColumn="1" w:lastColumn="0" w:noHBand="0" w:noVBand="1"/>
      </w:tblPr>
      <w:tblGrid>
        <w:gridCol w:w="1915"/>
        <w:gridCol w:w="2400"/>
        <w:gridCol w:w="2520"/>
        <w:gridCol w:w="2520"/>
      </w:tblGrid>
      <w:tr w:rsidR="00B80DE6" w:rsidRPr="00B80DE6" w14:paraId="0A16AB2D" w14:textId="77777777" w:rsidTr="00AC33C1">
        <w:tc>
          <w:tcPr>
            <w:tcW w:w="1915" w:type="dxa"/>
            <w:shd w:val="clear" w:color="auto" w:fill="D9D9D9" w:themeFill="background1" w:themeFillShade="D9"/>
          </w:tcPr>
          <w:p w14:paraId="4BE0FC29" w14:textId="77777777" w:rsidR="00B80DE6" w:rsidRPr="002C0B18" w:rsidRDefault="00B80DE6" w:rsidP="00AC33C1">
            <w:pPr>
              <w:jc w:val="center"/>
              <w:rPr>
                <w:b/>
                <w:bCs/>
              </w:rPr>
            </w:pPr>
            <w:r w:rsidRPr="002C0B18">
              <w:rPr>
                <w:b/>
                <w:bCs/>
              </w:rPr>
              <w:t>Period</w:t>
            </w:r>
          </w:p>
        </w:tc>
        <w:tc>
          <w:tcPr>
            <w:tcW w:w="2400" w:type="dxa"/>
            <w:shd w:val="clear" w:color="auto" w:fill="D9D9D9" w:themeFill="background1" w:themeFillShade="D9"/>
          </w:tcPr>
          <w:p w14:paraId="11368292" w14:textId="77777777" w:rsidR="00B80DE6" w:rsidRPr="002C0B18" w:rsidRDefault="00B80DE6" w:rsidP="00AC33C1">
            <w:pPr>
              <w:jc w:val="center"/>
              <w:rPr>
                <w:b/>
                <w:bCs/>
              </w:rPr>
            </w:pPr>
            <w:r w:rsidRPr="002C0B18">
              <w:rPr>
                <w:b/>
                <w:bCs/>
              </w:rPr>
              <w:t>August 2021 – July 2022</w:t>
            </w:r>
          </w:p>
        </w:tc>
        <w:tc>
          <w:tcPr>
            <w:tcW w:w="2520" w:type="dxa"/>
            <w:shd w:val="clear" w:color="auto" w:fill="D9D9D9" w:themeFill="background1" w:themeFillShade="D9"/>
          </w:tcPr>
          <w:p w14:paraId="733BCE10" w14:textId="77777777" w:rsidR="00B80DE6" w:rsidRPr="002C0B18" w:rsidRDefault="00B80DE6" w:rsidP="00AC33C1">
            <w:pPr>
              <w:jc w:val="center"/>
              <w:rPr>
                <w:b/>
                <w:bCs/>
              </w:rPr>
            </w:pPr>
            <w:r w:rsidRPr="002C0B18">
              <w:rPr>
                <w:b/>
                <w:bCs/>
              </w:rPr>
              <w:t>August 2022 – July 2023</w:t>
            </w:r>
          </w:p>
        </w:tc>
        <w:tc>
          <w:tcPr>
            <w:tcW w:w="2520" w:type="dxa"/>
            <w:shd w:val="clear" w:color="auto" w:fill="D9D9D9" w:themeFill="background1" w:themeFillShade="D9"/>
          </w:tcPr>
          <w:p w14:paraId="585D3066" w14:textId="77777777" w:rsidR="00B80DE6" w:rsidRPr="002C0B18" w:rsidRDefault="00B80DE6" w:rsidP="00AC33C1">
            <w:pPr>
              <w:jc w:val="center"/>
              <w:rPr>
                <w:b/>
                <w:bCs/>
              </w:rPr>
            </w:pPr>
            <w:r w:rsidRPr="002C0B18">
              <w:rPr>
                <w:b/>
                <w:bCs/>
              </w:rPr>
              <w:t>August 2023 – July 2024</w:t>
            </w:r>
          </w:p>
        </w:tc>
      </w:tr>
      <w:tr w:rsidR="00B80DE6" w:rsidRPr="00B80DE6" w14:paraId="6634CCB1" w14:textId="77777777" w:rsidTr="00AC33C1">
        <w:tc>
          <w:tcPr>
            <w:tcW w:w="1915" w:type="dxa"/>
          </w:tcPr>
          <w:p w14:paraId="22B182F7" w14:textId="77777777" w:rsidR="00B80DE6" w:rsidRPr="00B80DE6" w:rsidRDefault="00B80DE6" w:rsidP="006510F5">
            <w:r w:rsidRPr="00B80DE6">
              <w:t>ATR page visit total</w:t>
            </w:r>
          </w:p>
        </w:tc>
        <w:tc>
          <w:tcPr>
            <w:tcW w:w="2400" w:type="dxa"/>
          </w:tcPr>
          <w:p w14:paraId="0EF9F841" w14:textId="5A0E2EBC" w:rsidR="00B80DE6" w:rsidRPr="00B80DE6" w:rsidRDefault="00B80DE6" w:rsidP="006510F5">
            <w:r w:rsidRPr="00B80DE6">
              <w:t>Unique visitors: 701 (page views: 2,817)</w:t>
            </w:r>
          </w:p>
        </w:tc>
        <w:tc>
          <w:tcPr>
            <w:tcW w:w="2520" w:type="dxa"/>
          </w:tcPr>
          <w:p w14:paraId="26B583C5" w14:textId="77777777" w:rsidR="00B80DE6" w:rsidRPr="00B80DE6" w:rsidRDefault="00B80DE6" w:rsidP="006510F5">
            <w:r w:rsidRPr="00B80DE6">
              <w:t>862 (3,758)</w:t>
            </w:r>
          </w:p>
        </w:tc>
        <w:tc>
          <w:tcPr>
            <w:tcW w:w="2520" w:type="dxa"/>
          </w:tcPr>
          <w:p w14:paraId="1C8CF236" w14:textId="77777777" w:rsidR="00B80DE6" w:rsidRPr="00B80DE6" w:rsidRDefault="00B80DE6" w:rsidP="006510F5">
            <w:r w:rsidRPr="00B80DE6">
              <w:t>768 (3,126)</w:t>
            </w:r>
          </w:p>
        </w:tc>
      </w:tr>
      <w:tr w:rsidR="00B80DE6" w:rsidRPr="00B80DE6" w14:paraId="75498FE6" w14:textId="77777777" w:rsidTr="00AC33C1">
        <w:tc>
          <w:tcPr>
            <w:tcW w:w="1915" w:type="dxa"/>
          </w:tcPr>
          <w:p w14:paraId="129DA2A8" w14:textId="77777777" w:rsidR="00B80DE6" w:rsidRPr="00B80DE6" w:rsidRDefault="00B80DE6" w:rsidP="006510F5">
            <w:r w:rsidRPr="00B80DE6">
              <w:t>ATR Home page</w:t>
            </w:r>
          </w:p>
        </w:tc>
        <w:tc>
          <w:tcPr>
            <w:tcW w:w="2400" w:type="dxa"/>
          </w:tcPr>
          <w:p w14:paraId="4475C047" w14:textId="77777777" w:rsidR="00B80DE6" w:rsidRPr="00B80DE6" w:rsidRDefault="00B80DE6" w:rsidP="006510F5">
            <w:r w:rsidRPr="00B80DE6">
              <w:t>351 (935)</w:t>
            </w:r>
          </w:p>
        </w:tc>
        <w:tc>
          <w:tcPr>
            <w:tcW w:w="2520" w:type="dxa"/>
          </w:tcPr>
          <w:p w14:paraId="745E34F0" w14:textId="77777777" w:rsidR="00B80DE6" w:rsidRPr="00B80DE6" w:rsidRDefault="00B80DE6" w:rsidP="006510F5">
            <w:r w:rsidRPr="00B80DE6">
              <w:t>515 (1,365)</w:t>
            </w:r>
          </w:p>
        </w:tc>
        <w:tc>
          <w:tcPr>
            <w:tcW w:w="2520" w:type="dxa"/>
          </w:tcPr>
          <w:p w14:paraId="5D21D086" w14:textId="77777777" w:rsidR="00B80DE6" w:rsidRPr="00B80DE6" w:rsidRDefault="00B80DE6" w:rsidP="006510F5">
            <w:r w:rsidRPr="00B80DE6">
              <w:t>300 (899)</w:t>
            </w:r>
          </w:p>
        </w:tc>
      </w:tr>
      <w:tr w:rsidR="00B80DE6" w:rsidRPr="00B80DE6" w14:paraId="51FB04D5" w14:textId="77777777" w:rsidTr="00AC33C1">
        <w:tc>
          <w:tcPr>
            <w:tcW w:w="1915" w:type="dxa"/>
          </w:tcPr>
          <w:p w14:paraId="222267FD" w14:textId="77777777" w:rsidR="00B80DE6" w:rsidRPr="00B80DE6" w:rsidRDefault="00B80DE6" w:rsidP="006510F5">
            <w:r w:rsidRPr="00B80DE6">
              <w:t>2020 ATRs page</w:t>
            </w:r>
          </w:p>
        </w:tc>
        <w:tc>
          <w:tcPr>
            <w:tcW w:w="2400" w:type="dxa"/>
          </w:tcPr>
          <w:p w14:paraId="1CFC0B16" w14:textId="77777777" w:rsidR="00B80DE6" w:rsidRPr="002C0B18" w:rsidRDefault="00B80DE6" w:rsidP="006510F5">
            <w:r w:rsidRPr="002C0B18">
              <w:t>113 (267)*</w:t>
            </w:r>
          </w:p>
        </w:tc>
        <w:tc>
          <w:tcPr>
            <w:tcW w:w="2520" w:type="dxa"/>
          </w:tcPr>
          <w:p w14:paraId="0C420AFC" w14:textId="77777777" w:rsidR="00B80DE6" w:rsidRPr="00B80DE6" w:rsidRDefault="00B80DE6" w:rsidP="006510F5">
            <w:r w:rsidRPr="00B80DE6">
              <w:t>83 (141)</w:t>
            </w:r>
          </w:p>
        </w:tc>
        <w:tc>
          <w:tcPr>
            <w:tcW w:w="2520" w:type="dxa"/>
          </w:tcPr>
          <w:p w14:paraId="5CAC1DAB" w14:textId="77777777" w:rsidR="00B80DE6" w:rsidRPr="00B80DE6" w:rsidRDefault="00B80DE6" w:rsidP="006510F5">
            <w:r w:rsidRPr="00B80DE6">
              <w:t>27 (37)</w:t>
            </w:r>
          </w:p>
        </w:tc>
      </w:tr>
      <w:tr w:rsidR="00B80DE6" w:rsidRPr="00B80DE6" w14:paraId="241AE369" w14:textId="77777777" w:rsidTr="00AC33C1">
        <w:tc>
          <w:tcPr>
            <w:tcW w:w="1915" w:type="dxa"/>
          </w:tcPr>
          <w:p w14:paraId="25F545CF" w14:textId="77777777" w:rsidR="00B80DE6" w:rsidRPr="00B80DE6" w:rsidRDefault="00B80DE6" w:rsidP="006510F5">
            <w:r w:rsidRPr="00B80DE6">
              <w:t>2021 ATRs page</w:t>
            </w:r>
          </w:p>
        </w:tc>
        <w:tc>
          <w:tcPr>
            <w:tcW w:w="2400" w:type="dxa"/>
          </w:tcPr>
          <w:p w14:paraId="4D83D54A" w14:textId="77777777" w:rsidR="00B80DE6" w:rsidRPr="00B80DE6" w:rsidRDefault="00B80DE6" w:rsidP="006510F5">
            <w:r w:rsidRPr="00B80DE6">
              <w:t>N/A</w:t>
            </w:r>
          </w:p>
        </w:tc>
        <w:tc>
          <w:tcPr>
            <w:tcW w:w="2520" w:type="dxa"/>
          </w:tcPr>
          <w:p w14:paraId="559A4F79" w14:textId="77777777" w:rsidR="00B80DE6" w:rsidRPr="002C0B18" w:rsidRDefault="00B80DE6" w:rsidP="006510F5">
            <w:r w:rsidRPr="002C0B18">
              <w:t>95 (213)*</w:t>
            </w:r>
          </w:p>
        </w:tc>
        <w:tc>
          <w:tcPr>
            <w:tcW w:w="2520" w:type="dxa"/>
          </w:tcPr>
          <w:p w14:paraId="1BE7BBC3" w14:textId="77777777" w:rsidR="00B80DE6" w:rsidRPr="00B80DE6" w:rsidRDefault="00B80DE6" w:rsidP="006510F5">
            <w:r w:rsidRPr="00B80DE6">
              <w:t>28 (52)</w:t>
            </w:r>
          </w:p>
        </w:tc>
      </w:tr>
      <w:tr w:rsidR="00B80DE6" w:rsidRPr="00B80DE6" w14:paraId="307AB4F7" w14:textId="77777777" w:rsidTr="00AC33C1">
        <w:tc>
          <w:tcPr>
            <w:tcW w:w="1915" w:type="dxa"/>
          </w:tcPr>
          <w:p w14:paraId="3692F622" w14:textId="77777777" w:rsidR="00B80DE6" w:rsidRPr="00B80DE6" w:rsidRDefault="00B80DE6" w:rsidP="006510F5">
            <w:r w:rsidRPr="00B80DE6">
              <w:t>2022 ATRs page</w:t>
            </w:r>
          </w:p>
        </w:tc>
        <w:tc>
          <w:tcPr>
            <w:tcW w:w="2400" w:type="dxa"/>
          </w:tcPr>
          <w:p w14:paraId="3EF938AA" w14:textId="77777777" w:rsidR="00B80DE6" w:rsidRPr="00B80DE6" w:rsidRDefault="00B80DE6" w:rsidP="006510F5">
            <w:r w:rsidRPr="00B80DE6">
              <w:t>N/A</w:t>
            </w:r>
          </w:p>
        </w:tc>
        <w:tc>
          <w:tcPr>
            <w:tcW w:w="2520" w:type="dxa"/>
          </w:tcPr>
          <w:p w14:paraId="79FFA214" w14:textId="77777777" w:rsidR="00B80DE6" w:rsidRPr="00B80DE6" w:rsidRDefault="00B80DE6" w:rsidP="006510F5">
            <w:r w:rsidRPr="00B80DE6">
              <w:t>N/A</w:t>
            </w:r>
          </w:p>
        </w:tc>
        <w:tc>
          <w:tcPr>
            <w:tcW w:w="2520" w:type="dxa"/>
          </w:tcPr>
          <w:p w14:paraId="5EF9CEAD" w14:textId="77777777" w:rsidR="00B80DE6" w:rsidRPr="005978F0" w:rsidRDefault="00B80DE6" w:rsidP="006510F5">
            <w:pPr>
              <w:rPr>
                <w:b/>
                <w:bCs/>
              </w:rPr>
            </w:pPr>
            <w:r w:rsidRPr="005978F0">
              <w:rPr>
                <w:b/>
                <w:bCs/>
              </w:rPr>
              <w:t>230 (497)*</w:t>
            </w:r>
          </w:p>
        </w:tc>
      </w:tr>
      <w:tr w:rsidR="00B80DE6" w:rsidRPr="00B80DE6" w14:paraId="09435B86" w14:textId="77777777" w:rsidTr="00AC33C1">
        <w:tc>
          <w:tcPr>
            <w:tcW w:w="1915" w:type="dxa"/>
          </w:tcPr>
          <w:p w14:paraId="6E7D33B5" w14:textId="77777777" w:rsidR="00B80DE6" w:rsidRPr="00B80DE6" w:rsidRDefault="00B80DE6" w:rsidP="006510F5"/>
        </w:tc>
        <w:tc>
          <w:tcPr>
            <w:tcW w:w="2400" w:type="dxa"/>
          </w:tcPr>
          <w:p w14:paraId="543587A3" w14:textId="77777777" w:rsidR="00B80DE6" w:rsidRPr="00B80DE6" w:rsidRDefault="00B80DE6" w:rsidP="006510F5"/>
        </w:tc>
        <w:tc>
          <w:tcPr>
            <w:tcW w:w="2520" w:type="dxa"/>
          </w:tcPr>
          <w:p w14:paraId="24A14CD0" w14:textId="77777777" w:rsidR="00B80DE6" w:rsidRPr="00B80DE6" w:rsidRDefault="00B80DE6" w:rsidP="006510F5"/>
        </w:tc>
        <w:tc>
          <w:tcPr>
            <w:tcW w:w="2520" w:type="dxa"/>
          </w:tcPr>
          <w:p w14:paraId="5B0C7DCF" w14:textId="77777777" w:rsidR="00B80DE6" w:rsidRPr="00B80DE6" w:rsidRDefault="00B80DE6" w:rsidP="006510F5"/>
        </w:tc>
      </w:tr>
    </w:tbl>
    <w:p w14:paraId="2B2EBAE7" w14:textId="1C57DFFE" w:rsidR="00B80DE6" w:rsidRPr="00B80DE6" w:rsidRDefault="00B80DE6" w:rsidP="00B80DE6">
      <w:r w:rsidRPr="00B80DE6">
        <w:t>(* : the most recent ATRs in the given period)</w:t>
      </w:r>
    </w:p>
    <w:p w14:paraId="34845B1C" w14:textId="598AD6A6" w:rsidR="00B80DE6" w:rsidRDefault="00B80DE6" w:rsidP="002C0B18">
      <w:pPr>
        <w:pStyle w:val="ONUMFS"/>
        <w:numPr>
          <w:ilvl w:val="0"/>
          <w:numId w:val="0"/>
        </w:numPr>
        <w:spacing w:before="240"/>
      </w:pPr>
      <w:r w:rsidRPr="00B80DE6">
        <w:fldChar w:fldCharType="begin"/>
      </w:r>
      <w:r w:rsidRPr="00B80DE6">
        <w:instrText xml:space="preserve"> AUTONUM  </w:instrText>
      </w:r>
      <w:r w:rsidRPr="00B80DE6">
        <w:fldChar w:fldCharType="end"/>
      </w:r>
      <w:r w:rsidRPr="00B80DE6">
        <w:tab/>
        <w:t xml:space="preserve">Considering the increased </w:t>
      </w:r>
      <w:r w:rsidR="00E958F2">
        <w:t>number</w:t>
      </w:r>
      <w:r w:rsidRPr="00B80DE6">
        <w:t xml:space="preserve"> of ATRs </w:t>
      </w:r>
      <w:r w:rsidR="00A1669B">
        <w:t>provided</w:t>
      </w:r>
      <w:r w:rsidR="00E958F2">
        <w:t xml:space="preserve"> </w:t>
      </w:r>
      <w:r w:rsidRPr="00B80DE6">
        <w:t xml:space="preserve">by Offices </w:t>
      </w:r>
      <w:r w:rsidR="00A1669B">
        <w:t xml:space="preserve">and the number of visits to the ATR pages </w:t>
      </w:r>
      <w:r w:rsidR="00E958F2">
        <w:t>during the past three years</w:t>
      </w:r>
      <w:r w:rsidRPr="00B80DE6">
        <w:t xml:space="preserve">, the International Bureau proposes to continue the ATR collection using the simplified template. </w:t>
      </w:r>
    </w:p>
    <w:p w14:paraId="385D1B68" w14:textId="3B757440" w:rsidR="00874103" w:rsidRPr="00B80DE6" w:rsidRDefault="007738E9" w:rsidP="008E151E">
      <w:pPr>
        <w:pStyle w:val="ONUMFS"/>
        <w:numPr>
          <w:ilvl w:val="0"/>
          <w:numId w:val="0"/>
        </w:numPr>
      </w:pPr>
      <w:r w:rsidRPr="00B80DE6">
        <w:fldChar w:fldCharType="begin"/>
      </w:r>
      <w:r w:rsidRPr="00B80DE6">
        <w:instrText xml:space="preserve"> AUTONUM  </w:instrText>
      </w:r>
      <w:r w:rsidRPr="00B80DE6">
        <w:fldChar w:fldCharType="end"/>
      </w:r>
      <w:r w:rsidRPr="00B80DE6">
        <w:tab/>
      </w:r>
      <w:r w:rsidR="002C0B18">
        <w:t xml:space="preserve">Additionally, </w:t>
      </w:r>
      <w:r w:rsidR="00556D4E">
        <w:t xml:space="preserve">the ATR can be used to collect the information on Offices’ activities </w:t>
      </w:r>
      <w:r w:rsidR="008E151E">
        <w:t xml:space="preserve">on </w:t>
      </w:r>
      <w:r w:rsidR="00556D4E" w:rsidRPr="00556D4E">
        <w:t xml:space="preserve">WIPO </w:t>
      </w:r>
      <w:r w:rsidR="00556D4E">
        <w:t>S</w:t>
      </w:r>
      <w:r w:rsidR="00556D4E" w:rsidRPr="00556D4E">
        <w:t>tandards</w:t>
      </w:r>
      <w:r w:rsidR="008E151E">
        <w:t xml:space="preserve"> or other related matters including IP </w:t>
      </w:r>
      <w:r w:rsidR="00556D4E" w:rsidRPr="00556D4E">
        <w:t>data, information services</w:t>
      </w:r>
      <w:r w:rsidR="008E151E">
        <w:t xml:space="preserve"> and</w:t>
      </w:r>
      <w:r w:rsidR="00556D4E" w:rsidRPr="00556D4E">
        <w:t xml:space="preserve"> data dissemination</w:t>
      </w:r>
      <w:r w:rsidR="008E151E">
        <w:t xml:space="preserve">.  </w:t>
      </w:r>
      <w:r w:rsidR="002C0B18">
        <w:t xml:space="preserve">If the ATR collection was to be discontinued then the </w:t>
      </w:r>
      <w:r w:rsidR="008E151E">
        <w:t>CWS</w:t>
      </w:r>
      <w:r w:rsidR="002C0B18">
        <w:t xml:space="preserve"> would lose one </w:t>
      </w:r>
      <w:r w:rsidR="00E958F2">
        <w:t>means</w:t>
      </w:r>
      <w:r w:rsidR="002C0B18">
        <w:t xml:space="preserve"> to collect data</w:t>
      </w:r>
      <w:r w:rsidR="00E958F2">
        <w:t xml:space="preserve"> from Offices</w:t>
      </w:r>
      <w:r w:rsidR="002C0B18">
        <w:t xml:space="preserve">.  </w:t>
      </w:r>
      <w:r w:rsidR="008E151E">
        <w:t>To collect Offices’ activities on WIPO Standard</w:t>
      </w:r>
      <w:r w:rsidR="00FE148B" w:rsidRPr="00B80DE6">
        <w:t xml:space="preserve">, the International Bureau proposes to add </w:t>
      </w:r>
      <w:r w:rsidR="001C084C" w:rsidRPr="00B80DE6">
        <w:t xml:space="preserve">a </w:t>
      </w:r>
      <w:r w:rsidR="00DE735C" w:rsidRPr="00B80DE6">
        <w:t xml:space="preserve">new </w:t>
      </w:r>
      <w:r w:rsidR="00132DD1" w:rsidRPr="00B80DE6">
        <w:t>topic</w:t>
      </w:r>
      <w:r w:rsidR="001C084C" w:rsidRPr="00B80DE6">
        <w:t xml:space="preserve"> </w:t>
      </w:r>
      <w:r w:rsidR="00DE735C" w:rsidRPr="00B80DE6">
        <w:t>to the simplified template regarding activities related to the</w:t>
      </w:r>
      <w:r w:rsidR="001C084C" w:rsidRPr="00B80DE6">
        <w:t xml:space="preserve"> </w:t>
      </w:r>
      <w:r w:rsidR="00A1669B">
        <w:t xml:space="preserve">use or </w:t>
      </w:r>
      <w:r w:rsidR="00DE735C" w:rsidRPr="00B80DE6">
        <w:t>implementation</w:t>
      </w:r>
      <w:r w:rsidR="001C084C" w:rsidRPr="00B80DE6">
        <w:t xml:space="preserve"> of WIPO Standards</w:t>
      </w:r>
      <w:r w:rsidR="00DE735C" w:rsidRPr="00B80DE6">
        <w:t xml:space="preserve"> by Offices.  </w:t>
      </w:r>
      <w:r w:rsidR="00874103" w:rsidRPr="00B80DE6">
        <w:t xml:space="preserve">The purpose of this question is to determine what WIPO Standards </w:t>
      </w:r>
      <w:r w:rsidR="00556D4E">
        <w:t xml:space="preserve">and how those </w:t>
      </w:r>
      <w:r w:rsidR="00874103" w:rsidRPr="00B80DE6">
        <w:t xml:space="preserve">are being used.  </w:t>
      </w:r>
      <w:r w:rsidR="00DE735C" w:rsidRPr="00B80DE6">
        <w:t xml:space="preserve">The proposed </w:t>
      </w:r>
      <w:r w:rsidR="00132DD1" w:rsidRPr="00B80DE6">
        <w:t>topic</w:t>
      </w:r>
      <w:r w:rsidR="00DE735C" w:rsidRPr="00B80DE6">
        <w:t xml:space="preserve"> is as follow</w:t>
      </w:r>
      <w:r w:rsidR="00874103" w:rsidRPr="00B80DE6">
        <w:t>s:</w:t>
      </w:r>
    </w:p>
    <w:p w14:paraId="532F48A8" w14:textId="2CDC0B9C" w:rsidR="00EB5DE4" w:rsidRPr="00B80DE6" w:rsidRDefault="009C39FB" w:rsidP="00874103">
      <w:pPr>
        <w:pStyle w:val="ONUMFS"/>
        <w:numPr>
          <w:ilvl w:val="0"/>
          <w:numId w:val="0"/>
        </w:numPr>
        <w:ind w:left="567"/>
      </w:pPr>
      <w:r w:rsidRPr="00B80DE6">
        <w:lastRenderedPageBreak/>
        <w:t>”</w:t>
      </w:r>
      <w:r w:rsidRPr="00B80DE6">
        <w:rPr>
          <w:i/>
          <w:iCs/>
        </w:rPr>
        <w:t xml:space="preserve">Activities of the implementation of WIPO Standards related to Patent </w:t>
      </w:r>
      <w:r w:rsidR="00D8331F" w:rsidRPr="00B80DE6">
        <w:rPr>
          <w:i/>
          <w:iCs/>
        </w:rPr>
        <w:t xml:space="preserve">(Trademark or Industrial Design) </w:t>
      </w:r>
      <w:r w:rsidRPr="00B80DE6">
        <w:rPr>
          <w:i/>
          <w:iCs/>
        </w:rPr>
        <w:t>Information</w:t>
      </w:r>
      <w:r w:rsidRPr="00B80DE6">
        <w:t>”</w:t>
      </w:r>
      <w:r w:rsidR="00D8331F" w:rsidRPr="00B80DE6">
        <w:t xml:space="preserve"> </w:t>
      </w:r>
    </w:p>
    <w:p w14:paraId="4CAFF502" w14:textId="77777777" w:rsidR="004D3289" w:rsidRPr="00B80DE6" w:rsidRDefault="004D3289" w:rsidP="00995E5B">
      <w:pPr>
        <w:pStyle w:val="ONUMFS"/>
        <w:numPr>
          <w:ilvl w:val="0"/>
          <w:numId w:val="0"/>
        </w:numPr>
      </w:pPr>
    </w:p>
    <w:p w14:paraId="7762EBFB" w14:textId="77777777" w:rsidR="002072C2" w:rsidRPr="00B80DE6" w:rsidRDefault="00D80CC9" w:rsidP="00AC33C1">
      <w:pPr>
        <w:pStyle w:val="ONUMFS"/>
        <w:numPr>
          <w:ilvl w:val="0"/>
          <w:numId w:val="0"/>
        </w:numPr>
        <w:spacing w:after="120"/>
        <w:ind w:left="5490"/>
        <w:rPr>
          <w:i/>
        </w:rPr>
      </w:pPr>
      <w:r w:rsidRPr="00B80DE6">
        <w:rPr>
          <w:i/>
          <w:szCs w:val="22"/>
        </w:rPr>
        <w:fldChar w:fldCharType="begin"/>
      </w:r>
      <w:r w:rsidRPr="00B80DE6">
        <w:rPr>
          <w:i/>
          <w:szCs w:val="22"/>
        </w:rPr>
        <w:instrText xml:space="preserve"> AUTONUM  </w:instrText>
      </w:r>
      <w:r w:rsidRPr="00B80DE6">
        <w:rPr>
          <w:i/>
          <w:szCs w:val="22"/>
        </w:rPr>
        <w:fldChar w:fldCharType="end"/>
      </w:r>
      <w:r w:rsidRPr="00B80DE6">
        <w:rPr>
          <w:i/>
          <w:szCs w:val="22"/>
        </w:rPr>
        <w:tab/>
        <w:t>Th</w:t>
      </w:r>
      <w:r w:rsidRPr="00B80DE6">
        <w:rPr>
          <w:i/>
        </w:rPr>
        <w:t>e CWS is invited to</w:t>
      </w:r>
      <w:r w:rsidR="00D74487" w:rsidRPr="00B80DE6">
        <w:rPr>
          <w:i/>
        </w:rPr>
        <w:t xml:space="preserve"> </w:t>
      </w:r>
    </w:p>
    <w:p w14:paraId="15472E29" w14:textId="0C587A5A" w:rsidR="002072C2" w:rsidRPr="00B80DE6" w:rsidRDefault="00D80CC9" w:rsidP="005978F0">
      <w:pPr>
        <w:pStyle w:val="ONUMFS"/>
        <w:numPr>
          <w:ilvl w:val="0"/>
          <w:numId w:val="15"/>
        </w:numPr>
        <w:spacing w:after="120"/>
        <w:ind w:left="5940" w:firstLine="90"/>
      </w:pPr>
      <w:r w:rsidRPr="00B80DE6">
        <w:rPr>
          <w:i/>
        </w:rPr>
        <w:t>note the content of this document</w:t>
      </w:r>
      <w:r w:rsidR="002072C2" w:rsidRPr="00B80DE6">
        <w:rPr>
          <w:i/>
        </w:rPr>
        <w:t xml:space="preserve">; </w:t>
      </w:r>
    </w:p>
    <w:p w14:paraId="6B821E6A" w14:textId="61A7143F" w:rsidR="001F40C4" w:rsidRPr="00B80DE6" w:rsidRDefault="002072C2" w:rsidP="005978F0">
      <w:pPr>
        <w:pStyle w:val="ONUMFS"/>
        <w:numPr>
          <w:ilvl w:val="0"/>
          <w:numId w:val="15"/>
        </w:numPr>
        <w:spacing w:after="120"/>
        <w:ind w:left="5940" w:firstLine="90"/>
      </w:pPr>
      <w:r w:rsidRPr="00B80DE6">
        <w:rPr>
          <w:i/>
        </w:rPr>
        <w:t>approve the continuation of ATRs</w:t>
      </w:r>
      <w:r w:rsidR="008E151E">
        <w:rPr>
          <w:i/>
        </w:rPr>
        <w:t xml:space="preserve"> collection</w:t>
      </w:r>
      <w:r w:rsidRPr="00B80DE6">
        <w:rPr>
          <w:i/>
        </w:rPr>
        <w:t xml:space="preserve"> as referred to in paragraph </w:t>
      </w:r>
      <w:r w:rsidR="00E958F2">
        <w:rPr>
          <w:i/>
        </w:rPr>
        <w:t>8</w:t>
      </w:r>
      <w:r w:rsidRPr="00B80DE6">
        <w:rPr>
          <w:i/>
        </w:rPr>
        <w:t xml:space="preserve"> above</w:t>
      </w:r>
      <w:r w:rsidR="001F40C4" w:rsidRPr="00B80DE6">
        <w:rPr>
          <w:i/>
        </w:rPr>
        <w:t>; and</w:t>
      </w:r>
    </w:p>
    <w:p w14:paraId="54188D53" w14:textId="23F98D73" w:rsidR="00D80CC9" w:rsidRPr="00B80DE6" w:rsidRDefault="001F40C4" w:rsidP="005978F0">
      <w:pPr>
        <w:pStyle w:val="ONUMFS"/>
        <w:numPr>
          <w:ilvl w:val="0"/>
          <w:numId w:val="15"/>
        </w:numPr>
        <w:spacing w:after="120"/>
        <w:ind w:left="5940" w:firstLine="90"/>
      </w:pPr>
      <w:r w:rsidRPr="00B80DE6">
        <w:rPr>
          <w:i/>
        </w:rPr>
        <w:t xml:space="preserve">consider and approve the proposed </w:t>
      </w:r>
      <w:r w:rsidR="007561C2">
        <w:rPr>
          <w:i/>
        </w:rPr>
        <w:t>the</w:t>
      </w:r>
      <w:r w:rsidR="00F568E8">
        <w:rPr>
          <w:i/>
        </w:rPr>
        <w:t xml:space="preserve"> </w:t>
      </w:r>
      <w:r w:rsidRPr="00B80DE6">
        <w:rPr>
          <w:i/>
        </w:rPr>
        <w:t xml:space="preserve">new </w:t>
      </w:r>
      <w:r w:rsidR="00F568E8">
        <w:rPr>
          <w:i/>
        </w:rPr>
        <w:t>topic</w:t>
      </w:r>
      <w:r w:rsidRPr="00B80DE6">
        <w:rPr>
          <w:i/>
        </w:rPr>
        <w:t xml:space="preserve"> which should be added to the simplified template as referred to in paragraph</w:t>
      </w:r>
      <w:r w:rsidR="00EA3D2D">
        <w:rPr>
          <w:i/>
        </w:rPr>
        <w:t xml:space="preserve"> </w:t>
      </w:r>
      <w:r w:rsidR="00E958F2">
        <w:rPr>
          <w:i/>
        </w:rPr>
        <w:t>9</w:t>
      </w:r>
      <w:r w:rsidRPr="00B80DE6">
        <w:rPr>
          <w:i/>
        </w:rPr>
        <w:t xml:space="preserve"> above.</w:t>
      </w:r>
    </w:p>
    <w:p w14:paraId="738345B3" w14:textId="77777777" w:rsidR="003338B6" w:rsidRPr="00B80DE6" w:rsidRDefault="003338B6" w:rsidP="00AC33C1">
      <w:pPr>
        <w:pStyle w:val="Endofdocument"/>
        <w:ind w:left="5490"/>
        <w:rPr>
          <w:rFonts w:cs="Arial"/>
          <w:sz w:val="22"/>
          <w:szCs w:val="22"/>
        </w:rPr>
      </w:pPr>
    </w:p>
    <w:p w14:paraId="0F5E7306" w14:textId="15297BE9" w:rsidR="002326AB" w:rsidRPr="00B80DE6" w:rsidRDefault="00D80CC9" w:rsidP="00AC33C1">
      <w:pPr>
        <w:pStyle w:val="Endofdocument"/>
        <w:ind w:left="5490"/>
      </w:pPr>
      <w:r w:rsidRPr="00B80DE6">
        <w:rPr>
          <w:rFonts w:cs="Arial"/>
          <w:sz w:val="22"/>
          <w:szCs w:val="22"/>
        </w:rPr>
        <w:t>[</w:t>
      </w:r>
      <w:r w:rsidR="00F0219F" w:rsidRPr="00B80DE6">
        <w:rPr>
          <w:rFonts w:cs="Arial"/>
          <w:sz w:val="22"/>
          <w:szCs w:val="22"/>
        </w:rPr>
        <w:t>End of Document</w:t>
      </w:r>
      <w:r w:rsidRPr="00B80DE6">
        <w:rPr>
          <w:rFonts w:cs="Arial"/>
          <w:sz w:val="22"/>
          <w:szCs w:val="22"/>
        </w:rPr>
        <w:t>]</w:t>
      </w:r>
    </w:p>
    <w:sectPr w:rsidR="002326AB" w:rsidRPr="00B80DE6" w:rsidSect="00A624FE">
      <w:headerReference w:type="default" r:id="rId10"/>
      <w:footerReference w:type="even" r:id="rId11"/>
      <w:footerReference w:type="default" r:id="rId12"/>
      <w:footerReference w:type="first" r:id="rId13"/>
      <w:endnotePr>
        <w:numFmt w:val="decimal"/>
      </w:endnotePr>
      <w:pgSz w:w="11907" w:h="16840" w:code="9"/>
      <w:pgMar w:top="562" w:right="1138" w:bottom="1296"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6D1AC" w14:textId="77777777" w:rsidR="00D12B46" w:rsidRDefault="00D12B46">
      <w:r>
        <w:separator/>
      </w:r>
    </w:p>
  </w:endnote>
  <w:endnote w:type="continuationSeparator" w:id="0">
    <w:p w14:paraId="1DF13565" w14:textId="77777777" w:rsidR="00D12B46" w:rsidRDefault="00D12B46" w:rsidP="003B38C1">
      <w:r>
        <w:separator/>
      </w:r>
    </w:p>
    <w:p w14:paraId="499A2973" w14:textId="77777777" w:rsidR="00D12B46" w:rsidRPr="003B38C1" w:rsidRDefault="00D12B46" w:rsidP="003B38C1">
      <w:pPr>
        <w:spacing w:after="60"/>
        <w:rPr>
          <w:sz w:val="17"/>
        </w:rPr>
      </w:pPr>
      <w:r>
        <w:rPr>
          <w:sz w:val="17"/>
        </w:rPr>
        <w:t>[Endnote continued from previous page]</w:t>
      </w:r>
    </w:p>
  </w:endnote>
  <w:endnote w:type="continuationNotice" w:id="1">
    <w:p w14:paraId="1E1D69F6" w14:textId="77777777" w:rsidR="00D12B46" w:rsidRPr="003B38C1" w:rsidRDefault="00D12B4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AF2CF" w14:textId="30832924" w:rsidR="003327B1" w:rsidRDefault="00332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0C416" w14:textId="7AC9F32E" w:rsidR="003327B1" w:rsidRDefault="003327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111CE" w14:textId="10FDFC6F" w:rsidR="0098135E" w:rsidRDefault="0098135E" w:rsidP="0098135E">
    <w:pPr>
      <w:pStyle w:val="Footer"/>
      <w:tabs>
        <w:tab w:val="clear" w:pos="4320"/>
        <w:tab w:val="clear" w:pos="8640"/>
        <w:tab w:val="left" w:pos="519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2DF65" w14:textId="77777777" w:rsidR="00D12B46" w:rsidRDefault="00D12B46">
      <w:r>
        <w:separator/>
      </w:r>
    </w:p>
  </w:footnote>
  <w:footnote w:type="continuationSeparator" w:id="0">
    <w:p w14:paraId="7993D1F0" w14:textId="77777777" w:rsidR="00D12B46" w:rsidRDefault="00D12B46" w:rsidP="008B60B2">
      <w:r>
        <w:separator/>
      </w:r>
    </w:p>
    <w:p w14:paraId="36E9D328" w14:textId="77777777" w:rsidR="00D12B46" w:rsidRPr="00ED77FB" w:rsidRDefault="00D12B46" w:rsidP="008B60B2">
      <w:pPr>
        <w:spacing w:after="60"/>
        <w:rPr>
          <w:sz w:val="17"/>
          <w:szCs w:val="17"/>
        </w:rPr>
      </w:pPr>
      <w:r w:rsidRPr="00ED77FB">
        <w:rPr>
          <w:sz w:val="17"/>
          <w:szCs w:val="17"/>
        </w:rPr>
        <w:t>[Footnote continued from previous page]</w:t>
      </w:r>
    </w:p>
  </w:footnote>
  <w:footnote w:type="continuationNotice" w:id="1">
    <w:p w14:paraId="68727068" w14:textId="77777777" w:rsidR="00D12B46" w:rsidRPr="00ED77FB" w:rsidRDefault="00D12B4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41650" w14:textId="04472A09" w:rsidR="00D07C78" w:rsidRPr="002326AB" w:rsidRDefault="00D80CC9" w:rsidP="00477D6B">
    <w:pPr>
      <w:jc w:val="right"/>
      <w:rPr>
        <w:caps/>
      </w:rPr>
    </w:pPr>
    <w:bookmarkStart w:id="5" w:name="Code2"/>
    <w:bookmarkEnd w:id="5"/>
    <w:r>
      <w:rPr>
        <w:caps/>
      </w:rPr>
      <w:t>C</w:t>
    </w:r>
    <w:r w:rsidR="00AF639A">
      <w:rPr>
        <w:caps/>
      </w:rPr>
      <w:t>WS/1</w:t>
    </w:r>
    <w:r w:rsidR="00CE1FA8">
      <w:rPr>
        <w:caps/>
      </w:rPr>
      <w:t>2</w:t>
    </w:r>
    <w:r w:rsidR="00AF639A">
      <w:rPr>
        <w:caps/>
      </w:rPr>
      <w:t>/</w:t>
    </w:r>
    <w:r w:rsidR="00CE1FA8">
      <w:rPr>
        <w:caps/>
      </w:rPr>
      <w:t>24</w:t>
    </w:r>
  </w:p>
  <w:p w14:paraId="3A08A446" w14:textId="6A7F2320" w:rsidR="00D07C78" w:rsidRDefault="00D07C78" w:rsidP="00477D6B">
    <w:pPr>
      <w:jc w:val="right"/>
    </w:pPr>
    <w:r>
      <w:t xml:space="preserve">page </w:t>
    </w:r>
    <w:r>
      <w:fldChar w:fldCharType="begin"/>
    </w:r>
    <w:r>
      <w:instrText xml:space="preserve"> PAGE  \* MERGEFORMAT </w:instrText>
    </w:r>
    <w:r>
      <w:fldChar w:fldCharType="separate"/>
    </w:r>
    <w:r w:rsidR="0075232F">
      <w:rPr>
        <w:noProof/>
      </w:rPr>
      <w:t>2</w:t>
    </w:r>
    <w:r>
      <w:fldChar w:fldCharType="end"/>
    </w:r>
  </w:p>
  <w:p w14:paraId="7892E785" w14:textId="77777777" w:rsidR="00D07C78" w:rsidRDefault="00D07C78" w:rsidP="00477D6B">
    <w:pPr>
      <w:jc w:val="right"/>
    </w:pPr>
  </w:p>
  <w:p w14:paraId="36C8CE35"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96E6D"/>
    <w:multiLevelType w:val="hybridMultilevel"/>
    <w:tmpl w:val="71508938"/>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E06D58"/>
    <w:multiLevelType w:val="hybridMultilevel"/>
    <w:tmpl w:val="798C791A"/>
    <w:lvl w:ilvl="0" w:tplc="1B5ACAEC">
      <w:start w:val="1"/>
      <w:numFmt w:val="lowerLetter"/>
      <w:lvlText w:val="(%1)"/>
      <w:lvlJc w:val="left"/>
      <w:pPr>
        <w:ind w:left="6030" w:hanging="360"/>
      </w:pPr>
      <w:rPr>
        <w:rFonts w:hint="default"/>
        <w:i/>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C1145D"/>
    <w:multiLevelType w:val="hybridMultilevel"/>
    <w:tmpl w:val="AC54BB2C"/>
    <w:lvl w:ilvl="0" w:tplc="36BAC89A">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B23935"/>
    <w:multiLevelType w:val="hybridMultilevel"/>
    <w:tmpl w:val="ABE64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D868A7"/>
    <w:multiLevelType w:val="hybridMultilevel"/>
    <w:tmpl w:val="D0C6D2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FE45D5"/>
    <w:multiLevelType w:val="hybridMultilevel"/>
    <w:tmpl w:val="8ECE0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6954538">
    <w:abstractNumId w:val="3"/>
  </w:num>
  <w:num w:numId="2" w16cid:durableId="1424958488">
    <w:abstractNumId w:val="5"/>
  </w:num>
  <w:num w:numId="3" w16cid:durableId="284698048">
    <w:abstractNumId w:val="0"/>
  </w:num>
  <w:num w:numId="4" w16cid:durableId="687754069">
    <w:abstractNumId w:val="7"/>
  </w:num>
  <w:num w:numId="5" w16cid:durableId="1501391581">
    <w:abstractNumId w:val="2"/>
  </w:num>
  <w:num w:numId="6" w16cid:durableId="19279081">
    <w:abstractNumId w:val="4"/>
  </w:num>
  <w:num w:numId="7" w16cid:durableId="1617519794">
    <w:abstractNumId w:val="10"/>
  </w:num>
  <w:num w:numId="8" w16cid:durableId="930316046">
    <w:abstractNumId w:val="4"/>
  </w:num>
  <w:num w:numId="9" w16cid:durableId="474489253">
    <w:abstractNumId w:val="4"/>
  </w:num>
  <w:num w:numId="10" w16cid:durableId="38744773">
    <w:abstractNumId w:val="4"/>
  </w:num>
  <w:num w:numId="11" w16cid:durableId="2122533827">
    <w:abstractNumId w:val="11"/>
  </w:num>
  <w:num w:numId="12" w16cid:durableId="489910919">
    <w:abstractNumId w:val="8"/>
  </w:num>
  <w:num w:numId="13" w16cid:durableId="378092930">
    <w:abstractNumId w:val="9"/>
  </w:num>
  <w:num w:numId="14" w16cid:durableId="217783211">
    <w:abstractNumId w:val="1"/>
  </w:num>
  <w:num w:numId="15" w16cid:durableId="9762256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CC9"/>
    <w:rsid w:val="00006654"/>
    <w:rsid w:val="00043CAA"/>
    <w:rsid w:val="00043ED3"/>
    <w:rsid w:val="000458E1"/>
    <w:rsid w:val="000526C3"/>
    <w:rsid w:val="00055DDC"/>
    <w:rsid w:val="00056816"/>
    <w:rsid w:val="00061A58"/>
    <w:rsid w:val="000740C3"/>
    <w:rsid w:val="00075432"/>
    <w:rsid w:val="000968ED"/>
    <w:rsid w:val="000A39EF"/>
    <w:rsid w:val="000A3D97"/>
    <w:rsid w:val="000C0CB5"/>
    <w:rsid w:val="000D2575"/>
    <w:rsid w:val="000E4BA5"/>
    <w:rsid w:val="000E55FC"/>
    <w:rsid w:val="000F2D17"/>
    <w:rsid w:val="000F5E56"/>
    <w:rsid w:val="00132DD1"/>
    <w:rsid w:val="001362EE"/>
    <w:rsid w:val="00146234"/>
    <w:rsid w:val="001647D5"/>
    <w:rsid w:val="001832A6"/>
    <w:rsid w:val="001A21C1"/>
    <w:rsid w:val="001B4042"/>
    <w:rsid w:val="001B7549"/>
    <w:rsid w:val="001C084C"/>
    <w:rsid w:val="001D2EDC"/>
    <w:rsid w:val="001D4107"/>
    <w:rsid w:val="001E008F"/>
    <w:rsid w:val="001E0F72"/>
    <w:rsid w:val="001F40C4"/>
    <w:rsid w:val="00203D24"/>
    <w:rsid w:val="002072C2"/>
    <w:rsid w:val="0021217E"/>
    <w:rsid w:val="002326AB"/>
    <w:rsid w:val="00243430"/>
    <w:rsid w:val="00252CC4"/>
    <w:rsid w:val="0025392F"/>
    <w:rsid w:val="002634C4"/>
    <w:rsid w:val="0027562D"/>
    <w:rsid w:val="00281924"/>
    <w:rsid w:val="002928D3"/>
    <w:rsid w:val="0029516F"/>
    <w:rsid w:val="002C0B18"/>
    <w:rsid w:val="002D4D8C"/>
    <w:rsid w:val="002E160B"/>
    <w:rsid w:val="002E7086"/>
    <w:rsid w:val="002E7586"/>
    <w:rsid w:val="002F14EE"/>
    <w:rsid w:val="002F1FE6"/>
    <w:rsid w:val="002F3F87"/>
    <w:rsid w:val="002F4E68"/>
    <w:rsid w:val="00307C44"/>
    <w:rsid w:val="00312F7F"/>
    <w:rsid w:val="003327B1"/>
    <w:rsid w:val="003338B6"/>
    <w:rsid w:val="00352093"/>
    <w:rsid w:val="003571A2"/>
    <w:rsid w:val="00361450"/>
    <w:rsid w:val="00362FAB"/>
    <w:rsid w:val="00363262"/>
    <w:rsid w:val="003673CF"/>
    <w:rsid w:val="00367A26"/>
    <w:rsid w:val="003845C1"/>
    <w:rsid w:val="0038760F"/>
    <w:rsid w:val="00396390"/>
    <w:rsid w:val="003A6F89"/>
    <w:rsid w:val="003B38C1"/>
    <w:rsid w:val="003B492E"/>
    <w:rsid w:val="003C04F9"/>
    <w:rsid w:val="003C34E9"/>
    <w:rsid w:val="003F787D"/>
    <w:rsid w:val="0040227D"/>
    <w:rsid w:val="00415585"/>
    <w:rsid w:val="004165AE"/>
    <w:rsid w:val="00423E3E"/>
    <w:rsid w:val="00424C14"/>
    <w:rsid w:val="00427AF4"/>
    <w:rsid w:val="00433C70"/>
    <w:rsid w:val="004647DA"/>
    <w:rsid w:val="00474062"/>
    <w:rsid w:val="00477D6B"/>
    <w:rsid w:val="0049063F"/>
    <w:rsid w:val="004A0FFE"/>
    <w:rsid w:val="004B7B84"/>
    <w:rsid w:val="004D3289"/>
    <w:rsid w:val="004D4E9B"/>
    <w:rsid w:val="004E109D"/>
    <w:rsid w:val="005019FF"/>
    <w:rsid w:val="00505280"/>
    <w:rsid w:val="0051292C"/>
    <w:rsid w:val="0053057A"/>
    <w:rsid w:val="005547EF"/>
    <w:rsid w:val="00556076"/>
    <w:rsid w:val="00556D4E"/>
    <w:rsid w:val="00560A29"/>
    <w:rsid w:val="005863C5"/>
    <w:rsid w:val="005978F0"/>
    <w:rsid w:val="005A7E26"/>
    <w:rsid w:val="005B1CF0"/>
    <w:rsid w:val="005B59BC"/>
    <w:rsid w:val="005C6649"/>
    <w:rsid w:val="005C7F35"/>
    <w:rsid w:val="005D2782"/>
    <w:rsid w:val="005E766D"/>
    <w:rsid w:val="00605827"/>
    <w:rsid w:val="006258D3"/>
    <w:rsid w:val="006323A1"/>
    <w:rsid w:val="006376D0"/>
    <w:rsid w:val="0064199E"/>
    <w:rsid w:val="00646050"/>
    <w:rsid w:val="00652E59"/>
    <w:rsid w:val="006713CA"/>
    <w:rsid w:val="00673AE7"/>
    <w:rsid w:val="006766FA"/>
    <w:rsid w:val="00676C5C"/>
    <w:rsid w:val="00695158"/>
    <w:rsid w:val="0069725D"/>
    <w:rsid w:val="006B3232"/>
    <w:rsid w:val="006D6678"/>
    <w:rsid w:val="006D76ED"/>
    <w:rsid w:val="006F3FA0"/>
    <w:rsid w:val="00720EFD"/>
    <w:rsid w:val="007270E2"/>
    <w:rsid w:val="00731896"/>
    <w:rsid w:val="00731DD4"/>
    <w:rsid w:val="007369AB"/>
    <w:rsid w:val="00737F0A"/>
    <w:rsid w:val="00747AE9"/>
    <w:rsid w:val="0075232F"/>
    <w:rsid w:val="007561C2"/>
    <w:rsid w:val="00765D19"/>
    <w:rsid w:val="007738E9"/>
    <w:rsid w:val="007751D8"/>
    <w:rsid w:val="007854AF"/>
    <w:rsid w:val="00791786"/>
    <w:rsid w:val="00793A7C"/>
    <w:rsid w:val="007A398A"/>
    <w:rsid w:val="007A64A5"/>
    <w:rsid w:val="007A702A"/>
    <w:rsid w:val="007A7BE2"/>
    <w:rsid w:val="007D1613"/>
    <w:rsid w:val="007E4C0E"/>
    <w:rsid w:val="00811B81"/>
    <w:rsid w:val="008138B1"/>
    <w:rsid w:val="008319D4"/>
    <w:rsid w:val="00846CF6"/>
    <w:rsid w:val="008528AC"/>
    <w:rsid w:val="0085337D"/>
    <w:rsid w:val="00874103"/>
    <w:rsid w:val="00887C32"/>
    <w:rsid w:val="008948A3"/>
    <w:rsid w:val="008A134B"/>
    <w:rsid w:val="008A5DDA"/>
    <w:rsid w:val="008B2CC1"/>
    <w:rsid w:val="008B4438"/>
    <w:rsid w:val="008B60B2"/>
    <w:rsid w:val="008C4A83"/>
    <w:rsid w:val="008C6A27"/>
    <w:rsid w:val="008D2E97"/>
    <w:rsid w:val="008D6A01"/>
    <w:rsid w:val="008E151E"/>
    <w:rsid w:val="008F2865"/>
    <w:rsid w:val="0090731E"/>
    <w:rsid w:val="00916EE2"/>
    <w:rsid w:val="0092483D"/>
    <w:rsid w:val="00937580"/>
    <w:rsid w:val="00950B32"/>
    <w:rsid w:val="00961C82"/>
    <w:rsid w:val="00966A22"/>
    <w:rsid w:val="0096722F"/>
    <w:rsid w:val="00970DF7"/>
    <w:rsid w:val="00980843"/>
    <w:rsid w:val="0098135E"/>
    <w:rsid w:val="00991CAF"/>
    <w:rsid w:val="00995E5B"/>
    <w:rsid w:val="009A2410"/>
    <w:rsid w:val="009C39FB"/>
    <w:rsid w:val="009C7DC9"/>
    <w:rsid w:val="009E2791"/>
    <w:rsid w:val="009E3F6F"/>
    <w:rsid w:val="009F499F"/>
    <w:rsid w:val="00A06014"/>
    <w:rsid w:val="00A1669B"/>
    <w:rsid w:val="00A17BD7"/>
    <w:rsid w:val="00A27603"/>
    <w:rsid w:val="00A302E0"/>
    <w:rsid w:val="00A359AE"/>
    <w:rsid w:val="00A37342"/>
    <w:rsid w:val="00A40E21"/>
    <w:rsid w:val="00A42DAF"/>
    <w:rsid w:val="00A45BD8"/>
    <w:rsid w:val="00A50682"/>
    <w:rsid w:val="00A624FE"/>
    <w:rsid w:val="00A80953"/>
    <w:rsid w:val="00A81342"/>
    <w:rsid w:val="00A869B7"/>
    <w:rsid w:val="00A90F0A"/>
    <w:rsid w:val="00A960D4"/>
    <w:rsid w:val="00AA0911"/>
    <w:rsid w:val="00AA5836"/>
    <w:rsid w:val="00AC205C"/>
    <w:rsid w:val="00AC33C1"/>
    <w:rsid w:val="00AC54AA"/>
    <w:rsid w:val="00AD2D64"/>
    <w:rsid w:val="00AD65F8"/>
    <w:rsid w:val="00AF0A6B"/>
    <w:rsid w:val="00AF0B39"/>
    <w:rsid w:val="00AF53AF"/>
    <w:rsid w:val="00AF639A"/>
    <w:rsid w:val="00B05A69"/>
    <w:rsid w:val="00B20FF9"/>
    <w:rsid w:val="00B335AE"/>
    <w:rsid w:val="00B355B6"/>
    <w:rsid w:val="00B46EFF"/>
    <w:rsid w:val="00B478A1"/>
    <w:rsid w:val="00B75281"/>
    <w:rsid w:val="00B80DE6"/>
    <w:rsid w:val="00B91DC3"/>
    <w:rsid w:val="00B92426"/>
    <w:rsid w:val="00B92F1F"/>
    <w:rsid w:val="00B9734B"/>
    <w:rsid w:val="00BA30E2"/>
    <w:rsid w:val="00BB1012"/>
    <w:rsid w:val="00BB1DAD"/>
    <w:rsid w:val="00BB3353"/>
    <w:rsid w:val="00BE762D"/>
    <w:rsid w:val="00C03897"/>
    <w:rsid w:val="00C05727"/>
    <w:rsid w:val="00C102C1"/>
    <w:rsid w:val="00C11BFE"/>
    <w:rsid w:val="00C159C4"/>
    <w:rsid w:val="00C25E6F"/>
    <w:rsid w:val="00C30583"/>
    <w:rsid w:val="00C3263B"/>
    <w:rsid w:val="00C4575D"/>
    <w:rsid w:val="00C5068F"/>
    <w:rsid w:val="00C86D74"/>
    <w:rsid w:val="00CA2303"/>
    <w:rsid w:val="00CD04F1"/>
    <w:rsid w:val="00CD6DE9"/>
    <w:rsid w:val="00CE14E1"/>
    <w:rsid w:val="00CE1FA8"/>
    <w:rsid w:val="00CE4CA6"/>
    <w:rsid w:val="00CF0999"/>
    <w:rsid w:val="00CF681A"/>
    <w:rsid w:val="00D07C78"/>
    <w:rsid w:val="00D12B46"/>
    <w:rsid w:val="00D1487A"/>
    <w:rsid w:val="00D15801"/>
    <w:rsid w:val="00D355DF"/>
    <w:rsid w:val="00D40D46"/>
    <w:rsid w:val="00D45252"/>
    <w:rsid w:val="00D600AB"/>
    <w:rsid w:val="00D62FEF"/>
    <w:rsid w:val="00D71B4D"/>
    <w:rsid w:val="00D74487"/>
    <w:rsid w:val="00D80CC9"/>
    <w:rsid w:val="00D8331F"/>
    <w:rsid w:val="00D86FEF"/>
    <w:rsid w:val="00D93D55"/>
    <w:rsid w:val="00D94CF6"/>
    <w:rsid w:val="00DA0946"/>
    <w:rsid w:val="00DA31C6"/>
    <w:rsid w:val="00DC627A"/>
    <w:rsid w:val="00DD7B7F"/>
    <w:rsid w:val="00DE5590"/>
    <w:rsid w:val="00DE735C"/>
    <w:rsid w:val="00DF7991"/>
    <w:rsid w:val="00E03DB8"/>
    <w:rsid w:val="00E15015"/>
    <w:rsid w:val="00E220C0"/>
    <w:rsid w:val="00E23C6E"/>
    <w:rsid w:val="00E23D6E"/>
    <w:rsid w:val="00E335FE"/>
    <w:rsid w:val="00E37139"/>
    <w:rsid w:val="00E45755"/>
    <w:rsid w:val="00E55A68"/>
    <w:rsid w:val="00E72584"/>
    <w:rsid w:val="00E76E3E"/>
    <w:rsid w:val="00E92E82"/>
    <w:rsid w:val="00E958F2"/>
    <w:rsid w:val="00EA3D2D"/>
    <w:rsid w:val="00EA7D6E"/>
    <w:rsid w:val="00EB2F76"/>
    <w:rsid w:val="00EB5DE4"/>
    <w:rsid w:val="00EC221D"/>
    <w:rsid w:val="00EC4E49"/>
    <w:rsid w:val="00ED2774"/>
    <w:rsid w:val="00ED77FB"/>
    <w:rsid w:val="00ED7B8F"/>
    <w:rsid w:val="00EE45FA"/>
    <w:rsid w:val="00EE4DF8"/>
    <w:rsid w:val="00F00476"/>
    <w:rsid w:val="00F0219F"/>
    <w:rsid w:val="00F043DE"/>
    <w:rsid w:val="00F064E2"/>
    <w:rsid w:val="00F417A0"/>
    <w:rsid w:val="00F42B02"/>
    <w:rsid w:val="00F55361"/>
    <w:rsid w:val="00F568E8"/>
    <w:rsid w:val="00F66152"/>
    <w:rsid w:val="00F8715A"/>
    <w:rsid w:val="00F9049A"/>
    <w:rsid w:val="00F9165B"/>
    <w:rsid w:val="00F93B6E"/>
    <w:rsid w:val="00F93E92"/>
    <w:rsid w:val="00FC482F"/>
    <w:rsid w:val="00FC5BA1"/>
    <w:rsid w:val="00FE0673"/>
    <w:rsid w:val="00FE148B"/>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D1A9B"/>
  <w15:docId w15:val="{0232E282-DD7E-48B6-A12B-E3FC6392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D80CC9"/>
    <w:rPr>
      <w:rFonts w:ascii="Arial" w:eastAsia="SimSun" w:hAnsi="Arial" w:cs="Arial"/>
      <w:bCs/>
      <w:iCs/>
      <w:caps/>
      <w:sz w:val="22"/>
      <w:szCs w:val="28"/>
      <w:lang w:val="en-US" w:eastAsia="zh-CN"/>
    </w:rPr>
  </w:style>
  <w:style w:type="paragraph" w:customStyle="1" w:styleId="Endofdocument">
    <w:name w:val="End of document"/>
    <w:basedOn w:val="Normal"/>
    <w:rsid w:val="00D80CC9"/>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D80CC9"/>
    <w:rPr>
      <w:rFonts w:ascii="Arial" w:eastAsia="SimSun" w:hAnsi="Arial" w:cs="Arial"/>
      <w:sz w:val="22"/>
      <w:lang w:val="en-US" w:eastAsia="zh-CN"/>
    </w:rPr>
  </w:style>
  <w:style w:type="character" w:styleId="Hyperlink">
    <w:name w:val="Hyperlink"/>
    <w:basedOn w:val="DefaultParagraphFont"/>
    <w:unhideWhenUsed/>
    <w:rsid w:val="000740C3"/>
    <w:rPr>
      <w:color w:val="0000FF" w:themeColor="hyperlink"/>
      <w:u w:val="single"/>
    </w:rPr>
  </w:style>
  <w:style w:type="character" w:styleId="CommentReference">
    <w:name w:val="annotation reference"/>
    <w:basedOn w:val="DefaultParagraphFont"/>
    <w:semiHidden/>
    <w:unhideWhenUsed/>
    <w:rsid w:val="00B335AE"/>
    <w:rPr>
      <w:sz w:val="16"/>
      <w:szCs w:val="16"/>
    </w:rPr>
  </w:style>
  <w:style w:type="paragraph" w:styleId="CommentSubject">
    <w:name w:val="annotation subject"/>
    <w:basedOn w:val="CommentText"/>
    <w:next w:val="CommentText"/>
    <w:link w:val="CommentSubjectChar"/>
    <w:semiHidden/>
    <w:unhideWhenUsed/>
    <w:rsid w:val="00B335AE"/>
    <w:rPr>
      <w:b/>
      <w:bCs/>
      <w:sz w:val="20"/>
    </w:rPr>
  </w:style>
  <w:style w:type="character" w:customStyle="1" w:styleId="CommentTextChar">
    <w:name w:val="Comment Text Char"/>
    <w:basedOn w:val="DefaultParagraphFont"/>
    <w:link w:val="CommentText"/>
    <w:semiHidden/>
    <w:rsid w:val="00B335A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335AE"/>
    <w:rPr>
      <w:rFonts w:ascii="Arial" w:eastAsia="SimSun" w:hAnsi="Arial" w:cs="Arial"/>
      <w:b/>
      <w:bCs/>
      <w:sz w:val="18"/>
      <w:lang w:val="en-US" w:eastAsia="zh-CN"/>
    </w:rPr>
  </w:style>
  <w:style w:type="paragraph" w:styleId="BalloonText">
    <w:name w:val="Balloon Text"/>
    <w:basedOn w:val="Normal"/>
    <w:link w:val="BalloonTextChar"/>
    <w:semiHidden/>
    <w:unhideWhenUsed/>
    <w:rsid w:val="00B335AE"/>
    <w:rPr>
      <w:rFonts w:ascii="Segoe UI" w:hAnsi="Segoe UI" w:cs="Segoe UI"/>
      <w:sz w:val="18"/>
      <w:szCs w:val="18"/>
    </w:rPr>
  </w:style>
  <w:style w:type="character" w:customStyle="1" w:styleId="BalloonTextChar">
    <w:name w:val="Balloon Text Char"/>
    <w:basedOn w:val="DefaultParagraphFont"/>
    <w:link w:val="BalloonText"/>
    <w:semiHidden/>
    <w:rsid w:val="00B335AE"/>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2D4D8C"/>
    <w:rPr>
      <w:color w:val="800080" w:themeColor="followedHyperlink"/>
      <w:u w:val="single"/>
    </w:rPr>
  </w:style>
  <w:style w:type="paragraph" w:styleId="Revision">
    <w:name w:val="Revision"/>
    <w:hidden/>
    <w:uiPriority w:val="99"/>
    <w:semiHidden/>
    <w:rsid w:val="003327B1"/>
    <w:rPr>
      <w:rFonts w:ascii="Arial" w:eastAsia="SimSun" w:hAnsi="Arial" w:cs="Arial"/>
      <w:sz w:val="22"/>
      <w:lang w:val="en-US" w:eastAsia="zh-CN"/>
    </w:rPr>
  </w:style>
  <w:style w:type="table" w:styleId="TableGrid">
    <w:name w:val="Table Grid"/>
    <w:basedOn w:val="TableNormal"/>
    <w:uiPriority w:val="39"/>
    <w:rsid w:val="00332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5DE4"/>
    <w:pPr>
      <w:ind w:left="720"/>
      <w:contextualSpacing/>
    </w:pPr>
  </w:style>
  <w:style w:type="character" w:styleId="UnresolvedMention">
    <w:name w:val="Unresolved Mention"/>
    <w:basedOn w:val="DefaultParagraphFont"/>
    <w:uiPriority w:val="99"/>
    <w:semiHidden/>
    <w:unhideWhenUsed/>
    <w:rsid w:val="00FE1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828757">
      <w:bodyDiv w:val="1"/>
      <w:marLeft w:val="0"/>
      <w:marRight w:val="0"/>
      <w:marTop w:val="0"/>
      <w:marBottom w:val="0"/>
      <w:divBdr>
        <w:top w:val="none" w:sz="0" w:space="0" w:color="auto"/>
        <w:left w:val="none" w:sz="0" w:space="0" w:color="auto"/>
        <w:bottom w:val="none" w:sz="0" w:space="0" w:color="auto"/>
        <w:right w:val="none" w:sz="0" w:space="0" w:color="auto"/>
      </w:divBdr>
    </w:div>
    <w:div w:id="1267539194">
      <w:bodyDiv w:val="1"/>
      <w:marLeft w:val="0"/>
      <w:marRight w:val="0"/>
      <w:marTop w:val="0"/>
      <w:marBottom w:val="0"/>
      <w:divBdr>
        <w:top w:val="none" w:sz="0" w:space="0" w:color="auto"/>
        <w:left w:val="none" w:sz="0" w:space="0" w:color="auto"/>
        <w:bottom w:val="none" w:sz="0" w:space="0" w:color="auto"/>
        <w:right w:val="none" w:sz="0" w:space="0" w:color="auto"/>
      </w:divBdr>
    </w:div>
    <w:div w:id="173607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wipo.int/confluence/display/ATR/Browse+by+Yea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73886-CC89-487D-AC0E-1BB3C77E8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(E).dotm</Template>
  <TotalTime>636</TotalTime>
  <Pages>3</Pages>
  <Words>866</Words>
  <Characters>4719</Characters>
  <Application>Microsoft Office Word</Application>
  <DocSecurity>0</DocSecurity>
  <Lines>147</Lines>
  <Paragraphs>90</Paragraphs>
  <ScaleCrop>false</ScaleCrop>
  <HeadingPairs>
    <vt:vector size="2" baseType="variant">
      <vt:variant>
        <vt:lpstr>Title</vt:lpstr>
      </vt:variant>
      <vt:variant>
        <vt:i4>1</vt:i4>
      </vt:variant>
    </vt:vector>
  </HeadingPairs>
  <TitlesOfParts>
    <vt:vector size="1" baseType="lpstr">
      <vt:lpstr>CWS/12/24</vt:lpstr>
    </vt:vector>
  </TitlesOfParts>
  <Company>WIPO</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CWS/12/24</dc:title>
  <dc:subject>Report on 2021 Annual Technical Reports (ATRs)</dc:subject>
  <dc:creator>WIPO</dc:creator>
  <cp:keywords>CWS/12</cp:keywords>
  <cp:lastModifiedBy>BLANCHET Gaspard</cp:lastModifiedBy>
  <cp:revision>33</cp:revision>
  <cp:lastPrinted>2011-02-15T11:56:00Z</cp:lastPrinted>
  <dcterms:created xsi:type="dcterms:W3CDTF">2022-09-20T08:59:00Z</dcterms:created>
  <dcterms:modified xsi:type="dcterms:W3CDTF">2024-08-15T08:04:00Z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f6ba8c86-fb0f-489e-8545-6668e70cf7ff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2024-08-15T08:03:32Z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8090fd23-adec-43bf-a007-7b14a91e04ee</vt:lpwstr>
  </property>
  <property fmtid="{D5CDD505-2E9C-101B-9397-08002B2CF9AE}" pid="14" name="MSIP_Label_20773ee6-353b-4fb9-a59d-0b94c8c67bea_ContentBits">
    <vt:lpwstr>0</vt:lpwstr>
  </property>
</Properties>
</file>