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530C" w14:textId="77777777" w:rsidR="008B2CC1" w:rsidRPr="008B2CC1" w:rsidRDefault="00873EE5" w:rsidP="00F11D94">
      <w:pPr>
        <w:spacing w:after="120"/>
        <w:jc w:val="right"/>
      </w:pPr>
      <w:r>
        <w:rPr>
          <w:noProof/>
          <w:sz w:val="28"/>
          <w:szCs w:val="28"/>
          <w:lang w:eastAsia="ja-JP"/>
        </w:rPr>
        <w:drawing>
          <wp:inline distT="0" distB="0" distL="0" distR="0" wp14:anchorId="6624C1DF" wp14:editId="2B2E676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2E41704C" wp14:editId="1F7DEEF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184C4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8EBE507" w14:textId="0D0F8226"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82EA2">
        <w:rPr>
          <w:rFonts w:ascii="Arial Black" w:hAnsi="Arial Black"/>
          <w:caps/>
          <w:sz w:val="15"/>
          <w:szCs w:val="15"/>
        </w:rPr>
        <w:t>2</w:t>
      </w:r>
      <w:r>
        <w:rPr>
          <w:rFonts w:ascii="Arial Black" w:hAnsi="Arial Black"/>
          <w:caps/>
          <w:sz w:val="15"/>
          <w:szCs w:val="15"/>
        </w:rPr>
        <w:t>/</w:t>
      </w:r>
      <w:bookmarkStart w:id="0" w:name="Code"/>
      <w:bookmarkEnd w:id="0"/>
      <w:r w:rsidR="006B0EC8">
        <w:rPr>
          <w:rFonts w:ascii="Arial Black" w:hAnsi="Arial Black"/>
          <w:caps/>
          <w:sz w:val="15"/>
          <w:szCs w:val="15"/>
        </w:rPr>
        <w:t>2</w:t>
      </w:r>
      <w:r w:rsidR="00C40E51">
        <w:rPr>
          <w:rFonts w:ascii="Arial Black" w:hAnsi="Arial Black"/>
          <w:caps/>
          <w:sz w:val="15"/>
          <w:szCs w:val="15"/>
        </w:rPr>
        <w:t>7</w:t>
      </w:r>
      <w:r w:rsidR="008B4B5E">
        <w:rPr>
          <w:rFonts w:ascii="Arial Black" w:hAnsi="Arial Black"/>
          <w:caps/>
          <w:sz w:val="15"/>
          <w:szCs w:val="15"/>
        </w:rPr>
        <w:t xml:space="preserve"> </w:t>
      </w:r>
    </w:p>
    <w:p w14:paraId="6CBE1D13" w14:textId="4505750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40E51">
        <w:rPr>
          <w:rFonts w:ascii="Arial Black" w:hAnsi="Arial Black"/>
          <w:caps/>
          <w:sz w:val="15"/>
          <w:szCs w:val="15"/>
        </w:rPr>
        <w:t>English</w:t>
      </w:r>
    </w:p>
    <w:bookmarkEnd w:id="1"/>
    <w:p w14:paraId="546E5272" w14:textId="77A32E4E"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6B0EC8">
        <w:rPr>
          <w:rFonts w:ascii="Arial Black" w:hAnsi="Arial Black"/>
          <w:caps/>
          <w:sz w:val="15"/>
          <w:szCs w:val="15"/>
        </w:rPr>
        <w:t>August</w:t>
      </w:r>
      <w:r w:rsidR="00C40E51">
        <w:rPr>
          <w:rFonts w:ascii="Arial Black" w:hAnsi="Arial Black"/>
          <w:caps/>
          <w:sz w:val="15"/>
          <w:szCs w:val="15"/>
        </w:rPr>
        <w:t xml:space="preserve"> </w:t>
      </w:r>
      <w:r w:rsidR="000531A5">
        <w:rPr>
          <w:rFonts w:ascii="Arial Black" w:hAnsi="Arial Black"/>
          <w:caps/>
          <w:sz w:val="15"/>
          <w:szCs w:val="15"/>
        </w:rPr>
        <w:t>13</w:t>
      </w:r>
      <w:r w:rsidR="00C40E51">
        <w:rPr>
          <w:rFonts w:ascii="Arial Black" w:hAnsi="Arial Black"/>
          <w:caps/>
          <w:sz w:val="15"/>
          <w:szCs w:val="15"/>
        </w:rPr>
        <w:t>, 2024</w:t>
      </w:r>
    </w:p>
    <w:bookmarkEnd w:id="2"/>
    <w:p w14:paraId="275DB2A9" w14:textId="77777777" w:rsidR="008B2CC1" w:rsidRPr="000817DB" w:rsidRDefault="000817DB" w:rsidP="00CE65D4">
      <w:pPr>
        <w:spacing w:after="600"/>
        <w:rPr>
          <w:b/>
          <w:sz w:val="28"/>
          <w:szCs w:val="28"/>
        </w:rPr>
      </w:pPr>
      <w:r w:rsidRPr="000817DB">
        <w:rPr>
          <w:b/>
          <w:sz w:val="28"/>
          <w:szCs w:val="28"/>
        </w:rPr>
        <w:t>Committee on WIPO Standards (CWS)</w:t>
      </w:r>
    </w:p>
    <w:p w14:paraId="509BCFAA" w14:textId="77777777" w:rsidR="008B2CC1" w:rsidRPr="000817DB" w:rsidRDefault="00F82EA2" w:rsidP="008B2CC1">
      <w:pPr>
        <w:rPr>
          <w:b/>
          <w:sz w:val="28"/>
          <w:szCs w:val="24"/>
        </w:rPr>
      </w:pPr>
      <w:r>
        <w:rPr>
          <w:b/>
          <w:sz w:val="24"/>
        </w:rPr>
        <w:t>Twelf</w:t>
      </w:r>
      <w:r w:rsidR="000817DB" w:rsidRPr="000817DB">
        <w:rPr>
          <w:b/>
          <w:sz w:val="24"/>
        </w:rPr>
        <w:t>th Session</w:t>
      </w:r>
    </w:p>
    <w:p w14:paraId="047A9789" w14:textId="59753898" w:rsidR="008B2CC1" w:rsidRPr="000817DB" w:rsidRDefault="000817DB" w:rsidP="00CE65D4">
      <w:pPr>
        <w:spacing w:after="720"/>
        <w:rPr>
          <w:sz w:val="24"/>
        </w:rPr>
      </w:pPr>
      <w:r w:rsidRPr="000817DB">
        <w:rPr>
          <w:b/>
          <w:sz w:val="24"/>
        </w:rPr>
        <w:t xml:space="preserve">Geneva, </w:t>
      </w:r>
      <w:r w:rsidR="00F82EA2">
        <w:rPr>
          <w:b/>
          <w:sz w:val="24"/>
        </w:rPr>
        <w:t>September</w:t>
      </w:r>
      <w:r w:rsidRPr="000817DB">
        <w:rPr>
          <w:b/>
          <w:sz w:val="24"/>
        </w:rPr>
        <w:t xml:space="preserve"> </w:t>
      </w:r>
      <w:r w:rsidR="00F82EA2">
        <w:rPr>
          <w:b/>
          <w:sz w:val="24"/>
        </w:rPr>
        <w:t>16</w:t>
      </w:r>
      <w:r w:rsidRPr="000817DB">
        <w:rPr>
          <w:b/>
          <w:sz w:val="24"/>
        </w:rPr>
        <w:t xml:space="preserve"> to </w:t>
      </w:r>
      <w:r w:rsidR="007957FB">
        <w:rPr>
          <w:b/>
          <w:sz w:val="24"/>
        </w:rPr>
        <w:t>19</w:t>
      </w:r>
      <w:r w:rsidRPr="000817DB">
        <w:rPr>
          <w:b/>
          <w:sz w:val="24"/>
        </w:rPr>
        <w:t>, 202</w:t>
      </w:r>
      <w:r w:rsidR="00F82EA2">
        <w:rPr>
          <w:b/>
          <w:sz w:val="24"/>
        </w:rPr>
        <w:t>4</w:t>
      </w:r>
    </w:p>
    <w:p w14:paraId="6E141006" w14:textId="0DC4D671" w:rsidR="008B2CC1" w:rsidRPr="009F3BF9" w:rsidRDefault="003A76CA" w:rsidP="00CE65D4">
      <w:pPr>
        <w:spacing w:after="360"/>
        <w:rPr>
          <w:caps/>
          <w:sz w:val="24"/>
        </w:rPr>
      </w:pPr>
      <w:bookmarkStart w:id="3" w:name="TitleOfDoc"/>
      <w:r w:rsidRPr="003A76CA">
        <w:rPr>
          <w:caps/>
          <w:sz w:val="24"/>
        </w:rPr>
        <w:t>Recommendations on Blockchain Applications in the United Nations system by the Joint Inspection Unit</w:t>
      </w:r>
    </w:p>
    <w:p w14:paraId="12B7AB4C" w14:textId="0B987A62" w:rsidR="008B2CC1" w:rsidRDefault="00C40E51" w:rsidP="00CE65D4">
      <w:pPr>
        <w:spacing w:after="960"/>
        <w:rPr>
          <w:i/>
        </w:rPr>
      </w:pPr>
      <w:bookmarkStart w:id="4" w:name="Prepared"/>
      <w:bookmarkEnd w:id="3"/>
      <w:r>
        <w:rPr>
          <w:i/>
        </w:rPr>
        <w:t xml:space="preserve">Document prepared by the </w:t>
      </w:r>
      <w:r w:rsidR="00A475FF">
        <w:rPr>
          <w:i/>
        </w:rPr>
        <w:t>International Bureau</w:t>
      </w:r>
    </w:p>
    <w:p w14:paraId="05FE79BC" w14:textId="1922DF60" w:rsidR="00C40E51" w:rsidRDefault="00C40E51" w:rsidP="00C40E51">
      <w:pPr>
        <w:pStyle w:val="Heading2"/>
      </w:pPr>
      <w:r>
        <w:t>SUMMARY</w:t>
      </w:r>
    </w:p>
    <w:p w14:paraId="6E9F42AB" w14:textId="27600BCA" w:rsidR="00C40E51" w:rsidRDefault="00C40E51" w:rsidP="00C40E51">
      <w:r>
        <w:fldChar w:fldCharType="begin"/>
      </w:r>
      <w:r>
        <w:instrText xml:space="preserve"> AUTONUM  </w:instrText>
      </w:r>
      <w:r>
        <w:fldChar w:fldCharType="end"/>
      </w:r>
      <w:r>
        <w:tab/>
        <w:t xml:space="preserve"> </w:t>
      </w:r>
      <w:r w:rsidR="00376266">
        <w:t>Th</w:t>
      </w:r>
      <w:r w:rsidR="003A76CA">
        <w:t xml:space="preserve">is document explains the </w:t>
      </w:r>
      <w:r w:rsidR="003A76CA" w:rsidRPr="003A76CA">
        <w:tab/>
        <w:t xml:space="preserve">Recommendations on Blockchain Applications in the United Nations system by the Joint Inspection Unit </w:t>
      </w:r>
      <w:r w:rsidR="003A76CA">
        <w:t xml:space="preserve">of the United Nations System </w:t>
      </w:r>
      <w:r w:rsidR="003A76CA" w:rsidRPr="003A76CA">
        <w:t>(JIU)</w:t>
      </w:r>
      <w:r w:rsidR="00376266">
        <w:t>.</w:t>
      </w:r>
      <w:r w:rsidR="003A76CA">
        <w:t xml:space="preserve">  The </w:t>
      </w:r>
      <w:r w:rsidR="00A475FF">
        <w:t xml:space="preserve">International Bureau </w:t>
      </w:r>
      <w:r w:rsidR="00823917">
        <w:t>shares its</w:t>
      </w:r>
      <w:r w:rsidR="003A76CA">
        <w:t xml:space="preserve"> implementation status of those Recommendations and </w:t>
      </w:r>
      <w:r w:rsidR="00823917">
        <w:t xml:space="preserve">invites the </w:t>
      </w:r>
      <w:r w:rsidR="00823917" w:rsidRPr="008273CA">
        <w:t xml:space="preserve">Committee on WIPO Standards (CWS) </w:t>
      </w:r>
      <w:r w:rsidR="00823917">
        <w:t xml:space="preserve">to </w:t>
      </w:r>
      <w:r w:rsidR="003A76CA">
        <w:t xml:space="preserve">encourage the </w:t>
      </w:r>
      <w:r w:rsidR="00A475FF">
        <w:t xml:space="preserve">Intellectual Property Offices (IPOs) </w:t>
      </w:r>
      <w:r w:rsidR="003A76CA">
        <w:t xml:space="preserve">to </w:t>
      </w:r>
      <w:r w:rsidR="00A475FF">
        <w:t>consider ‘</w:t>
      </w:r>
      <w:r w:rsidR="003A76CA">
        <w:t>Recommendation 6</w:t>
      </w:r>
      <w:r w:rsidR="00A475FF">
        <w:t xml:space="preserve">’ and implement it where applicable. </w:t>
      </w:r>
      <w:r w:rsidR="003A76CA">
        <w:t xml:space="preserve"> </w:t>
      </w:r>
    </w:p>
    <w:p w14:paraId="4DD3417C" w14:textId="3DABDD8C" w:rsidR="00C40E51" w:rsidRDefault="00C40E51" w:rsidP="00C40E51">
      <w:pPr>
        <w:pStyle w:val="Heading2"/>
      </w:pPr>
      <w:r>
        <w:t>Background</w:t>
      </w:r>
    </w:p>
    <w:p w14:paraId="6C0E44AC" w14:textId="76140117" w:rsidR="003A76CA" w:rsidRDefault="00C40E51" w:rsidP="00364D43">
      <w:pPr>
        <w:spacing w:after="240"/>
      </w:pPr>
      <w:r>
        <w:fldChar w:fldCharType="begin"/>
      </w:r>
      <w:r>
        <w:instrText xml:space="preserve"> AUTONUM  </w:instrText>
      </w:r>
      <w:r>
        <w:fldChar w:fldCharType="end"/>
      </w:r>
      <w:r>
        <w:tab/>
      </w:r>
      <w:r w:rsidR="003A76CA">
        <w:t xml:space="preserve">JIU </w:t>
      </w:r>
      <w:r w:rsidR="003A76CA" w:rsidRPr="003A76CA">
        <w:t>published in 2020 its report “</w:t>
      </w:r>
      <w:hyperlink r:id="rId9" w:tgtFrame="_blank" w:history="1">
        <w:r w:rsidR="003A76CA" w:rsidRPr="003A76CA">
          <w:rPr>
            <w:rStyle w:val="Hyperlink"/>
          </w:rPr>
          <w:t>Blockchain applications in the United Nations system: towards a state of readiness</w:t>
        </w:r>
      </w:hyperlink>
      <w:r w:rsidR="003A76CA" w:rsidRPr="003A76CA">
        <w:t xml:space="preserve">”. </w:t>
      </w:r>
      <w:r w:rsidR="003A76CA">
        <w:t xml:space="preserve"> </w:t>
      </w:r>
      <w:r w:rsidR="006833CF">
        <w:t>JIU says that “</w:t>
      </w:r>
      <w:r w:rsidR="000531A5">
        <w:t>[</w:t>
      </w:r>
      <w:r w:rsidR="006833CF">
        <w:t>t</w:t>
      </w:r>
      <w:r w:rsidR="000531A5">
        <w:t>]</w:t>
      </w:r>
      <w:r w:rsidR="003A76CA" w:rsidRPr="000531A5">
        <w:rPr>
          <w:i/>
          <w:iCs/>
        </w:rPr>
        <w:t>he report intends to provide a contribution to the collective efforts triggered by recent overarching strategies on new technologies and the future of work, which address the issue of innovation and the use of digital technologies by the United Nations system in an action-oriented approach.</w:t>
      </w:r>
      <w:r w:rsidR="006833CF">
        <w:t>”</w:t>
      </w:r>
      <w:r w:rsidR="003A76CA" w:rsidRPr="003A76CA">
        <w:t xml:space="preserve">  </w:t>
      </w:r>
      <w:r w:rsidR="00364D43">
        <w:t>The report includes eight formal recommendations</w:t>
      </w:r>
      <w:r w:rsidR="0050633C">
        <w:t xml:space="preserve"> addressed to participating </w:t>
      </w:r>
      <w:r w:rsidR="006833CF">
        <w:t>United Nations</w:t>
      </w:r>
      <w:r w:rsidR="0050633C">
        <w:t xml:space="preserve"> system organizations,</w:t>
      </w:r>
      <w:r w:rsidR="00364D43">
        <w:t xml:space="preserve"> in which JIU proposes guidance </w:t>
      </w:r>
      <w:r w:rsidR="0050633C">
        <w:t>for how to</w:t>
      </w:r>
      <w:r w:rsidR="00364D43">
        <w:t xml:space="preserve"> integrat</w:t>
      </w:r>
      <w:r w:rsidR="0050633C">
        <w:t>e</w:t>
      </w:r>
      <w:r w:rsidR="00364D43">
        <w:t xml:space="preserve"> blockchain use into the overall innovation strategies and policies; </w:t>
      </w:r>
      <w:r w:rsidR="0050633C">
        <w:t xml:space="preserve">how to support </w:t>
      </w:r>
      <w:r w:rsidR="00364D43">
        <w:t xml:space="preserve">knowledge sharing and capacity building; </w:t>
      </w:r>
      <w:r w:rsidR="00431892">
        <w:t xml:space="preserve">and </w:t>
      </w:r>
      <w:r w:rsidR="00364D43">
        <w:t xml:space="preserve">risk management.  </w:t>
      </w:r>
    </w:p>
    <w:p w14:paraId="77376398" w14:textId="5C842121" w:rsidR="008F1C01" w:rsidRDefault="00A475FF" w:rsidP="008F1C01">
      <w:pPr>
        <w:pStyle w:val="Heading2"/>
      </w:pPr>
      <w:r>
        <w:t xml:space="preserve">Relevance </w:t>
      </w:r>
      <w:r w:rsidR="008273CA">
        <w:t xml:space="preserve">of the Recommendations </w:t>
      </w:r>
      <w:r>
        <w:t xml:space="preserve">to </w:t>
      </w:r>
      <w:r w:rsidR="008F1C01" w:rsidRPr="008F1C01">
        <w:t xml:space="preserve">Wipo </w:t>
      </w:r>
      <w:r>
        <w:t>Activities</w:t>
      </w:r>
    </w:p>
    <w:p w14:paraId="08DBE6F1" w14:textId="0AF0C728" w:rsidR="008F1C01" w:rsidRDefault="009E04F9" w:rsidP="00BB4E34">
      <w:pPr>
        <w:spacing w:after="240"/>
      </w:pPr>
      <w:r>
        <w:fldChar w:fldCharType="begin"/>
      </w:r>
      <w:r>
        <w:instrText xml:space="preserve"> AUTONUM  </w:instrText>
      </w:r>
      <w:r>
        <w:fldChar w:fldCharType="end"/>
      </w:r>
      <w:r>
        <w:tab/>
      </w:r>
      <w:r w:rsidR="00472A37">
        <w:t xml:space="preserve">The International Bureau considered that </w:t>
      </w:r>
      <w:r w:rsidR="009E4649">
        <w:t xml:space="preserve">the five </w:t>
      </w:r>
      <w:r w:rsidR="00A475FF">
        <w:t xml:space="preserve">following </w:t>
      </w:r>
      <w:r w:rsidR="00472A37">
        <w:t>Recommendations 1, 2, 3, 4 and 6</w:t>
      </w:r>
      <w:r w:rsidR="009E4649">
        <w:t xml:space="preserve"> </w:t>
      </w:r>
      <w:r w:rsidR="00823917">
        <w:t xml:space="preserve">were </w:t>
      </w:r>
      <w:r w:rsidR="00472A37">
        <w:t>relevant to its work</w:t>
      </w:r>
      <w:r w:rsidR="009E4649">
        <w:t>; and took some actions to implement them</w:t>
      </w:r>
      <w:r w:rsidR="00472A37">
        <w:t xml:space="preserve">.  </w:t>
      </w:r>
      <w:r w:rsidR="00A475FF">
        <w:t>The International Bureau</w:t>
      </w:r>
      <w:r w:rsidR="001F4262">
        <w:t xml:space="preserve"> shared with JIU </w:t>
      </w:r>
      <w:r w:rsidR="003A6839">
        <w:t xml:space="preserve">the </w:t>
      </w:r>
      <w:r w:rsidR="001F4262">
        <w:t xml:space="preserve">implementation status of those </w:t>
      </w:r>
      <w:r w:rsidR="003A6839">
        <w:t xml:space="preserve">specified </w:t>
      </w:r>
      <w:r w:rsidR="001F4262">
        <w:t>Recommendations</w:t>
      </w:r>
      <w:r w:rsidR="008273CA">
        <w:t>.</w:t>
      </w:r>
    </w:p>
    <w:p w14:paraId="1AFB31F4" w14:textId="77777777" w:rsidR="00163832" w:rsidRDefault="00163832">
      <w:r>
        <w:br w:type="page"/>
      </w:r>
    </w:p>
    <w:p w14:paraId="59A7E4C9" w14:textId="202A89F5" w:rsidR="00823917" w:rsidRPr="008273CA" w:rsidRDefault="00823917" w:rsidP="00823917">
      <w:pPr>
        <w:spacing w:after="240"/>
      </w:pPr>
      <w:r>
        <w:lastRenderedPageBreak/>
        <w:fldChar w:fldCharType="begin"/>
      </w:r>
      <w:r>
        <w:instrText xml:space="preserve"> AUTONUM  </w:instrText>
      </w:r>
      <w:r>
        <w:fldChar w:fldCharType="end"/>
      </w:r>
      <w:r>
        <w:tab/>
      </w:r>
      <w:r w:rsidRPr="008273CA">
        <w:t xml:space="preserve">The </w:t>
      </w:r>
      <w:r>
        <w:t xml:space="preserve">CWS </w:t>
      </w:r>
      <w:r w:rsidRPr="008273CA">
        <w:t>created the Blockchain Task Force at its sixth session in 2019</w:t>
      </w:r>
      <w:r>
        <w:t xml:space="preserve"> aiming to e</w:t>
      </w:r>
      <w:r w:rsidRPr="00823917">
        <w:t>xplore the possibility of using blockchain technology in the processes of providing IP rights protection, processing information about IP objects and their use</w:t>
      </w:r>
      <w:r>
        <w:t xml:space="preserve">.  </w:t>
      </w:r>
      <w:r w:rsidRPr="008273CA">
        <w:t>The International Bureau shared with the Task Force the JIU Recommendations</w:t>
      </w:r>
      <w:r>
        <w:t>, in particular</w:t>
      </w:r>
      <w:r w:rsidRPr="008273CA">
        <w:t xml:space="preserve"> Recommendation 6</w:t>
      </w:r>
      <w:r>
        <w:t>:</w:t>
      </w:r>
      <w:r w:rsidRPr="008273CA">
        <w:t xml:space="preserve"> </w:t>
      </w:r>
    </w:p>
    <w:p w14:paraId="1900D10F" w14:textId="77777777" w:rsidR="00823917" w:rsidRPr="008273CA" w:rsidRDefault="00823917" w:rsidP="00823917">
      <w:pPr>
        <w:spacing w:after="240"/>
        <w:ind w:left="567"/>
        <w:rPr>
          <w:i/>
          <w:iCs/>
          <w:u w:val="single"/>
        </w:rPr>
      </w:pPr>
      <w:r w:rsidRPr="008273CA">
        <w:rPr>
          <w:i/>
          <w:iCs/>
          <w:u w:val="single"/>
        </w:rPr>
        <w:t>Recommendation 6</w:t>
      </w:r>
    </w:p>
    <w:p w14:paraId="4F60E9D1" w14:textId="77777777" w:rsidR="00823917" w:rsidRPr="008273CA" w:rsidRDefault="00823917" w:rsidP="00823917">
      <w:pPr>
        <w:spacing w:after="240"/>
        <w:ind w:left="567"/>
        <w:rPr>
          <w:i/>
          <w:iCs/>
        </w:rPr>
      </w:pPr>
      <w:r w:rsidRPr="008273CA">
        <w:rPr>
          <w:i/>
          <w:iCs/>
        </w:rPr>
        <w:t>The governing bodies of the United Nations system organizations should encourage Member States to engage with the United Nations Commission on International Trade Law in its exploratory and preparatory work on legal issues that relate to blockchain in the broader context of the digital economy and digital trade, including on dispute resolution, which is aimed at reducing legal insecurity in that field.</w:t>
      </w:r>
    </w:p>
    <w:p w14:paraId="53F6C7B3" w14:textId="6BAFB1B1" w:rsidR="00823917" w:rsidRPr="009500A7" w:rsidRDefault="00823917" w:rsidP="00823917">
      <w:pPr>
        <w:spacing w:after="240"/>
      </w:pPr>
      <w:r>
        <w:fldChar w:fldCharType="begin"/>
      </w:r>
      <w:r>
        <w:instrText xml:space="preserve"> AUTONUM  </w:instrText>
      </w:r>
      <w:r>
        <w:fldChar w:fldCharType="end"/>
      </w:r>
      <w:r>
        <w:tab/>
      </w:r>
      <w:r w:rsidRPr="008273CA">
        <w:t xml:space="preserve">In </w:t>
      </w:r>
      <w:r>
        <w:t xml:space="preserve">relation to Recommendation 6, the International Bureau </w:t>
      </w:r>
      <w:r w:rsidRPr="008273CA">
        <w:t xml:space="preserve">introduced </w:t>
      </w:r>
      <w:r>
        <w:t xml:space="preserve">to the Task Force </w:t>
      </w:r>
      <w:r w:rsidRPr="008273CA">
        <w:t>some activities of the United Nations Commission on International Trade Law (UNCITRAL)</w:t>
      </w:r>
      <w:r>
        <w:t xml:space="preserve"> and </w:t>
      </w:r>
      <w:r w:rsidRPr="008273CA">
        <w:t xml:space="preserve">provided </w:t>
      </w:r>
      <w:r>
        <w:t xml:space="preserve">in 2022 </w:t>
      </w:r>
      <w:r w:rsidRPr="008273CA">
        <w:t>its analysis of the </w:t>
      </w:r>
      <w:hyperlink r:id="rId10" w:tgtFrame="_blank" w:history="1">
        <w:r w:rsidRPr="008273CA">
          <w:rPr>
            <w:rStyle w:val="Hyperlink"/>
          </w:rPr>
          <w:t>UNCITRAL Model Law on Electronic Transferable Records</w:t>
        </w:r>
      </w:hyperlink>
      <w:r w:rsidRPr="008273CA">
        <w:t> published in 2017 by UNCITRAL, which aims to enable the legal use of electronic transferable records both domestically and across borders.  </w:t>
      </w:r>
    </w:p>
    <w:p w14:paraId="511795AA" w14:textId="0D9680BC" w:rsidR="00921C3F" w:rsidRDefault="009E04F9" w:rsidP="00921C3F">
      <w:pPr>
        <w:spacing w:after="240"/>
      </w:pPr>
      <w:r>
        <w:fldChar w:fldCharType="begin"/>
      </w:r>
      <w:r>
        <w:instrText xml:space="preserve"> AUTONUM  </w:instrText>
      </w:r>
      <w:r>
        <w:fldChar w:fldCharType="end"/>
      </w:r>
      <w:r>
        <w:tab/>
      </w:r>
      <w:r w:rsidR="00823917">
        <w:t>As a relevant activity, t</w:t>
      </w:r>
      <w:r w:rsidR="001F4262">
        <w:t>he International Bureau explored potential applications and opportunities presented by blockchain technologies to IP ecosystems</w:t>
      </w:r>
      <w:r w:rsidR="00921C3F">
        <w:t>. The International Bureau published “</w:t>
      </w:r>
      <w:hyperlink r:id="rId11" w:history="1">
        <w:r w:rsidR="00921C3F" w:rsidRPr="00921C3F">
          <w:rPr>
            <w:rStyle w:val="Hyperlink"/>
          </w:rPr>
          <w:t>Blockchain technologies and IP ecosystems: A WIPO white paper</w:t>
        </w:r>
      </w:hyperlink>
      <w:r w:rsidR="00921C3F">
        <w:t xml:space="preserve">” in 2022 that identifies </w:t>
      </w:r>
      <w:r w:rsidR="00A475FF">
        <w:t>13</w:t>
      </w:r>
      <w:r w:rsidR="00921C3F">
        <w:t xml:space="preserve"> potential use cases of the technologies in IP ecosystems as well as the challenges and issues that should be addressed to determine the feasibility and cost-effectiveness of utilizing such technologies for the benefit of all IP stakeholders.  The white paper </w:t>
      </w:r>
      <w:r w:rsidR="0050633C">
        <w:t xml:space="preserve">assists </w:t>
      </w:r>
      <w:r w:rsidR="00921C3F">
        <w:t>IP offices and other interested parties with the</w:t>
      </w:r>
      <w:r w:rsidR="0050633C">
        <w:t xml:space="preserve"> drafting of their</w:t>
      </w:r>
      <w:r w:rsidR="00921C3F">
        <w:t xml:space="preserve"> strategic policy and</w:t>
      </w:r>
      <w:r w:rsidR="0050633C">
        <w:t xml:space="preserve"> supports</w:t>
      </w:r>
      <w:r w:rsidR="00921C3F">
        <w:t xml:space="preserve"> decision making on the adoption of blockchain technologies in their businesses.</w:t>
      </w:r>
    </w:p>
    <w:p w14:paraId="1401F098" w14:textId="679D0E24" w:rsidR="00BB4E34" w:rsidRDefault="008273CA" w:rsidP="00BB4E34">
      <w:pPr>
        <w:pStyle w:val="Heading2"/>
      </w:pPr>
      <w:r>
        <w:t xml:space="preserve">implementation Progress of the Recommendations and </w:t>
      </w:r>
      <w:r w:rsidR="00BB4E34">
        <w:t>Propos</w:t>
      </w:r>
      <w:r w:rsidR="00F5605B">
        <w:t>ed Actions</w:t>
      </w:r>
    </w:p>
    <w:p w14:paraId="404877EE" w14:textId="63E6F6AD" w:rsidR="008273CA" w:rsidRDefault="009E04F9" w:rsidP="0002035B">
      <w:pPr>
        <w:spacing w:after="240"/>
      </w:pPr>
      <w:r>
        <w:fldChar w:fldCharType="begin"/>
      </w:r>
      <w:r>
        <w:instrText xml:space="preserve"> AUTONUM  </w:instrText>
      </w:r>
      <w:r>
        <w:fldChar w:fldCharType="end"/>
      </w:r>
      <w:r>
        <w:tab/>
      </w:r>
      <w:r w:rsidR="008273CA">
        <w:t>The International Bureau has reported its implementation status of the Recommendations to the Program Budget Committee (PBC)</w:t>
      </w:r>
      <w:r w:rsidR="00850C8F">
        <w:t xml:space="preserve"> since </w:t>
      </w:r>
      <w:r w:rsidR="009544B8">
        <w:t xml:space="preserve">September </w:t>
      </w:r>
      <w:r w:rsidR="00850C8F">
        <w:t>20</w:t>
      </w:r>
      <w:r w:rsidR="009544B8">
        <w:t>21</w:t>
      </w:r>
      <w:r w:rsidR="008273CA">
        <w:t>.  The PBC noted that Recommendations 1, 2, 3 and 4 were completed and Recommendation 6 is in progress.</w:t>
      </w:r>
    </w:p>
    <w:p w14:paraId="66A9277C" w14:textId="4B53C3BE" w:rsidR="0002035B" w:rsidRDefault="009E04F9" w:rsidP="0002035B">
      <w:pPr>
        <w:spacing w:after="240"/>
      </w:pPr>
      <w:r>
        <w:fldChar w:fldCharType="begin"/>
      </w:r>
      <w:r>
        <w:instrText xml:space="preserve"> AUTONUM  </w:instrText>
      </w:r>
      <w:r>
        <w:fldChar w:fldCharType="end"/>
      </w:r>
      <w:r>
        <w:tab/>
      </w:r>
      <w:r w:rsidR="0002035B">
        <w:t>The International Bureau reported its</w:t>
      </w:r>
      <w:r w:rsidR="008273CA">
        <w:t xml:space="preserve"> latest</w:t>
      </w:r>
      <w:r w:rsidR="0002035B">
        <w:t xml:space="preserve"> implementation status to the thirty-seventh session of the PBC held in June 2024</w:t>
      </w:r>
      <w:r w:rsidR="008273CA">
        <w:t xml:space="preserve"> and informed the PBC of its plan on Recommendation 6 </w:t>
      </w:r>
      <w:r w:rsidR="0002035B" w:rsidRPr="0002035B">
        <w:t xml:space="preserve">to encourage WIPO Member States to engage with UNCITRAL in its exploratory and preparatory work on legal issues that relate to blockchain in the broader context of the digital economy and digital trade as recommended at the twelfth session of the </w:t>
      </w:r>
      <w:r w:rsidR="00C511D8">
        <w:t>CWS (s</w:t>
      </w:r>
      <w:r w:rsidR="0002035B">
        <w:t xml:space="preserve">ee </w:t>
      </w:r>
      <w:r w:rsidR="00C511D8">
        <w:t xml:space="preserve">Annex I of document </w:t>
      </w:r>
      <w:hyperlink r:id="rId12" w:history="1">
        <w:r w:rsidR="0002035B" w:rsidRPr="008174BA">
          <w:rPr>
            <w:rStyle w:val="Hyperlink"/>
          </w:rPr>
          <w:t>WO/PBC/37/</w:t>
        </w:r>
        <w:r w:rsidR="00C511D8" w:rsidRPr="008174BA">
          <w:rPr>
            <w:rStyle w:val="Hyperlink"/>
          </w:rPr>
          <w:t>6 Rev.</w:t>
        </w:r>
      </w:hyperlink>
      <w:r w:rsidR="00C511D8">
        <w:t>).</w:t>
      </w:r>
    </w:p>
    <w:p w14:paraId="3A06932D" w14:textId="3AA7CEB1" w:rsidR="00C511D8" w:rsidRDefault="009E04F9" w:rsidP="0002035B">
      <w:pPr>
        <w:spacing w:after="240"/>
      </w:pPr>
      <w:r>
        <w:fldChar w:fldCharType="begin"/>
      </w:r>
      <w:r>
        <w:instrText xml:space="preserve"> AUTONUM  </w:instrText>
      </w:r>
      <w:r>
        <w:fldChar w:fldCharType="end"/>
      </w:r>
      <w:r>
        <w:tab/>
      </w:r>
      <w:r w:rsidR="00C511D8">
        <w:t xml:space="preserve">It should be noted that </w:t>
      </w:r>
      <w:r w:rsidR="00C511D8" w:rsidRPr="0002035B">
        <w:t>UNCITRAL</w:t>
      </w:r>
      <w:r w:rsidR="005A4F29" w:rsidRPr="005A4F29">
        <w:t xml:space="preserve"> published “</w:t>
      </w:r>
      <w:hyperlink r:id="rId13" w:history="1">
        <w:r w:rsidR="005A4F29" w:rsidRPr="005A4F29">
          <w:rPr>
            <w:rStyle w:val="Hyperlink"/>
          </w:rPr>
          <w:t>Taxonomy of legal issues related to the digital economy</w:t>
        </w:r>
      </w:hyperlink>
      <w:r w:rsidR="005A4F29" w:rsidRPr="005A4F29">
        <w:t xml:space="preserve">” </w:t>
      </w:r>
      <w:r w:rsidR="005A4F29">
        <w:t xml:space="preserve">in 2023.  It also recently presented a new document </w:t>
      </w:r>
      <w:r w:rsidR="005A4F29" w:rsidRPr="005A4F29">
        <w:t xml:space="preserve">A/CN.9/1175 </w:t>
      </w:r>
      <w:r w:rsidR="005A4F29">
        <w:t>(</w:t>
      </w:r>
      <w:hyperlink r:id="rId14" w:history="1">
        <w:r w:rsidR="005A4F29" w:rsidRPr="009E04F9">
          <w:rPr>
            <w:rStyle w:val="Hyperlink"/>
          </w:rPr>
          <w:t xml:space="preserve">Legal issues relating to the use of distributed ledger technology in trade </w:t>
        </w:r>
        <w:r w:rsidR="00C511D8" w:rsidRPr="009E04F9">
          <w:rPr>
            <w:rStyle w:val="Hyperlink"/>
          </w:rPr>
          <w:t>recently</w:t>
        </w:r>
      </w:hyperlink>
      <w:r w:rsidR="005A4F29">
        <w:t xml:space="preserve">) to its fifty-seventh session, held from </w:t>
      </w:r>
      <w:r w:rsidR="005A4F29" w:rsidRPr="005A4F29">
        <w:t xml:space="preserve">June </w:t>
      </w:r>
      <w:r w:rsidR="005A4F29">
        <w:t xml:space="preserve">24 to </w:t>
      </w:r>
      <w:r w:rsidR="005A4F29" w:rsidRPr="005A4F29">
        <w:t xml:space="preserve">July </w:t>
      </w:r>
      <w:r w:rsidR="005A4F29">
        <w:t xml:space="preserve">12, </w:t>
      </w:r>
      <w:r w:rsidR="005A4F29" w:rsidRPr="005A4F29">
        <w:t>2024</w:t>
      </w:r>
      <w:r w:rsidR="005A4F29">
        <w:t xml:space="preserve">. </w:t>
      </w:r>
    </w:p>
    <w:bookmarkEnd w:id="4"/>
    <w:p w14:paraId="5E6EB848" w14:textId="77777777" w:rsidR="00163832" w:rsidRDefault="00163832">
      <w:r>
        <w:br w:type="page"/>
      </w:r>
    </w:p>
    <w:p w14:paraId="70635A60" w14:textId="74F7B885" w:rsidR="005E611E" w:rsidRDefault="009E04F9" w:rsidP="00376266">
      <w:r>
        <w:lastRenderedPageBreak/>
        <w:fldChar w:fldCharType="begin"/>
      </w:r>
      <w:r>
        <w:instrText xml:space="preserve"> AUTONUM  </w:instrText>
      </w:r>
      <w:r>
        <w:fldChar w:fldCharType="end"/>
      </w:r>
      <w:r>
        <w:tab/>
      </w:r>
      <w:r w:rsidR="005A4F29">
        <w:t xml:space="preserve">The CWS is invited to </w:t>
      </w:r>
      <w:r w:rsidR="005A4F29" w:rsidRPr="005A4F29">
        <w:t xml:space="preserve">encourage </w:t>
      </w:r>
      <w:r>
        <w:t>IPOs</w:t>
      </w:r>
      <w:r w:rsidR="005A4F29">
        <w:t>, where applicable,</w:t>
      </w:r>
      <w:r w:rsidR="005A4F29" w:rsidRPr="005A4F29">
        <w:t xml:space="preserve"> to engage with </w:t>
      </w:r>
      <w:r w:rsidR="005A4F29">
        <w:t>UNCITRAL</w:t>
      </w:r>
      <w:r w:rsidR="005A4F29" w:rsidRPr="005A4F29">
        <w:t xml:space="preserve"> in its exploratory and preparatory work on legal issues that relate to blockchain in the broader context of the digital economy and digital trade, including on dispute resolution, which is aimed at reducing legal insecurity in that field</w:t>
      </w:r>
      <w:r w:rsidR="005A4F29">
        <w:t>.</w:t>
      </w:r>
    </w:p>
    <w:p w14:paraId="6B8A342F" w14:textId="77777777" w:rsidR="00DD41E6" w:rsidRDefault="00DD41E6" w:rsidP="00376266"/>
    <w:p w14:paraId="660C5171" w14:textId="77777777" w:rsidR="00376266" w:rsidRDefault="00376266" w:rsidP="00376266"/>
    <w:p w14:paraId="0A4299CF" w14:textId="566F3D2A" w:rsidR="00376266" w:rsidRPr="00733DA0" w:rsidRDefault="00376266" w:rsidP="000531A5">
      <w:pPr>
        <w:spacing w:after="160" w:line="259" w:lineRule="auto"/>
        <w:ind w:left="5490"/>
        <w:rPr>
          <w:rFonts w:eastAsiaTheme="minorEastAsia" w:cstheme="minorBidi"/>
          <w:i/>
          <w:szCs w:val="22"/>
          <w:lang w:eastAsia="en-US"/>
        </w:rPr>
      </w:pPr>
      <w:r w:rsidRPr="00733DA0">
        <w:rPr>
          <w:rFonts w:eastAsiaTheme="minorEastAsia" w:cstheme="minorBidi"/>
          <w:i/>
          <w:szCs w:val="22"/>
          <w:lang w:eastAsia="en-US"/>
        </w:rPr>
        <w:fldChar w:fldCharType="begin"/>
      </w:r>
      <w:r w:rsidRPr="00CF6DD8">
        <w:rPr>
          <w:rFonts w:eastAsiaTheme="minorEastAsia" w:cstheme="minorBidi"/>
          <w:i/>
          <w:szCs w:val="22"/>
          <w:lang w:eastAsia="en-US"/>
        </w:rPr>
        <w:instrText xml:space="preserve"> AUTONUM  </w:instrText>
      </w:r>
      <w:r w:rsidRPr="00733DA0">
        <w:rPr>
          <w:rFonts w:eastAsiaTheme="minorEastAsia" w:cstheme="minorBidi"/>
          <w:i/>
          <w:szCs w:val="22"/>
          <w:lang w:eastAsia="en-US"/>
        </w:rPr>
        <w:fldChar w:fldCharType="end"/>
      </w:r>
      <w:r w:rsidRPr="00733DA0">
        <w:rPr>
          <w:rFonts w:eastAsiaTheme="minorEastAsia" w:cstheme="minorBidi"/>
          <w:i/>
          <w:szCs w:val="22"/>
          <w:lang w:eastAsia="en-US"/>
        </w:rPr>
        <w:tab/>
        <w:t>The CWS is invited to:</w:t>
      </w:r>
    </w:p>
    <w:p w14:paraId="125DD586" w14:textId="05B3F302" w:rsidR="00376266" w:rsidRPr="00733DA0" w:rsidRDefault="00376266" w:rsidP="000531A5">
      <w:pPr>
        <w:pStyle w:val="ONUME"/>
        <w:numPr>
          <w:ilvl w:val="0"/>
          <w:numId w:val="9"/>
        </w:numPr>
        <w:tabs>
          <w:tab w:val="num" w:pos="1134"/>
          <w:tab w:val="num" w:pos="6101"/>
        </w:tabs>
        <w:ind w:left="5490" w:firstLine="0"/>
        <w:rPr>
          <w:i/>
          <w:szCs w:val="22"/>
        </w:rPr>
      </w:pPr>
      <w:r w:rsidRPr="00733DA0">
        <w:rPr>
          <w:i/>
          <w:szCs w:val="22"/>
        </w:rPr>
        <w:t>note the contents of the present document;</w:t>
      </w:r>
      <w:r w:rsidR="00364D43">
        <w:rPr>
          <w:i/>
          <w:szCs w:val="22"/>
        </w:rPr>
        <w:t xml:space="preserve"> and </w:t>
      </w:r>
    </w:p>
    <w:p w14:paraId="28B08AD5" w14:textId="4D63CCE2" w:rsidR="00AE2012" w:rsidRPr="00AE2012" w:rsidRDefault="00364D43" w:rsidP="000531A5">
      <w:pPr>
        <w:pStyle w:val="ONUME"/>
        <w:numPr>
          <w:ilvl w:val="0"/>
          <w:numId w:val="9"/>
        </w:numPr>
        <w:tabs>
          <w:tab w:val="num" w:pos="1134"/>
          <w:tab w:val="num" w:pos="6101"/>
        </w:tabs>
        <w:ind w:left="5490" w:firstLine="0"/>
        <w:rPr>
          <w:i/>
          <w:iCs/>
        </w:rPr>
      </w:pPr>
      <w:r>
        <w:rPr>
          <w:i/>
          <w:szCs w:val="22"/>
        </w:rPr>
        <w:t xml:space="preserve">note Recommendation 6 and encourage IPOs to implement it as </w:t>
      </w:r>
      <w:r w:rsidR="00DA0B40" w:rsidRPr="00733DA0">
        <w:rPr>
          <w:i/>
          <w:szCs w:val="22"/>
        </w:rPr>
        <w:t xml:space="preserve">referred </w:t>
      </w:r>
      <w:r w:rsidR="00376266" w:rsidRPr="00733DA0">
        <w:rPr>
          <w:i/>
          <w:szCs w:val="22"/>
        </w:rPr>
        <w:t xml:space="preserve">in paragraph </w:t>
      </w:r>
      <w:r w:rsidR="009E04F9">
        <w:rPr>
          <w:i/>
          <w:szCs w:val="22"/>
        </w:rPr>
        <w:t>10</w:t>
      </w:r>
      <w:r>
        <w:rPr>
          <w:i/>
          <w:szCs w:val="22"/>
        </w:rPr>
        <w:t xml:space="preserve"> above. </w:t>
      </w:r>
    </w:p>
    <w:p w14:paraId="5D79E770" w14:textId="77777777" w:rsidR="00AE2012" w:rsidRDefault="00AE2012" w:rsidP="000531A5">
      <w:pPr>
        <w:spacing w:after="240"/>
        <w:ind w:left="5490"/>
        <w:jc w:val="right"/>
        <w:rPr>
          <w:i/>
          <w:iCs/>
        </w:rPr>
      </w:pPr>
    </w:p>
    <w:p w14:paraId="6BCD6D22" w14:textId="1E266E90" w:rsidR="00AE2012" w:rsidRPr="00AE2012" w:rsidRDefault="00AE2012" w:rsidP="000531A5">
      <w:pPr>
        <w:spacing w:after="240"/>
        <w:ind w:left="5490" w:right="550"/>
      </w:pPr>
      <w:r>
        <w:t>[</w:t>
      </w:r>
      <w:r w:rsidR="008E082E">
        <w:t>End of document</w:t>
      </w:r>
      <w:r>
        <w:t>]</w:t>
      </w:r>
    </w:p>
    <w:sectPr w:rsidR="00AE2012" w:rsidRPr="00AE2012" w:rsidSect="00C40E51">
      <w:headerReference w:type="default" r:id="rId15"/>
      <w:footerReference w:type="defaul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4C09" w14:textId="77777777" w:rsidR="00440788" w:rsidRDefault="00440788">
      <w:r>
        <w:separator/>
      </w:r>
    </w:p>
  </w:endnote>
  <w:endnote w:type="continuationSeparator" w:id="0">
    <w:p w14:paraId="6F94FDE2" w14:textId="77777777" w:rsidR="00440788" w:rsidRDefault="00440788" w:rsidP="003B38C1">
      <w:r>
        <w:separator/>
      </w:r>
    </w:p>
    <w:p w14:paraId="41DCAAC2" w14:textId="77777777" w:rsidR="00440788" w:rsidRPr="003B38C1" w:rsidRDefault="00440788" w:rsidP="003B38C1">
      <w:pPr>
        <w:spacing w:after="60"/>
        <w:rPr>
          <w:sz w:val="17"/>
        </w:rPr>
      </w:pPr>
      <w:r>
        <w:rPr>
          <w:sz w:val="17"/>
        </w:rPr>
        <w:t>[Endnote continued from previous page]</w:t>
      </w:r>
    </w:p>
  </w:endnote>
  <w:endnote w:type="continuationNotice" w:id="1">
    <w:p w14:paraId="25BDC684" w14:textId="77777777" w:rsidR="00440788" w:rsidRPr="003B38C1" w:rsidRDefault="004407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F56D" w14:textId="710F3BF7" w:rsidR="00237381" w:rsidRDefault="0023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32BA" w14:textId="37DE9537" w:rsidR="00237381" w:rsidRDefault="0023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AF9F" w14:textId="77777777" w:rsidR="00440788" w:rsidRDefault="00440788">
      <w:r>
        <w:separator/>
      </w:r>
    </w:p>
  </w:footnote>
  <w:footnote w:type="continuationSeparator" w:id="0">
    <w:p w14:paraId="670349D4" w14:textId="77777777" w:rsidR="00440788" w:rsidRDefault="00440788" w:rsidP="008B60B2">
      <w:r>
        <w:separator/>
      </w:r>
    </w:p>
    <w:p w14:paraId="04342668" w14:textId="77777777" w:rsidR="00440788" w:rsidRPr="00ED77FB" w:rsidRDefault="00440788" w:rsidP="008B60B2">
      <w:pPr>
        <w:spacing w:after="60"/>
        <w:rPr>
          <w:sz w:val="17"/>
          <w:szCs w:val="17"/>
        </w:rPr>
      </w:pPr>
      <w:r w:rsidRPr="00ED77FB">
        <w:rPr>
          <w:sz w:val="17"/>
          <w:szCs w:val="17"/>
        </w:rPr>
        <w:t>[Footnote continued from previous page]</w:t>
      </w:r>
    </w:p>
  </w:footnote>
  <w:footnote w:type="continuationNotice" w:id="1">
    <w:p w14:paraId="4DFC731B" w14:textId="77777777" w:rsidR="00440788" w:rsidRPr="00ED77FB" w:rsidRDefault="004407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8BFA" w14:textId="3CE8B45E" w:rsidR="00EC4E49" w:rsidRDefault="00C40E51" w:rsidP="00477D6B">
    <w:pPr>
      <w:jc w:val="right"/>
    </w:pPr>
    <w:bookmarkStart w:id="5" w:name="Code2"/>
    <w:bookmarkEnd w:id="5"/>
    <w:r>
      <w:t>CWS/12</w:t>
    </w:r>
    <w:r w:rsidR="00BB4E34">
      <w:t>/</w:t>
    </w:r>
    <w:r w:rsidR="008E082E">
      <w:t>2</w:t>
    </w:r>
    <w:r>
      <w:t>7</w:t>
    </w:r>
  </w:p>
  <w:p w14:paraId="4137CAB7" w14:textId="77777777" w:rsidR="00EC4E49" w:rsidRDefault="00EC4E49" w:rsidP="00477D6B">
    <w:pPr>
      <w:jc w:val="right"/>
    </w:pPr>
    <w:r>
      <w:t xml:space="preserve">page </w:t>
    </w:r>
    <w:r>
      <w:fldChar w:fldCharType="begin"/>
    </w:r>
    <w:r>
      <w:instrText xml:space="preserve"> PAGE  \* MERGEFORMAT </w:instrText>
    </w:r>
    <w:r>
      <w:fldChar w:fldCharType="separate"/>
    </w:r>
    <w:r w:rsidR="00F65686">
      <w:rPr>
        <w:noProof/>
      </w:rPr>
      <w:t>1</w:t>
    </w:r>
    <w:r>
      <w:fldChar w:fldCharType="end"/>
    </w:r>
  </w:p>
  <w:p w14:paraId="1468A09B" w14:textId="77777777" w:rsidR="00EC4E49" w:rsidRDefault="00EC4E49" w:rsidP="00477D6B">
    <w:pPr>
      <w:jc w:val="right"/>
    </w:pPr>
  </w:p>
  <w:p w14:paraId="0CE610C9"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B561B5"/>
    <w:multiLevelType w:val="hybridMultilevel"/>
    <w:tmpl w:val="22A0E116"/>
    <w:lvl w:ilvl="0" w:tplc="36E66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1A7990"/>
    <w:multiLevelType w:val="hybridMultilevel"/>
    <w:tmpl w:val="7C66CDEE"/>
    <w:lvl w:ilvl="0" w:tplc="32A8D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6FF1"/>
    <w:multiLevelType w:val="hybridMultilevel"/>
    <w:tmpl w:val="3E164D10"/>
    <w:lvl w:ilvl="0" w:tplc="085CF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73354C"/>
    <w:multiLevelType w:val="hybridMultilevel"/>
    <w:tmpl w:val="DB6A1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62436"/>
    <w:multiLevelType w:val="hybridMultilevel"/>
    <w:tmpl w:val="EC540456"/>
    <w:lvl w:ilvl="0" w:tplc="7F14A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62A15"/>
    <w:multiLevelType w:val="hybridMultilevel"/>
    <w:tmpl w:val="AF4EE80E"/>
    <w:lvl w:ilvl="0" w:tplc="E1783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320CA"/>
    <w:multiLevelType w:val="hybridMultilevel"/>
    <w:tmpl w:val="DB6A15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422876">
    <w:abstractNumId w:val="3"/>
  </w:num>
  <w:num w:numId="2" w16cid:durableId="599603977">
    <w:abstractNumId w:val="7"/>
  </w:num>
  <w:num w:numId="3" w16cid:durableId="1552880796">
    <w:abstractNumId w:val="0"/>
  </w:num>
  <w:num w:numId="4" w16cid:durableId="600527977">
    <w:abstractNumId w:val="8"/>
  </w:num>
  <w:num w:numId="5" w16cid:durableId="512451798">
    <w:abstractNumId w:val="1"/>
  </w:num>
  <w:num w:numId="6" w16cid:durableId="1888832616">
    <w:abstractNumId w:val="6"/>
  </w:num>
  <w:num w:numId="7" w16cid:durableId="88893962">
    <w:abstractNumId w:val="9"/>
  </w:num>
  <w:num w:numId="8" w16cid:durableId="705905910">
    <w:abstractNumId w:val="12"/>
  </w:num>
  <w:num w:numId="9" w16cid:durableId="1542860849">
    <w:abstractNumId w:val="5"/>
  </w:num>
  <w:num w:numId="10" w16cid:durableId="250354800">
    <w:abstractNumId w:val="4"/>
  </w:num>
  <w:num w:numId="11" w16cid:durableId="1926302389">
    <w:abstractNumId w:val="11"/>
  </w:num>
  <w:num w:numId="12" w16cid:durableId="65079139">
    <w:abstractNumId w:val="2"/>
  </w:num>
  <w:num w:numId="13" w16cid:durableId="497501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1"/>
    <w:rsid w:val="000131A4"/>
    <w:rsid w:val="0001647B"/>
    <w:rsid w:val="0002035B"/>
    <w:rsid w:val="00032CC7"/>
    <w:rsid w:val="00043CAA"/>
    <w:rsid w:val="000531A5"/>
    <w:rsid w:val="00053DF8"/>
    <w:rsid w:val="00075432"/>
    <w:rsid w:val="000817DB"/>
    <w:rsid w:val="000968ED"/>
    <w:rsid w:val="000B351D"/>
    <w:rsid w:val="000F5E56"/>
    <w:rsid w:val="001012DB"/>
    <w:rsid w:val="001024FE"/>
    <w:rsid w:val="00124F4A"/>
    <w:rsid w:val="001270D8"/>
    <w:rsid w:val="001362EE"/>
    <w:rsid w:val="00142868"/>
    <w:rsid w:val="0014433B"/>
    <w:rsid w:val="00155E7F"/>
    <w:rsid w:val="00163832"/>
    <w:rsid w:val="00167AC4"/>
    <w:rsid w:val="001832A6"/>
    <w:rsid w:val="001C6808"/>
    <w:rsid w:val="001C6ABD"/>
    <w:rsid w:val="001F4262"/>
    <w:rsid w:val="002121FA"/>
    <w:rsid w:val="002335CE"/>
    <w:rsid w:val="00237381"/>
    <w:rsid w:val="00245CC9"/>
    <w:rsid w:val="002573C9"/>
    <w:rsid w:val="002634C4"/>
    <w:rsid w:val="002928D3"/>
    <w:rsid w:val="00296132"/>
    <w:rsid w:val="002B49C8"/>
    <w:rsid w:val="002E3AF0"/>
    <w:rsid w:val="002F1FE6"/>
    <w:rsid w:val="002F4E68"/>
    <w:rsid w:val="00312F7F"/>
    <w:rsid w:val="003228B7"/>
    <w:rsid w:val="0034294A"/>
    <w:rsid w:val="00345606"/>
    <w:rsid w:val="003508A3"/>
    <w:rsid w:val="00354A4E"/>
    <w:rsid w:val="00364D43"/>
    <w:rsid w:val="003673CF"/>
    <w:rsid w:val="00376266"/>
    <w:rsid w:val="003845C1"/>
    <w:rsid w:val="003908F1"/>
    <w:rsid w:val="00391508"/>
    <w:rsid w:val="00397623"/>
    <w:rsid w:val="003A6839"/>
    <w:rsid w:val="003A6F89"/>
    <w:rsid w:val="003A76CA"/>
    <w:rsid w:val="003B38C1"/>
    <w:rsid w:val="003C00D8"/>
    <w:rsid w:val="003D352A"/>
    <w:rsid w:val="003D46BA"/>
    <w:rsid w:val="003F55BF"/>
    <w:rsid w:val="00413BA8"/>
    <w:rsid w:val="00423E3E"/>
    <w:rsid w:val="00427AF4"/>
    <w:rsid w:val="00431892"/>
    <w:rsid w:val="004400E2"/>
    <w:rsid w:val="00440788"/>
    <w:rsid w:val="00461632"/>
    <w:rsid w:val="004647DA"/>
    <w:rsid w:val="00466930"/>
    <w:rsid w:val="00472977"/>
    <w:rsid w:val="00472A37"/>
    <w:rsid w:val="00474062"/>
    <w:rsid w:val="00477D6B"/>
    <w:rsid w:val="00484F2D"/>
    <w:rsid w:val="004B0999"/>
    <w:rsid w:val="004B727A"/>
    <w:rsid w:val="004C5EB4"/>
    <w:rsid w:val="004D21A4"/>
    <w:rsid w:val="004D39C4"/>
    <w:rsid w:val="004F0CB6"/>
    <w:rsid w:val="004F3A7E"/>
    <w:rsid w:val="0050633C"/>
    <w:rsid w:val="00506FB6"/>
    <w:rsid w:val="0053057A"/>
    <w:rsid w:val="00541E2F"/>
    <w:rsid w:val="00542200"/>
    <w:rsid w:val="0055145E"/>
    <w:rsid w:val="00560932"/>
    <w:rsid w:val="00560A29"/>
    <w:rsid w:val="005734AB"/>
    <w:rsid w:val="00575E5C"/>
    <w:rsid w:val="00590E3E"/>
    <w:rsid w:val="00594D27"/>
    <w:rsid w:val="00596FD8"/>
    <w:rsid w:val="005A4F29"/>
    <w:rsid w:val="005B42D8"/>
    <w:rsid w:val="005C2693"/>
    <w:rsid w:val="005E611E"/>
    <w:rsid w:val="005E791B"/>
    <w:rsid w:val="00601760"/>
    <w:rsid w:val="00605827"/>
    <w:rsid w:val="00624DE2"/>
    <w:rsid w:val="00626862"/>
    <w:rsid w:val="006373CE"/>
    <w:rsid w:val="00645380"/>
    <w:rsid w:val="00646050"/>
    <w:rsid w:val="006657DA"/>
    <w:rsid w:val="006713CA"/>
    <w:rsid w:val="00676C5C"/>
    <w:rsid w:val="006833CF"/>
    <w:rsid w:val="00695558"/>
    <w:rsid w:val="006A1E69"/>
    <w:rsid w:val="006B0EC8"/>
    <w:rsid w:val="006D5E0F"/>
    <w:rsid w:val="006E0D8A"/>
    <w:rsid w:val="006F1DB0"/>
    <w:rsid w:val="006F3404"/>
    <w:rsid w:val="007058FB"/>
    <w:rsid w:val="00733DA0"/>
    <w:rsid w:val="00740634"/>
    <w:rsid w:val="007609A1"/>
    <w:rsid w:val="00785442"/>
    <w:rsid w:val="007957FB"/>
    <w:rsid w:val="007B6A58"/>
    <w:rsid w:val="007C4C18"/>
    <w:rsid w:val="007C78E5"/>
    <w:rsid w:val="007D1613"/>
    <w:rsid w:val="008174BA"/>
    <w:rsid w:val="00823917"/>
    <w:rsid w:val="008273CA"/>
    <w:rsid w:val="00840DDB"/>
    <w:rsid w:val="00846583"/>
    <w:rsid w:val="008478A4"/>
    <w:rsid w:val="00850C8F"/>
    <w:rsid w:val="00851075"/>
    <w:rsid w:val="0086054E"/>
    <w:rsid w:val="00873EE5"/>
    <w:rsid w:val="00876EB4"/>
    <w:rsid w:val="008811DB"/>
    <w:rsid w:val="00881F99"/>
    <w:rsid w:val="008B2CC1"/>
    <w:rsid w:val="008B4B5E"/>
    <w:rsid w:val="008B60B2"/>
    <w:rsid w:val="008E082E"/>
    <w:rsid w:val="008F1C01"/>
    <w:rsid w:val="0090731E"/>
    <w:rsid w:val="00914903"/>
    <w:rsid w:val="00915ED7"/>
    <w:rsid w:val="00916EE2"/>
    <w:rsid w:val="00921C3F"/>
    <w:rsid w:val="0093589A"/>
    <w:rsid w:val="00937AF0"/>
    <w:rsid w:val="009500A7"/>
    <w:rsid w:val="009544B8"/>
    <w:rsid w:val="00966A22"/>
    <w:rsid w:val="0096722F"/>
    <w:rsid w:val="00980843"/>
    <w:rsid w:val="009A497A"/>
    <w:rsid w:val="009B325A"/>
    <w:rsid w:val="009B360E"/>
    <w:rsid w:val="009E04F9"/>
    <w:rsid w:val="009E2791"/>
    <w:rsid w:val="009E3F6F"/>
    <w:rsid w:val="009E4649"/>
    <w:rsid w:val="009F18C0"/>
    <w:rsid w:val="009F3BF9"/>
    <w:rsid w:val="009F499F"/>
    <w:rsid w:val="00A00DCD"/>
    <w:rsid w:val="00A03851"/>
    <w:rsid w:val="00A42871"/>
    <w:rsid w:val="00A42DAF"/>
    <w:rsid w:val="00A45BD8"/>
    <w:rsid w:val="00A475FF"/>
    <w:rsid w:val="00A75E9E"/>
    <w:rsid w:val="00A778BF"/>
    <w:rsid w:val="00A824AF"/>
    <w:rsid w:val="00A85B8E"/>
    <w:rsid w:val="00A9401B"/>
    <w:rsid w:val="00AC205C"/>
    <w:rsid w:val="00AD064C"/>
    <w:rsid w:val="00AD292B"/>
    <w:rsid w:val="00AD3B67"/>
    <w:rsid w:val="00AD65F8"/>
    <w:rsid w:val="00AE2012"/>
    <w:rsid w:val="00AF5C73"/>
    <w:rsid w:val="00B0394D"/>
    <w:rsid w:val="00B05A69"/>
    <w:rsid w:val="00B14FF1"/>
    <w:rsid w:val="00B40598"/>
    <w:rsid w:val="00B50B99"/>
    <w:rsid w:val="00B55910"/>
    <w:rsid w:val="00B62CD9"/>
    <w:rsid w:val="00B66483"/>
    <w:rsid w:val="00B66588"/>
    <w:rsid w:val="00B77562"/>
    <w:rsid w:val="00B9734B"/>
    <w:rsid w:val="00BB4E34"/>
    <w:rsid w:val="00BC6A27"/>
    <w:rsid w:val="00C11BFE"/>
    <w:rsid w:val="00C40E51"/>
    <w:rsid w:val="00C511D8"/>
    <w:rsid w:val="00C85F98"/>
    <w:rsid w:val="00C94629"/>
    <w:rsid w:val="00CB1FDC"/>
    <w:rsid w:val="00CE65D4"/>
    <w:rsid w:val="00CF6DD8"/>
    <w:rsid w:val="00D17C84"/>
    <w:rsid w:val="00D45252"/>
    <w:rsid w:val="00D52732"/>
    <w:rsid w:val="00D71B4D"/>
    <w:rsid w:val="00D93D55"/>
    <w:rsid w:val="00DA0B40"/>
    <w:rsid w:val="00DD41E6"/>
    <w:rsid w:val="00DF18B1"/>
    <w:rsid w:val="00E049CB"/>
    <w:rsid w:val="00E161A2"/>
    <w:rsid w:val="00E24B5A"/>
    <w:rsid w:val="00E306D6"/>
    <w:rsid w:val="00E335FE"/>
    <w:rsid w:val="00E37870"/>
    <w:rsid w:val="00E5021F"/>
    <w:rsid w:val="00E56D22"/>
    <w:rsid w:val="00E671A6"/>
    <w:rsid w:val="00EC4E49"/>
    <w:rsid w:val="00ED77FB"/>
    <w:rsid w:val="00EE3E76"/>
    <w:rsid w:val="00EF030A"/>
    <w:rsid w:val="00EF4B21"/>
    <w:rsid w:val="00F021A6"/>
    <w:rsid w:val="00F11D94"/>
    <w:rsid w:val="00F16112"/>
    <w:rsid w:val="00F16591"/>
    <w:rsid w:val="00F5605B"/>
    <w:rsid w:val="00F65686"/>
    <w:rsid w:val="00F66152"/>
    <w:rsid w:val="00F82EA2"/>
    <w:rsid w:val="00F93A8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B54C7"/>
  <w15:docId w15:val="{922BC981-A166-4AD2-BA3C-D538E664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376266"/>
    <w:pPr>
      <w:ind w:left="720"/>
      <w:contextualSpacing/>
    </w:pPr>
  </w:style>
  <w:style w:type="character" w:styleId="Emphasis">
    <w:name w:val="Emphasis"/>
    <w:basedOn w:val="DefaultParagraphFont"/>
    <w:uiPriority w:val="20"/>
    <w:qFormat/>
    <w:rsid w:val="00397623"/>
    <w:rPr>
      <w:i/>
      <w:iCs/>
    </w:rPr>
  </w:style>
  <w:style w:type="paragraph" w:styleId="Revision">
    <w:name w:val="Revision"/>
    <w:hidden/>
    <w:uiPriority w:val="99"/>
    <w:semiHidden/>
    <w:rsid w:val="006E0D8A"/>
    <w:rPr>
      <w:rFonts w:ascii="Arial" w:eastAsia="SimSun" w:hAnsi="Arial" w:cs="Arial"/>
      <w:sz w:val="22"/>
      <w:lang w:val="en-US" w:eastAsia="zh-CN"/>
    </w:rPr>
  </w:style>
  <w:style w:type="character" w:styleId="CommentReference">
    <w:name w:val="annotation reference"/>
    <w:basedOn w:val="DefaultParagraphFont"/>
    <w:semiHidden/>
    <w:unhideWhenUsed/>
    <w:rsid w:val="006E0D8A"/>
    <w:rPr>
      <w:sz w:val="16"/>
      <w:szCs w:val="16"/>
    </w:rPr>
  </w:style>
  <w:style w:type="paragraph" w:styleId="CommentSubject">
    <w:name w:val="annotation subject"/>
    <w:basedOn w:val="CommentText"/>
    <w:next w:val="CommentText"/>
    <w:link w:val="CommentSubjectChar"/>
    <w:semiHidden/>
    <w:unhideWhenUsed/>
    <w:rsid w:val="006E0D8A"/>
    <w:rPr>
      <w:b/>
      <w:bCs/>
      <w:sz w:val="20"/>
    </w:rPr>
  </w:style>
  <w:style w:type="character" w:customStyle="1" w:styleId="CommentTextChar">
    <w:name w:val="Comment Text Char"/>
    <w:basedOn w:val="DefaultParagraphFont"/>
    <w:link w:val="CommentText"/>
    <w:semiHidden/>
    <w:rsid w:val="006E0D8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E0D8A"/>
    <w:rPr>
      <w:rFonts w:ascii="Arial" w:eastAsia="SimSun" w:hAnsi="Arial" w:cs="Arial"/>
      <w:b/>
      <w:bCs/>
      <w:sz w:val="18"/>
      <w:lang w:val="en-US" w:eastAsia="zh-CN"/>
    </w:rPr>
  </w:style>
  <w:style w:type="character" w:customStyle="1" w:styleId="ONUMEChar">
    <w:name w:val="ONUM E Char"/>
    <w:basedOn w:val="DefaultParagraphFont"/>
    <w:link w:val="ONUME"/>
    <w:rsid w:val="00733DA0"/>
    <w:rPr>
      <w:rFonts w:ascii="Arial" w:eastAsia="SimSun" w:hAnsi="Arial" w:cs="Arial"/>
      <w:sz w:val="22"/>
      <w:lang w:val="en-US" w:eastAsia="zh-CN"/>
    </w:rPr>
  </w:style>
  <w:style w:type="character" w:styleId="Hyperlink">
    <w:name w:val="Hyperlink"/>
    <w:basedOn w:val="DefaultParagraphFont"/>
    <w:unhideWhenUsed/>
    <w:rsid w:val="003A76CA"/>
    <w:rPr>
      <w:color w:val="0000FF" w:themeColor="hyperlink"/>
      <w:u w:val="single"/>
    </w:rPr>
  </w:style>
  <w:style w:type="character" w:styleId="UnresolvedMention">
    <w:name w:val="Unresolved Mention"/>
    <w:basedOn w:val="DefaultParagraphFont"/>
    <w:uiPriority w:val="99"/>
    <w:semiHidden/>
    <w:unhideWhenUsed/>
    <w:rsid w:val="003A76CA"/>
    <w:rPr>
      <w:color w:val="605E5C"/>
      <w:shd w:val="clear" w:color="auto" w:fill="E1DFDD"/>
    </w:rPr>
  </w:style>
  <w:style w:type="character" w:styleId="FollowedHyperlink">
    <w:name w:val="FollowedHyperlink"/>
    <w:basedOn w:val="DefaultParagraphFont"/>
    <w:semiHidden/>
    <w:unhideWhenUsed/>
    <w:rsid w:val="002E3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77316">
      <w:bodyDiv w:val="1"/>
      <w:marLeft w:val="0"/>
      <w:marRight w:val="0"/>
      <w:marTop w:val="0"/>
      <w:marBottom w:val="0"/>
      <w:divBdr>
        <w:top w:val="none" w:sz="0" w:space="0" w:color="auto"/>
        <w:left w:val="none" w:sz="0" w:space="0" w:color="auto"/>
        <w:bottom w:val="none" w:sz="0" w:space="0" w:color="auto"/>
        <w:right w:val="none" w:sz="0" w:space="0" w:color="auto"/>
      </w:divBdr>
    </w:div>
    <w:div w:id="1489052443">
      <w:bodyDiv w:val="1"/>
      <w:marLeft w:val="0"/>
      <w:marRight w:val="0"/>
      <w:marTop w:val="0"/>
      <w:marBottom w:val="0"/>
      <w:divBdr>
        <w:top w:val="none" w:sz="0" w:space="0" w:color="auto"/>
        <w:left w:val="none" w:sz="0" w:space="0" w:color="auto"/>
        <w:bottom w:val="none" w:sz="0" w:space="0" w:color="auto"/>
        <w:right w:val="none" w:sz="0" w:space="0" w:color="auto"/>
      </w:divBdr>
    </w:div>
    <w:div w:id="1505169260">
      <w:bodyDiv w:val="1"/>
      <w:marLeft w:val="0"/>
      <w:marRight w:val="0"/>
      <w:marTop w:val="0"/>
      <w:marBottom w:val="0"/>
      <w:divBdr>
        <w:top w:val="none" w:sz="0" w:space="0" w:color="auto"/>
        <w:left w:val="none" w:sz="0" w:space="0" w:color="auto"/>
        <w:bottom w:val="none" w:sz="0" w:space="0" w:color="auto"/>
        <w:right w:val="none" w:sz="0" w:space="0" w:color="auto"/>
      </w:divBdr>
    </w:div>
    <w:div w:id="211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citral.un.org/sites/uncitral.un.org/files/media-documents/uncitral/en/digitaleconomytaxonom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en/doc_details.jsp?doc_id=63187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cws/en/pdf/blockchain-for-ip-ecosystem-whitepape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citral.un.org/en/texts/ecommerce/modellaw/electronic_transferable_reco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jiu.org/news/blockchain-applications-united-nations-system-towards-state-readiness-jiurep20207" TargetMode="External"/><Relationship Id="rId14" Type="http://schemas.openxmlformats.org/officeDocument/2006/relationships/hyperlink" Target="https://uncitral.un.org/sites/uncitral.un.org/files/1175_for_submissi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template-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2F71-A26A-465F-8293-AD5DBAD3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template-E (1).dotm</Template>
  <TotalTime>53</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Revision of WIPO ST.26</vt:lpstr>
    </vt:vector>
  </TitlesOfParts>
  <Company>WIPO</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WIPO ST.26</dc:title>
  <dc:subject>12th Session Committee on WIPO Standards</dc:subject>
  <dc:creator>WIPO</dc:creator>
  <cp:keywords>CWS/12/17</cp:keywords>
  <dc:description>CWS/12</dc:description>
  <cp:lastModifiedBy>BLANCHET Gaspard</cp:lastModifiedBy>
  <cp:revision>8</cp:revision>
  <cp:lastPrinted>2011-02-15T11:56:00Z</cp:lastPrinted>
  <dcterms:created xsi:type="dcterms:W3CDTF">2024-08-07T14:22:00Z</dcterms:created>
  <dcterms:modified xsi:type="dcterms:W3CDTF">2024-08-13T12:36:00Z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2024-08-13T12:36:18Z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2f35c70d-036f-4887-a2ad-27e0990add4c</vt:lpwstr>
  </property>
  <property fmtid="{D5CDD505-2E9C-101B-9397-08002B2CF9AE}" pid="14" name="MSIP_Label_20773ee6-353b-4fb9-a59d-0b94c8c67bea_ContentBits">
    <vt:lpwstr>0</vt:lpwstr>
  </property>
</Properties>
</file>