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D96263">
        <w:rPr>
          <w:rFonts w:ascii="Arial Black" w:hAnsi="Arial Black"/>
          <w:caps/>
          <w:sz w:val="15"/>
          <w:szCs w:val="15"/>
        </w:rPr>
        <w:t>19</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600CFE">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D51A8" w:rsidRPr="00473586">
        <w:rPr>
          <w:rFonts w:ascii="Arial Black" w:hAnsi="Arial Black"/>
          <w:caps/>
          <w:sz w:val="15"/>
          <w:szCs w:val="15"/>
        </w:rPr>
        <w:t>October</w:t>
      </w:r>
      <w:r w:rsidR="00473586">
        <w:rPr>
          <w:rFonts w:ascii="Arial Black" w:hAnsi="Arial Black"/>
          <w:caps/>
          <w:sz w:val="15"/>
          <w:szCs w:val="15"/>
        </w:rPr>
        <w:t xml:space="preserve"> 5</w:t>
      </w:r>
      <w:r w:rsidR="00600CFE">
        <w:rPr>
          <w:rFonts w:ascii="Arial Black" w:hAnsi="Arial Black"/>
          <w:caps/>
          <w:sz w:val="15"/>
          <w:szCs w:val="15"/>
        </w:rPr>
        <w:t>, 2021</w:t>
      </w:r>
    </w:p>
    <w:bookmarkEnd w:id="2"/>
    <w:p w:rsidR="008B2CC1" w:rsidRPr="00600CFE" w:rsidRDefault="00E45755" w:rsidP="00720EFD">
      <w:pPr>
        <w:pStyle w:val="Heading1"/>
        <w:spacing w:before="0" w:after="480"/>
        <w:rPr>
          <w:sz w:val="36"/>
          <w:szCs w:val="28"/>
        </w:rPr>
      </w:pPr>
      <w:r w:rsidRPr="00600CFE">
        <w:rPr>
          <w:caps w:val="0"/>
          <w:sz w:val="28"/>
        </w:rPr>
        <w:t xml:space="preserve">Committee on WIPO Standards </w:t>
      </w:r>
      <w:r w:rsidRPr="00600CFE">
        <w:rPr>
          <w:sz w:val="28"/>
        </w:rPr>
        <w:t>(CWS)</w:t>
      </w:r>
    </w:p>
    <w:p w:rsidR="00E45755" w:rsidRPr="00846CF6" w:rsidRDefault="00E45755" w:rsidP="00E45755">
      <w:pPr>
        <w:outlineLvl w:val="1"/>
        <w:rPr>
          <w:b/>
          <w:sz w:val="24"/>
          <w:szCs w:val="24"/>
        </w:rPr>
      </w:pPr>
      <w:r w:rsidRPr="00846CF6">
        <w:rPr>
          <w:b/>
          <w:sz w:val="24"/>
          <w:szCs w:val="24"/>
        </w:rPr>
        <w:t>Ninth Session</w:t>
      </w:r>
    </w:p>
    <w:p w:rsidR="008B2CC1" w:rsidRPr="003845C1" w:rsidRDefault="00846CF6" w:rsidP="00F9165B">
      <w:pPr>
        <w:spacing w:after="720"/>
        <w:outlineLvl w:val="1"/>
        <w:rPr>
          <w:b/>
          <w:sz w:val="24"/>
          <w:szCs w:val="24"/>
        </w:rPr>
      </w:pPr>
      <w:r w:rsidRPr="00846CF6">
        <w:rPr>
          <w:b/>
          <w:sz w:val="24"/>
          <w:szCs w:val="24"/>
        </w:rPr>
        <w:t>Gene</w:t>
      </w:r>
      <w:bookmarkStart w:id="3" w:name="_GoBack"/>
      <w:bookmarkEnd w:id="3"/>
      <w:r w:rsidRPr="00846CF6">
        <w:rPr>
          <w:b/>
          <w:sz w:val="24"/>
          <w:szCs w:val="24"/>
        </w:rPr>
        <w:t>va, November 1 to 5, 2021</w:t>
      </w:r>
    </w:p>
    <w:p w:rsidR="008B2CC1" w:rsidRPr="00401963" w:rsidRDefault="00600CFE" w:rsidP="00DD7B7F">
      <w:pPr>
        <w:spacing w:after="360"/>
        <w:outlineLvl w:val="0"/>
        <w:rPr>
          <w:caps/>
        </w:rPr>
      </w:pPr>
      <w:bookmarkStart w:id="4" w:name="TitleOfDoc"/>
      <w:r w:rsidRPr="00401963">
        <w:rPr>
          <w:caps/>
        </w:rPr>
        <w:t>Update of the WIPO Handbook on IP Information and Documentation</w:t>
      </w:r>
    </w:p>
    <w:p w:rsidR="006F5ABA" w:rsidRDefault="00600CFE" w:rsidP="001D4107">
      <w:pPr>
        <w:spacing w:after="1040"/>
        <w:rPr>
          <w:i/>
        </w:rPr>
      </w:pPr>
      <w:bookmarkStart w:id="5" w:name="Prepared"/>
      <w:bookmarkEnd w:id="4"/>
      <w:bookmarkEnd w:id="5"/>
      <w:r>
        <w:rPr>
          <w:i/>
        </w:rPr>
        <w:t>Document prepared by the International Bureau</w:t>
      </w:r>
    </w:p>
    <w:p w:rsidR="00600CFE" w:rsidRDefault="00600CFE" w:rsidP="00600CFE">
      <w:pPr>
        <w:pStyle w:val="Heading2"/>
        <w:spacing w:before="0"/>
        <w:rPr>
          <w:rFonts w:eastAsia="Malgun Gothic"/>
          <w:caps w:val="0"/>
          <w:szCs w:val="22"/>
        </w:rPr>
      </w:pPr>
      <w:r>
        <w:rPr>
          <w:rFonts w:eastAsia="Malgun Gothic"/>
          <w:caps w:val="0"/>
          <w:szCs w:val="22"/>
        </w:rPr>
        <w:t>BACKGROUND</w:t>
      </w:r>
    </w:p>
    <w:p w:rsidR="00305685" w:rsidRDefault="00600CFE" w:rsidP="00C53C0D">
      <w:pPr>
        <w:pStyle w:val="ONUMFS"/>
      </w:pPr>
      <w:r>
        <w:fldChar w:fldCharType="begin"/>
      </w:r>
      <w:r>
        <w:instrText xml:space="preserve"> AUTONUM  </w:instrText>
      </w:r>
      <w:r>
        <w:fldChar w:fldCharType="end"/>
      </w:r>
      <w:r>
        <w:tab/>
        <w:t xml:space="preserve">At its </w:t>
      </w:r>
      <w:r w:rsidR="00305685">
        <w:t>eighth</w:t>
      </w:r>
      <w:r>
        <w:t xml:space="preserve"> session in 20</w:t>
      </w:r>
      <w:r w:rsidR="00305685">
        <w:t>20</w:t>
      </w:r>
      <w:r>
        <w:t xml:space="preserve">, the </w:t>
      </w:r>
      <w:r w:rsidR="00E400DE">
        <w:t xml:space="preserve">Committee on WIPO </w:t>
      </w:r>
      <w:r w:rsidR="0016734B">
        <w:t xml:space="preserve">Standards </w:t>
      </w:r>
      <w:r w:rsidR="00E400DE">
        <w:t>(</w:t>
      </w:r>
      <w:r>
        <w:t>CWS</w:t>
      </w:r>
      <w:r w:rsidR="00E400DE">
        <w:t>)</w:t>
      </w:r>
      <w:r>
        <w:t xml:space="preserve"> </w:t>
      </w:r>
      <w:r w:rsidR="00305685">
        <w:t>noted that components for geographical indications and copyright orphan works were added to ST.96</w:t>
      </w:r>
      <w:r w:rsidR="00DB44B7">
        <w:t xml:space="preserve"> version 4.0</w:t>
      </w:r>
      <w:r w:rsidR="00305685">
        <w:t xml:space="preserve">.  </w:t>
      </w:r>
      <w:r w:rsidR="00D84C77">
        <w:t>The CWS also adopted ST.90 "Recommendation for processing and communicating intellectual property data using</w:t>
      </w:r>
      <w:r w:rsidR="005638A7">
        <w:t xml:space="preserve"> </w:t>
      </w:r>
      <w:r w:rsidR="00D84C77">
        <w:t>Web APIs</w:t>
      </w:r>
      <w:r w:rsidR="005638A7">
        <w:t>”.</w:t>
      </w:r>
      <w:r w:rsidR="00D84C77">
        <w:t xml:space="preserve"> </w:t>
      </w:r>
      <w:r w:rsidR="005638A7">
        <w:t xml:space="preserve"> </w:t>
      </w:r>
      <w:r w:rsidR="00D84C77">
        <w:t>(</w:t>
      </w:r>
      <w:r w:rsidR="005638A7">
        <w:t>S</w:t>
      </w:r>
      <w:r w:rsidR="00D84C77">
        <w:t>ee paragraphs 86 and 14 to 19 of document CWS/8/24</w:t>
      </w:r>
      <w:r w:rsidR="005638A7">
        <w:t>.</w:t>
      </w:r>
      <w:r w:rsidR="00D84C77">
        <w:t>)</w:t>
      </w:r>
    </w:p>
    <w:p w:rsidR="00600CFE" w:rsidRDefault="005638A7" w:rsidP="00600CFE">
      <w:pPr>
        <w:pStyle w:val="ONUMFS"/>
      </w:pPr>
      <w:r>
        <w:fldChar w:fldCharType="begin"/>
      </w:r>
      <w:r>
        <w:instrText xml:space="preserve"> AUTONUM  </w:instrText>
      </w:r>
      <w:r>
        <w:fldChar w:fldCharType="end"/>
      </w:r>
      <w:r>
        <w:tab/>
        <w:t xml:space="preserve">As </w:t>
      </w:r>
      <w:r w:rsidR="00DB44B7">
        <w:t xml:space="preserve">these examples show, </w:t>
      </w:r>
      <w:r>
        <w:t xml:space="preserve">the </w:t>
      </w:r>
      <w:r w:rsidR="00DB44B7">
        <w:t>work of the CWS increasingly involves intellectual property, not just industrial property.  Schemas for copyright orphan works were discussed in CWS for many years before finally bein</w:t>
      </w:r>
      <w:r w:rsidR="00D72E92">
        <w:t>g added to ST.96.  The Web API S</w:t>
      </w:r>
      <w:r w:rsidR="00DB44B7">
        <w:t>tan</w:t>
      </w:r>
      <w:r w:rsidR="00FC6627">
        <w:t xml:space="preserve">dard ST.90 was drafted generally to cover all types of intellectual property as applicable.  In some circumstances, Web API responses could include copyright data such as orphan works data in ST.96 format.  Similarly, work in other areas like </w:t>
      </w:r>
      <w:proofErr w:type="spellStart"/>
      <w:r w:rsidR="00FC6627">
        <w:t>blockchain</w:t>
      </w:r>
      <w:proofErr w:type="spellEnd"/>
      <w:r w:rsidR="00FC6627">
        <w:t xml:space="preserve"> may implicate </w:t>
      </w:r>
      <w:r w:rsidR="00B97F26">
        <w:t>copyright</w:t>
      </w:r>
      <w:r w:rsidR="0038062B">
        <w:t xml:space="preserve"> data</w:t>
      </w:r>
      <w:r w:rsidR="00B97F26">
        <w:t>.</w:t>
      </w:r>
    </w:p>
    <w:p w:rsidR="00B97F26" w:rsidRDefault="00FC6627" w:rsidP="00600CFE">
      <w:pPr>
        <w:pStyle w:val="ONUMFS"/>
      </w:pPr>
      <w:r>
        <w:fldChar w:fldCharType="begin"/>
      </w:r>
      <w:r>
        <w:instrText xml:space="preserve"> AUTONUM  </w:instrText>
      </w:r>
      <w:r>
        <w:fldChar w:fldCharType="end"/>
      </w:r>
      <w:r>
        <w:tab/>
      </w:r>
      <w:r w:rsidR="00B97F26">
        <w:t xml:space="preserve">The terminology in the </w:t>
      </w:r>
      <w:hyperlink r:id="rId9" w:history="1">
        <w:r w:rsidR="00B97F26" w:rsidRPr="004E18DF">
          <w:rPr>
            <w:rStyle w:val="Hyperlink"/>
            <w:i/>
          </w:rPr>
          <w:t>WIPO Handbook on Industrial Property Information and Documentation</w:t>
        </w:r>
      </w:hyperlink>
      <w:r w:rsidR="00B97F26">
        <w:t xml:space="preserve"> does not yet reflect these realities.  The title itself indicates that it covers industrial property, not intellectual property.  Likewise, titles </w:t>
      </w:r>
      <w:r w:rsidR="006F5ABA">
        <w:t xml:space="preserve">of </w:t>
      </w:r>
      <w:r w:rsidR="0016734B">
        <w:t xml:space="preserve">parts </w:t>
      </w:r>
      <w:r w:rsidR="006F5ABA">
        <w:t>of the WIPO Handbook</w:t>
      </w:r>
      <w:r w:rsidR="0016734B">
        <w:t>,</w:t>
      </w:r>
      <w:r w:rsidR="006F5ABA">
        <w:t xml:space="preserve"> </w:t>
      </w:r>
      <w:r w:rsidR="00B97F26">
        <w:t xml:space="preserve">such as </w:t>
      </w:r>
      <w:r w:rsidR="006F5ABA">
        <w:t>Part</w:t>
      </w:r>
      <w:r w:rsidR="00B97F26">
        <w:t xml:space="preserve"> 6 “</w:t>
      </w:r>
      <w:r w:rsidR="00B97F26" w:rsidRPr="00B97F26">
        <w:t>Access to Industrial Property Information</w:t>
      </w:r>
      <w:r w:rsidR="00B97F26">
        <w:t xml:space="preserve">” and </w:t>
      </w:r>
      <w:r w:rsidR="006F5ABA">
        <w:t>Part</w:t>
      </w:r>
      <w:r w:rsidR="00B97F26">
        <w:t xml:space="preserve"> 7 “</w:t>
      </w:r>
      <w:r w:rsidR="00B97F26" w:rsidRPr="00B97F26">
        <w:t>Examples and Industrial Property Offices Practices</w:t>
      </w:r>
      <w:r w:rsidR="00B97F26">
        <w:t>”</w:t>
      </w:r>
      <w:r w:rsidR="0016734B">
        <w:t>,</w:t>
      </w:r>
      <w:r w:rsidR="00B97F26">
        <w:t xml:space="preserve"> do not reflect that the contents already or may soon include recommendations or data that cover intellectual property, not just industrial property.  For instance, </w:t>
      </w:r>
      <w:r w:rsidR="006F5ABA">
        <w:t>Part</w:t>
      </w:r>
      <w:r w:rsidR="00B97F26">
        <w:t xml:space="preserve"> 6 contains </w:t>
      </w:r>
      <w:r w:rsidR="00B97F26" w:rsidRPr="00B97F26">
        <w:t>Part 6.1</w:t>
      </w:r>
      <w:r w:rsidR="00B97F26">
        <w:t xml:space="preserve"> “</w:t>
      </w:r>
      <w:r w:rsidR="00B97F26" w:rsidRPr="00B97F26">
        <w:t xml:space="preserve">Recommended minimum contents for </w:t>
      </w:r>
      <w:r w:rsidR="00B97F26" w:rsidRPr="00B97F26">
        <w:rPr>
          <w:u w:val="single"/>
        </w:rPr>
        <w:t>intellectual property</w:t>
      </w:r>
      <w:r w:rsidR="00B97F26" w:rsidRPr="00B97F26">
        <w:t xml:space="preserve"> offices’ websites</w:t>
      </w:r>
      <w:r w:rsidR="00B97F26">
        <w:t xml:space="preserve">”.  </w:t>
      </w:r>
      <w:r w:rsidR="006F5ABA">
        <w:t>Part</w:t>
      </w:r>
      <w:r w:rsidR="0038062B">
        <w:t xml:space="preserve"> 7 may soon include survey resu</w:t>
      </w:r>
      <w:r w:rsidR="00D72E92">
        <w:t>lts from intellectual property Offices, as Task F</w:t>
      </w:r>
      <w:r w:rsidR="0038062B">
        <w:t xml:space="preserve">orces continue to develop </w:t>
      </w:r>
      <w:r w:rsidR="006F5ABA">
        <w:t xml:space="preserve">WIPO </w:t>
      </w:r>
      <w:r w:rsidR="0038062B">
        <w:t xml:space="preserve">standards for incorporating any kind of intellectual property data with technologies such as Web APIs, XML, JSON, and </w:t>
      </w:r>
      <w:proofErr w:type="spellStart"/>
      <w:r w:rsidR="0038062B">
        <w:t>blockchain</w:t>
      </w:r>
      <w:proofErr w:type="spellEnd"/>
      <w:r w:rsidR="0038062B">
        <w:t>.</w:t>
      </w:r>
    </w:p>
    <w:p w:rsidR="00D72E92" w:rsidRDefault="00D72E92" w:rsidP="00600CFE">
      <w:pPr>
        <w:pStyle w:val="ONUMFS"/>
      </w:pPr>
    </w:p>
    <w:p w:rsidR="00075F44" w:rsidRDefault="00075F44" w:rsidP="00075F44">
      <w:pPr>
        <w:pStyle w:val="Heading2"/>
        <w:spacing w:before="0"/>
        <w:rPr>
          <w:rFonts w:eastAsia="Malgun Gothic"/>
          <w:caps w:val="0"/>
          <w:szCs w:val="22"/>
        </w:rPr>
      </w:pPr>
      <w:r>
        <w:rPr>
          <w:rFonts w:eastAsia="Malgun Gothic"/>
          <w:caps w:val="0"/>
          <w:szCs w:val="22"/>
        </w:rPr>
        <w:lastRenderedPageBreak/>
        <w:t>PROPOSED UPDATES</w:t>
      </w:r>
    </w:p>
    <w:p w:rsidR="0038062B" w:rsidRDefault="0038062B" w:rsidP="00600CFE">
      <w:pPr>
        <w:pStyle w:val="ONUMFS"/>
      </w:pPr>
      <w:r>
        <w:fldChar w:fldCharType="begin"/>
      </w:r>
      <w:r>
        <w:instrText xml:space="preserve"> AUTONUM  </w:instrText>
      </w:r>
      <w:r>
        <w:fldChar w:fldCharType="end"/>
      </w:r>
      <w:r>
        <w:tab/>
      </w:r>
      <w:r w:rsidR="00A627BE">
        <w:t>In order to reflect the current coverage of the WIPO Handbook content and future work of CWS, t</w:t>
      </w:r>
      <w:r>
        <w:t xml:space="preserve">he International Bureau proposes updating text in the </w:t>
      </w:r>
      <w:r w:rsidR="006F5ABA">
        <w:t xml:space="preserve">WIPO </w:t>
      </w:r>
      <w:r>
        <w:t>Handbook as follows:</w:t>
      </w:r>
    </w:p>
    <w:p w:rsidR="0038062B" w:rsidRPr="0038062B" w:rsidRDefault="0038062B" w:rsidP="00D72E92">
      <w:pPr>
        <w:pStyle w:val="ONUMFS"/>
        <w:numPr>
          <w:ilvl w:val="0"/>
          <w:numId w:val="7"/>
        </w:numPr>
        <w:ind w:left="1134" w:hanging="567"/>
      </w:pPr>
      <w:r>
        <w:t xml:space="preserve">Handbook title: </w:t>
      </w:r>
      <w:r w:rsidRPr="00B97F26">
        <w:rPr>
          <w:i/>
        </w:rPr>
        <w:t xml:space="preserve">WIPO Handbook on </w:t>
      </w:r>
      <w:r w:rsidRPr="0038062B">
        <w:rPr>
          <w:i/>
          <w:u w:val="single"/>
        </w:rPr>
        <w:t>Intellectual</w:t>
      </w:r>
      <w:r>
        <w:rPr>
          <w:i/>
        </w:rPr>
        <w:t xml:space="preserve"> </w:t>
      </w:r>
      <w:r w:rsidRPr="0038062B">
        <w:rPr>
          <w:i/>
          <w:strike/>
        </w:rPr>
        <w:t xml:space="preserve">Industrial </w:t>
      </w:r>
      <w:r w:rsidRPr="00B97F26">
        <w:rPr>
          <w:i/>
        </w:rPr>
        <w:t>Property Information and Documentation</w:t>
      </w:r>
      <w:r w:rsidR="003729E4" w:rsidRPr="003729E4">
        <w:t>;</w:t>
      </w:r>
    </w:p>
    <w:p w:rsidR="0038062B" w:rsidRDefault="009E0871" w:rsidP="00D72E92">
      <w:pPr>
        <w:pStyle w:val="ONUMFS"/>
        <w:numPr>
          <w:ilvl w:val="0"/>
          <w:numId w:val="7"/>
        </w:numPr>
        <w:ind w:left="1134" w:hanging="567"/>
      </w:pPr>
      <w:r>
        <w:t xml:space="preserve">Part </w:t>
      </w:r>
      <w:r w:rsidR="00847472">
        <w:t>6 title: “</w:t>
      </w:r>
      <w:r w:rsidR="00847472" w:rsidRPr="00847472">
        <w:t xml:space="preserve">Access to </w:t>
      </w:r>
      <w:r w:rsidR="00847472" w:rsidRPr="00847472">
        <w:rPr>
          <w:u w:val="single"/>
        </w:rPr>
        <w:t>Intellectual</w:t>
      </w:r>
      <w:r w:rsidR="00847472" w:rsidRPr="00847472">
        <w:t xml:space="preserve"> </w:t>
      </w:r>
      <w:r w:rsidR="00847472" w:rsidRPr="00847472">
        <w:rPr>
          <w:strike/>
        </w:rPr>
        <w:t>Industrial</w:t>
      </w:r>
      <w:r w:rsidR="00847472" w:rsidRPr="0038062B">
        <w:rPr>
          <w:i/>
          <w:strike/>
        </w:rPr>
        <w:t xml:space="preserve"> </w:t>
      </w:r>
      <w:r w:rsidR="00847472" w:rsidRPr="00847472">
        <w:t>Property Information</w:t>
      </w:r>
      <w:r w:rsidR="00847472">
        <w:t>”</w:t>
      </w:r>
      <w:r w:rsidR="003729E4">
        <w:t>;</w:t>
      </w:r>
    </w:p>
    <w:p w:rsidR="00847472" w:rsidRDefault="009E0871" w:rsidP="00D72E92">
      <w:pPr>
        <w:pStyle w:val="ONUMFS"/>
        <w:numPr>
          <w:ilvl w:val="0"/>
          <w:numId w:val="7"/>
        </w:numPr>
        <w:ind w:left="1134" w:hanging="567"/>
      </w:pPr>
      <w:r>
        <w:t>Part</w:t>
      </w:r>
      <w:r w:rsidR="00847472">
        <w:t xml:space="preserve"> 7 title: “</w:t>
      </w:r>
      <w:r w:rsidR="00847472" w:rsidRPr="00847472">
        <w:t xml:space="preserve">Examples and </w:t>
      </w:r>
      <w:r w:rsidR="00847472" w:rsidRPr="00847472">
        <w:rPr>
          <w:u w:val="single"/>
        </w:rPr>
        <w:t>Intellectual</w:t>
      </w:r>
      <w:r w:rsidR="00847472" w:rsidRPr="00847472">
        <w:t xml:space="preserve"> </w:t>
      </w:r>
      <w:r w:rsidR="00847472" w:rsidRPr="00847472">
        <w:rPr>
          <w:strike/>
        </w:rPr>
        <w:t>Industrial</w:t>
      </w:r>
      <w:r w:rsidR="00847472" w:rsidRPr="0038062B">
        <w:rPr>
          <w:i/>
          <w:strike/>
        </w:rPr>
        <w:t xml:space="preserve"> </w:t>
      </w:r>
      <w:r w:rsidR="00847472" w:rsidRPr="00847472">
        <w:t>Property Offices Practices</w:t>
      </w:r>
      <w:r w:rsidR="00847472">
        <w:t>”</w:t>
      </w:r>
      <w:r w:rsidR="003729E4">
        <w:t>;</w:t>
      </w:r>
    </w:p>
    <w:p w:rsidR="00ED7F2F" w:rsidRDefault="00ED7F2F" w:rsidP="00D72E92">
      <w:pPr>
        <w:pStyle w:val="ONUMFS"/>
        <w:numPr>
          <w:ilvl w:val="0"/>
          <w:numId w:val="7"/>
        </w:numPr>
        <w:ind w:left="1134" w:hanging="567"/>
      </w:pPr>
      <w:r>
        <w:t xml:space="preserve">Text in </w:t>
      </w:r>
      <w:r w:rsidR="009E0871">
        <w:t>Part</w:t>
      </w:r>
      <w:r>
        <w:t xml:space="preserve"> 7 will replace “industrial property” with “intellectual property” where appropriate.  For instance, “industrial property offices” would be changed to “intellectual property offices” in the introductory paragraph.  However the title of section 7.10 “</w:t>
      </w:r>
      <w:r w:rsidRPr="00ED7F2F">
        <w:t>Codes used by industrial property offices</w:t>
      </w:r>
      <w:r>
        <w:t>” would remain unchanged, because it involves a particular survey from 2009 that only in</w:t>
      </w:r>
      <w:r w:rsidR="003729E4">
        <w:t>cludes industrial property data;</w:t>
      </w:r>
    </w:p>
    <w:p w:rsidR="00ED7F2F" w:rsidRDefault="009E0871" w:rsidP="00D72E92">
      <w:pPr>
        <w:pStyle w:val="ONUMFS"/>
        <w:numPr>
          <w:ilvl w:val="0"/>
          <w:numId w:val="7"/>
        </w:numPr>
        <w:ind w:left="1134" w:hanging="567"/>
      </w:pPr>
      <w:r>
        <w:t>Part</w:t>
      </w:r>
      <w:r w:rsidR="00ED7F2F">
        <w:t xml:space="preserve"> 8 title: “</w:t>
      </w:r>
      <w:r w:rsidR="00ED7F2F" w:rsidRPr="00ED7F2F">
        <w:t xml:space="preserve">Terms and Abbreviations concerning </w:t>
      </w:r>
      <w:r w:rsidR="00ED7F2F" w:rsidRPr="00847472">
        <w:rPr>
          <w:u w:val="single"/>
        </w:rPr>
        <w:t>Intellectual</w:t>
      </w:r>
      <w:r w:rsidR="00ED7F2F" w:rsidRPr="00847472">
        <w:t xml:space="preserve"> </w:t>
      </w:r>
      <w:r w:rsidR="00ED7F2F" w:rsidRPr="00847472">
        <w:rPr>
          <w:strike/>
        </w:rPr>
        <w:t>Industrial</w:t>
      </w:r>
      <w:r w:rsidR="00ED7F2F" w:rsidRPr="0038062B">
        <w:rPr>
          <w:i/>
          <w:strike/>
        </w:rPr>
        <w:t xml:space="preserve"> </w:t>
      </w:r>
      <w:r w:rsidR="00ED7F2F" w:rsidRPr="00ED7F2F">
        <w:t>Property Information and Documentation</w:t>
      </w:r>
      <w:r w:rsidR="00ED7F2F">
        <w:t>”</w:t>
      </w:r>
      <w:r w:rsidR="00A627BE">
        <w:t>; and</w:t>
      </w:r>
    </w:p>
    <w:p w:rsidR="004E18DF" w:rsidRDefault="00A627BE" w:rsidP="00D72E92">
      <w:pPr>
        <w:pStyle w:val="ONUMFS"/>
        <w:numPr>
          <w:ilvl w:val="0"/>
          <w:numId w:val="7"/>
        </w:numPr>
        <w:ind w:left="1134" w:hanging="567"/>
      </w:pPr>
      <w:r>
        <w:t xml:space="preserve">Replace the term “industrial property” with “intellectual property” used in </w:t>
      </w:r>
      <w:r w:rsidR="00861242">
        <w:t xml:space="preserve">other places of </w:t>
      </w:r>
      <w:r>
        <w:t xml:space="preserve">the WIPO Handbook, where appropriate. </w:t>
      </w:r>
    </w:p>
    <w:p w:rsidR="00ED7F2F" w:rsidRDefault="00ED7F2F" w:rsidP="00ED7F2F">
      <w:pPr>
        <w:pStyle w:val="ONUMFS"/>
      </w:pPr>
      <w:r>
        <w:fldChar w:fldCharType="begin"/>
      </w:r>
      <w:r>
        <w:instrText xml:space="preserve"> AUTONUM  </w:instrText>
      </w:r>
      <w:r>
        <w:fldChar w:fldCharType="end"/>
      </w:r>
      <w:r>
        <w:tab/>
        <w:t xml:space="preserve">Other </w:t>
      </w:r>
      <w:r w:rsidR="004E18DF">
        <w:t>P</w:t>
      </w:r>
      <w:r>
        <w:t xml:space="preserve">arts of the Handbook </w:t>
      </w:r>
      <w:r w:rsidR="00D72E92">
        <w:t>do</w:t>
      </w:r>
      <w:r>
        <w:t xml:space="preserve"> not need </w:t>
      </w:r>
      <w:r w:rsidR="00D72E92">
        <w:t xml:space="preserve">to be </w:t>
      </w:r>
      <w:r>
        <w:t>updated for the following reasons:</w:t>
      </w:r>
    </w:p>
    <w:p w:rsidR="00847472" w:rsidRDefault="00847472" w:rsidP="00D72E92">
      <w:pPr>
        <w:pStyle w:val="ONUMFS"/>
        <w:numPr>
          <w:ilvl w:val="0"/>
          <w:numId w:val="7"/>
        </w:numPr>
        <w:ind w:left="1134" w:hanging="567"/>
      </w:pPr>
      <w:r>
        <w:t xml:space="preserve">The text in </w:t>
      </w:r>
      <w:r w:rsidR="00A627BE">
        <w:t>Part</w:t>
      </w:r>
      <w:r>
        <w:t>s 1 (</w:t>
      </w:r>
      <w:r w:rsidRPr="00847472">
        <w:t>About the WIPO Handbook</w:t>
      </w:r>
      <w:r>
        <w:t>)</w:t>
      </w:r>
      <w:r w:rsidR="00ED7F2F">
        <w:t xml:space="preserve"> and</w:t>
      </w:r>
      <w:r>
        <w:t xml:space="preserve"> </w:t>
      </w:r>
      <w:proofErr w:type="gramStart"/>
      <w:r>
        <w:t>3</w:t>
      </w:r>
      <w:proofErr w:type="gramEnd"/>
      <w:r>
        <w:t xml:space="preserve"> (</w:t>
      </w:r>
      <w:r w:rsidR="00ED7F2F">
        <w:t>WIPO Standards</w:t>
      </w:r>
      <w:r>
        <w:t>)</w:t>
      </w:r>
      <w:r w:rsidR="00ED7F2F">
        <w:t xml:space="preserve"> has already been updated to replace “industrial property” with “intellectual property” where needed to accurately reflect the con</w:t>
      </w:r>
      <w:r w:rsidR="00D72E92">
        <w:t xml:space="preserve">tents.  The </w:t>
      </w:r>
      <w:r w:rsidR="009E0871">
        <w:t>Part</w:t>
      </w:r>
      <w:r w:rsidR="00D72E92">
        <w:t xml:space="preserve"> titles do</w:t>
      </w:r>
      <w:r w:rsidR="003729E4">
        <w:t xml:space="preserve"> not need updates; and</w:t>
      </w:r>
    </w:p>
    <w:p w:rsidR="00ED7F2F" w:rsidRDefault="009E0871" w:rsidP="00D72E92">
      <w:pPr>
        <w:pStyle w:val="ONUMFS"/>
        <w:numPr>
          <w:ilvl w:val="0"/>
          <w:numId w:val="7"/>
        </w:numPr>
        <w:ind w:left="1134" w:hanging="567"/>
      </w:pPr>
      <w:r>
        <w:t>Parts</w:t>
      </w:r>
      <w:r w:rsidR="00ED7F2F">
        <w:t xml:space="preserve"> 2 (</w:t>
      </w:r>
      <w:r w:rsidR="00ED7F2F" w:rsidRPr="00ED7F2F">
        <w:t>International Cooperation</w:t>
      </w:r>
      <w:r w:rsidR="00ED7F2F">
        <w:t xml:space="preserve">), </w:t>
      </w:r>
      <w:proofErr w:type="gramStart"/>
      <w:r w:rsidR="00ED7F2F">
        <w:t>4</w:t>
      </w:r>
      <w:proofErr w:type="gramEnd"/>
      <w:r w:rsidR="00ED7F2F">
        <w:t xml:space="preserve"> (</w:t>
      </w:r>
      <w:r w:rsidR="00ED7F2F" w:rsidRPr="00ED7F2F">
        <w:t>PCT Minimum Documentation</w:t>
      </w:r>
      <w:r w:rsidR="00ED7F2F">
        <w:t>), and 5 (</w:t>
      </w:r>
      <w:r w:rsidR="00ED7F2F" w:rsidRPr="00ED7F2F">
        <w:t>International Classifications</w:t>
      </w:r>
      <w:r w:rsidR="00ED7F2F">
        <w:t>) do not need any changes because they do not involve copyright data or do not mention industrial property specifically.</w:t>
      </w:r>
    </w:p>
    <w:p w:rsidR="00D96263" w:rsidRDefault="006D51A8" w:rsidP="00600CFE">
      <w:pPr>
        <w:pStyle w:val="ONUMFS"/>
      </w:pPr>
      <w:r>
        <w:fldChar w:fldCharType="begin"/>
      </w:r>
      <w:r>
        <w:instrText xml:space="preserve"> AUTONUM  </w:instrText>
      </w:r>
      <w:r>
        <w:fldChar w:fldCharType="end"/>
      </w:r>
      <w:r>
        <w:tab/>
        <w:t>The proposed changes in terminology are not intended to expand the scope of CWS work in any way.  Rather, they simply reflect areas that CWS is already active in or exploring for future work.</w:t>
      </w:r>
    </w:p>
    <w:p w:rsidR="00600CFE" w:rsidRPr="003A5F87" w:rsidRDefault="00600CFE" w:rsidP="00600CFE">
      <w:pPr>
        <w:pStyle w:val="ONUMFS"/>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rsidR="00600CFE" w:rsidRDefault="00600CFE" w:rsidP="00600CFE">
      <w:pPr>
        <w:pStyle w:val="BodyText"/>
        <w:tabs>
          <w:tab w:val="left" w:pos="6160"/>
          <w:tab w:val="left" w:pos="6710"/>
        </w:tabs>
        <w:ind w:left="5530"/>
        <w:rPr>
          <w:i/>
        </w:rPr>
      </w:pPr>
      <w:r>
        <w:rPr>
          <w:i/>
        </w:rPr>
        <w:tab/>
        <w:t>(a)</w:t>
      </w:r>
      <w:r>
        <w:rPr>
          <w:i/>
        </w:rPr>
        <w:tab/>
      </w:r>
      <w:proofErr w:type="gramStart"/>
      <w:r w:rsidRPr="006A730D">
        <w:rPr>
          <w:i/>
        </w:rPr>
        <w:t>note</w:t>
      </w:r>
      <w:proofErr w:type="gramEnd"/>
      <w:r w:rsidRPr="006A730D">
        <w:rPr>
          <w:i/>
        </w:rPr>
        <w:t xml:space="preserve"> the content of </w:t>
      </w:r>
      <w:r>
        <w:rPr>
          <w:i/>
        </w:rPr>
        <w:t xml:space="preserve">this </w:t>
      </w:r>
      <w:r w:rsidRPr="006A730D">
        <w:rPr>
          <w:i/>
        </w:rPr>
        <w:t>document;</w:t>
      </w:r>
      <w:r>
        <w:rPr>
          <w:i/>
        </w:rPr>
        <w:t xml:space="preserve"> </w:t>
      </w:r>
    </w:p>
    <w:p w:rsidR="00600CFE" w:rsidRDefault="00600CFE" w:rsidP="00600CFE">
      <w:pPr>
        <w:pStyle w:val="BodyText"/>
        <w:tabs>
          <w:tab w:val="left" w:pos="6160"/>
          <w:tab w:val="left" w:pos="6710"/>
        </w:tabs>
        <w:ind w:left="5530"/>
        <w:rPr>
          <w:i/>
        </w:rPr>
      </w:pPr>
      <w:r>
        <w:rPr>
          <w:i/>
        </w:rPr>
        <w:tab/>
        <w:t>(b)</w:t>
      </w:r>
      <w:r>
        <w:rPr>
          <w:i/>
        </w:rPr>
        <w:tab/>
      </w:r>
      <w:proofErr w:type="gramStart"/>
      <w:r>
        <w:rPr>
          <w:i/>
        </w:rPr>
        <w:t>approve</w:t>
      </w:r>
      <w:proofErr w:type="gramEnd"/>
      <w:r>
        <w:rPr>
          <w:i/>
        </w:rPr>
        <w:t xml:space="preserve"> the </w:t>
      </w:r>
      <w:r w:rsidR="006D51A8">
        <w:rPr>
          <w:i/>
        </w:rPr>
        <w:t>edits to terminology in the WIPO Handbook described in paragraph 4 above</w:t>
      </w:r>
      <w:r>
        <w:rPr>
          <w:i/>
        </w:rPr>
        <w:t>; and</w:t>
      </w:r>
    </w:p>
    <w:p w:rsidR="00600CFE" w:rsidRPr="006A730D" w:rsidRDefault="00600CFE" w:rsidP="003729E4">
      <w:pPr>
        <w:pStyle w:val="BodyText"/>
        <w:tabs>
          <w:tab w:val="left" w:pos="6160"/>
          <w:tab w:val="left" w:pos="6710"/>
        </w:tabs>
        <w:ind w:left="5530"/>
        <w:rPr>
          <w:i/>
        </w:rPr>
      </w:pPr>
      <w:r>
        <w:rPr>
          <w:i/>
        </w:rPr>
        <w:tab/>
        <w:t>(c)</w:t>
      </w:r>
      <w:r>
        <w:rPr>
          <w:i/>
        </w:rPr>
        <w:tab/>
        <w:t xml:space="preserve"> </w:t>
      </w:r>
      <w:proofErr w:type="gramStart"/>
      <w:r>
        <w:rPr>
          <w:i/>
        </w:rPr>
        <w:t>request</w:t>
      </w:r>
      <w:proofErr w:type="gramEnd"/>
      <w:r>
        <w:rPr>
          <w:i/>
        </w:rPr>
        <w:t xml:space="preserve"> the Secretariat to </w:t>
      </w:r>
      <w:r w:rsidR="006D51A8">
        <w:rPr>
          <w:i/>
        </w:rPr>
        <w:t>update the WIPO Handbook according to the agreements of the ninth session</w:t>
      </w:r>
      <w:r>
        <w:rPr>
          <w:i/>
        </w:rPr>
        <w:t>.</w:t>
      </w:r>
    </w:p>
    <w:p w:rsidR="00600CFE" w:rsidRPr="00084955" w:rsidRDefault="00600CFE" w:rsidP="00600CFE">
      <w:pPr>
        <w:rPr>
          <w:szCs w:val="22"/>
        </w:rPr>
      </w:pPr>
    </w:p>
    <w:p w:rsidR="00600CFE" w:rsidRPr="00084955" w:rsidRDefault="00600CFE" w:rsidP="00600CFE">
      <w:pPr>
        <w:pStyle w:val="Endofdocument"/>
        <w:ind w:left="5530"/>
      </w:pPr>
      <w:r w:rsidRPr="00084955">
        <w:rPr>
          <w:rFonts w:cs="Arial"/>
          <w:sz w:val="22"/>
          <w:szCs w:val="22"/>
        </w:rPr>
        <w:t>[</w:t>
      </w:r>
      <w:r w:rsidR="006D51A8">
        <w:rPr>
          <w:rFonts w:cs="Arial"/>
          <w:sz w:val="22"/>
          <w:szCs w:val="22"/>
        </w:rPr>
        <w:t>End of document</w:t>
      </w:r>
      <w:r w:rsidRPr="00084955">
        <w:rPr>
          <w:rFonts w:cs="Arial"/>
          <w:sz w:val="22"/>
          <w:szCs w:val="22"/>
        </w:rPr>
        <w:t>]</w:t>
      </w:r>
    </w:p>
    <w:p w:rsidR="002326AB" w:rsidRDefault="002326AB" w:rsidP="002326AB">
      <w:pPr>
        <w:spacing w:after="220"/>
      </w:pPr>
    </w:p>
    <w:sectPr w:rsidR="002326AB" w:rsidSect="00600CF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12D" w:rsidRDefault="0043512D">
      <w:r>
        <w:separator/>
      </w:r>
    </w:p>
  </w:endnote>
  <w:endnote w:type="continuationSeparator" w:id="0">
    <w:p w:rsidR="0043512D" w:rsidRDefault="0043512D" w:rsidP="003B38C1">
      <w:r>
        <w:separator/>
      </w:r>
    </w:p>
    <w:p w:rsidR="0043512D" w:rsidRPr="003B38C1" w:rsidRDefault="0043512D" w:rsidP="003B38C1">
      <w:pPr>
        <w:spacing w:after="60"/>
        <w:rPr>
          <w:sz w:val="17"/>
        </w:rPr>
      </w:pPr>
      <w:r>
        <w:rPr>
          <w:sz w:val="17"/>
        </w:rPr>
        <w:t>[Endnote continued from previous page]</w:t>
      </w:r>
    </w:p>
  </w:endnote>
  <w:endnote w:type="continuationNotice" w:id="1">
    <w:p w:rsidR="0043512D" w:rsidRPr="003B38C1" w:rsidRDefault="004351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12D" w:rsidRDefault="0043512D">
      <w:r>
        <w:separator/>
      </w:r>
    </w:p>
  </w:footnote>
  <w:footnote w:type="continuationSeparator" w:id="0">
    <w:p w:rsidR="0043512D" w:rsidRDefault="0043512D" w:rsidP="008B60B2">
      <w:r>
        <w:separator/>
      </w:r>
    </w:p>
    <w:p w:rsidR="0043512D" w:rsidRPr="00ED77FB" w:rsidRDefault="0043512D" w:rsidP="008B60B2">
      <w:pPr>
        <w:spacing w:after="60"/>
        <w:rPr>
          <w:sz w:val="17"/>
          <w:szCs w:val="17"/>
        </w:rPr>
      </w:pPr>
      <w:r w:rsidRPr="00ED77FB">
        <w:rPr>
          <w:sz w:val="17"/>
          <w:szCs w:val="17"/>
        </w:rPr>
        <w:t>[Footnote continued from previous page]</w:t>
      </w:r>
    </w:p>
  </w:footnote>
  <w:footnote w:type="continuationNotice" w:id="1">
    <w:p w:rsidR="0043512D" w:rsidRPr="00ED77FB" w:rsidRDefault="0043512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600CFE" w:rsidP="00477D6B">
    <w:pPr>
      <w:jc w:val="right"/>
      <w:rPr>
        <w:caps/>
      </w:rPr>
    </w:pPr>
    <w:bookmarkStart w:id="6" w:name="Code2"/>
    <w:bookmarkEnd w:id="6"/>
    <w:r>
      <w:rPr>
        <w:caps/>
      </w:rPr>
      <w:t>C</w:t>
    </w:r>
    <w:r w:rsidR="00D96263">
      <w:rPr>
        <w:caps/>
      </w:rPr>
      <w:t>WS/9/19</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252C3">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7F5630"/>
    <w:multiLevelType w:val="hybridMultilevel"/>
    <w:tmpl w:val="E454E534"/>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FE"/>
    <w:rsid w:val="0001132E"/>
    <w:rsid w:val="00043CAA"/>
    <w:rsid w:val="00056816"/>
    <w:rsid w:val="00075432"/>
    <w:rsid w:val="00075F44"/>
    <w:rsid w:val="000968ED"/>
    <w:rsid w:val="000A3D97"/>
    <w:rsid w:val="000F5E56"/>
    <w:rsid w:val="001362EE"/>
    <w:rsid w:val="001647D5"/>
    <w:rsid w:val="0016734B"/>
    <w:rsid w:val="001832A6"/>
    <w:rsid w:val="001D4107"/>
    <w:rsid w:val="001E5DCA"/>
    <w:rsid w:val="00203D24"/>
    <w:rsid w:val="0021217E"/>
    <w:rsid w:val="002326AB"/>
    <w:rsid w:val="00243430"/>
    <w:rsid w:val="002634C4"/>
    <w:rsid w:val="002928D3"/>
    <w:rsid w:val="002F1FE6"/>
    <w:rsid w:val="002F4485"/>
    <w:rsid w:val="002F4E68"/>
    <w:rsid w:val="00305685"/>
    <w:rsid w:val="00312F7F"/>
    <w:rsid w:val="00361450"/>
    <w:rsid w:val="003673CF"/>
    <w:rsid w:val="003729E4"/>
    <w:rsid w:val="0038062B"/>
    <w:rsid w:val="003845C1"/>
    <w:rsid w:val="003A6F89"/>
    <w:rsid w:val="003B38C1"/>
    <w:rsid w:val="003B41B2"/>
    <w:rsid w:val="003C34E9"/>
    <w:rsid w:val="00401963"/>
    <w:rsid w:val="00423E3E"/>
    <w:rsid w:val="004252C3"/>
    <w:rsid w:val="00427AF4"/>
    <w:rsid w:val="0043512D"/>
    <w:rsid w:val="004647DA"/>
    <w:rsid w:val="00473586"/>
    <w:rsid w:val="00474062"/>
    <w:rsid w:val="00477D6B"/>
    <w:rsid w:val="004E18DF"/>
    <w:rsid w:val="005019FF"/>
    <w:rsid w:val="0053057A"/>
    <w:rsid w:val="00556076"/>
    <w:rsid w:val="00560A29"/>
    <w:rsid w:val="005638A7"/>
    <w:rsid w:val="005C6649"/>
    <w:rsid w:val="00600CFE"/>
    <w:rsid w:val="00605827"/>
    <w:rsid w:val="00646050"/>
    <w:rsid w:val="006713CA"/>
    <w:rsid w:val="00676C5C"/>
    <w:rsid w:val="006D51A8"/>
    <w:rsid w:val="006F1BD9"/>
    <w:rsid w:val="006F5ABA"/>
    <w:rsid w:val="00720EFD"/>
    <w:rsid w:val="007854AF"/>
    <w:rsid w:val="00793A7C"/>
    <w:rsid w:val="007A398A"/>
    <w:rsid w:val="007D1613"/>
    <w:rsid w:val="007E4C0E"/>
    <w:rsid w:val="00846CF6"/>
    <w:rsid w:val="00847472"/>
    <w:rsid w:val="00861242"/>
    <w:rsid w:val="008A134B"/>
    <w:rsid w:val="008B2CC1"/>
    <w:rsid w:val="008B60B2"/>
    <w:rsid w:val="0090731E"/>
    <w:rsid w:val="00916EE2"/>
    <w:rsid w:val="00966A22"/>
    <w:rsid w:val="0096722F"/>
    <w:rsid w:val="00980843"/>
    <w:rsid w:val="009E0871"/>
    <w:rsid w:val="009E2791"/>
    <w:rsid w:val="009E3F6F"/>
    <w:rsid w:val="009F499F"/>
    <w:rsid w:val="00A37342"/>
    <w:rsid w:val="00A42DAF"/>
    <w:rsid w:val="00A45BD8"/>
    <w:rsid w:val="00A627BE"/>
    <w:rsid w:val="00A869B7"/>
    <w:rsid w:val="00A90F0A"/>
    <w:rsid w:val="00AC205C"/>
    <w:rsid w:val="00AF0A6B"/>
    <w:rsid w:val="00B05A69"/>
    <w:rsid w:val="00B355B6"/>
    <w:rsid w:val="00B75281"/>
    <w:rsid w:val="00B92F1F"/>
    <w:rsid w:val="00B9734B"/>
    <w:rsid w:val="00B97F26"/>
    <w:rsid w:val="00BA30E2"/>
    <w:rsid w:val="00C11BFE"/>
    <w:rsid w:val="00C379A4"/>
    <w:rsid w:val="00C5068F"/>
    <w:rsid w:val="00C86D74"/>
    <w:rsid w:val="00CB2AF7"/>
    <w:rsid w:val="00CD04F1"/>
    <w:rsid w:val="00CF681A"/>
    <w:rsid w:val="00D07C78"/>
    <w:rsid w:val="00D45252"/>
    <w:rsid w:val="00D71B4D"/>
    <w:rsid w:val="00D72E92"/>
    <w:rsid w:val="00D84C77"/>
    <w:rsid w:val="00D93D55"/>
    <w:rsid w:val="00D96263"/>
    <w:rsid w:val="00DB17C6"/>
    <w:rsid w:val="00DB44B7"/>
    <w:rsid w:val="00DD7B7F"/>
    <w:rsid w:val="00E15015"/>
    <w:rsid w:val="00E335FE"/>
    <w:rsid w:val="00E400DE"/>
    <w:rsid w:val="00E45755"/>
    <w:rsid w:val="00E55A68"/>
    <w:rsid w:val="00EA7D6E"/>
    <w:rsid w:val="00EB2F76"/>
    <w:rsid w:val="00EC4E49"/>
    <w:rsid w:val="00ED77FB"/>
    <w:rsid w:val="00ED7F2F"/>
    <w:rsid w:val="00EE45FA"/>
    <w:rsid w:val="00F043DE"/>
    <w:rsid w:val="00F141D6"/>
    <w:rsid w:val="00F66152"/>
    <w:rsid w:val="00F9165B"/>
    <w:rsid w:val="00FC482F"/>
    <w:rsid w:val="00FC662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F8F7E"/>
  <w15:docId w15:val="{C8B80AFD-1FBD-4BFA-9E6A-067605E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075F44"/>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75F44"/>
    <w:rPr>
      <w:rFonts w:ascii="Arial" w:eastAsia="SimSun" w:hAnsi="Arial" w:cs="Arial"/>
      <w:bCs/>
      <w:iCs/>
      <w:caps/>
      <w:sz w:val="22"/>
      <w:szCs w:val="28"/>
      <w:lang w:val="en-US" w:eastAsia="zh-CN"/>
    </w:rPr>
  </w:style>
  <w:style w:type="paragraph" w:customStyle="1" w:styleId="Endofdocument">
    <w:name w:val="End of document"/>
    <w:basedOn w:val="Normal"/>
    <w:rsid w:val="00600CFE"/>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600CFE"/>
    <w:rPr>
      <w:rFonts w:ascii="Arial" w:eastAsia="SimSun" w:hAnsi="Arial" w:cs="Arial"/>
      <w:sz w:val="22"/>
      <w:lang w:val="en-US" w:eastAsia="zh-CN"/>
    </w:rPr>
  </w:style>
  <w:style w:type="paragraph" w:styleId="BalloonText">
    <w:name w:val="Balloon Text"/>
    <w:basedOn w:val="Normal"/>
    <w:link w:val="BalloonTextChar"/>
    <w:semiHidden/>
    <w:unhideWhenUsed/>
    <w:rsid w:val="006F5ABA"/>
    <w:rPr>
      <w:rFonts w:ascii="Segoe UI" w:hAnsi="Segoe UI" w:cs="Segoe UI"/>
      <w:sz w:val="18"/>
      <w:szCs w:val="18"/>
    </w:rPr>
  </w:style>
  <w:style w:type="character" w:customStyle="1" w:styleId="BalloonTextChar">
    <w:name w:val="Balloon Text Char"/>
    <w:basedOn w:val="DefaultParagraphFont"/>
    <w:link w:val="BalloonText"/>
    <w:semiHidden/>
    <w:rsid w:val="006F5ABA"/>
    <w:rPr>
      <w:rFonts w:ascii="Segoe UI" w:eastAsia="SimSun" w:hAnsi="Segoe UI" w:cs="Segoe UI"/>
      <w:sz w:val="18"/>
      <w:szCs w:val="18"/>
      <w:lang w:val="en-US" w:eastAsia="zh-CN"/>
    </w:rPr>
  </w:style>
  <w:style w:type="character" w:styleId="Hyperlink">
    <w:name w:val="Hyperlink"/>
    <w:basedOn w:val="DefaultParagraphFont"/>
    <w:unhideWhenUsed/>
    <w:rsid w:val="004E18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2149">
      <w:bodyDiv w:val="1"/>
      <w:marLeft w:val="0"/>
      <w:marRight w:val="0"/>
      <w:marTop w:val="0"/>
      <w:marBottom w:val="0"/>
      <w:divBdr>
        <w:top w:val="none" w:sz="0" w:space="0" w:color="auto"/>
        <w:left w:val="none" w:sz="0" w:space="0" w:color="auto"/>
        <w:bottom w:val="none" w:sz="0" w:space="0" w:color="auto"/>
        <w:right w:val="none" w:sz="0" w:space="0" w:color="auto"/>
      </w:divBdr>
    </w:div>
    <w:div w:id="715467411">
      <w:bodyDiv w:val="1"/>
      <w:marLeft w:val="0"/>
      <w:marRight w:val="0"/>
      <w:marTop w:val="0"/>
      <w:marBottom w:val="0"/>
      <w:divBdr>
        <w:top w:val="none" w:sz="0" w:space="0" w:color="auto"/>
        <w:left w:val="none" w:sz="0" w:space="0" w:color="auto"/>
        <w:bottom w:val="none" w:sz="0" w:space="0" w:color="auto"/>
        <w:right w:val="none" w:sz="0" w:space="0" w:color="auto"/>
      </w:divBdr>
    </w:div>
    <w:div w:id="952631824">
      <w:bodyDiv w:val="1"/>
      <w:marLeft w:val="0"/>
      <w:marRight w:val="0"/>
      <w:marTop w:val="0"/>
      <w:marBottom w:val="0"/>
      <w:divBdr>
        <w:top w:val="none" w:sz="0" w:space="0" w:color="auto"/>
        <w:left w:val="none" w:sz="0" w:space="0" w:color="auto"/>
        <w:bottom w:val="none" w:sz="0" w:space="0" w:color="auto"/>
        <w:right w:val="none" w:sz="0" w:space="0" w:color="auto"/>
      </w:divBdr>
    </w:div>
    <w:div w:id="1036809720">
      <w:bodyDiv w:val="1"/>
      <w:marLeft w:val="0"/>
      <w:marRight w:val="0"/>
      <w:marTop w:val="0"/>
      <w:marBottom w:val="0"/>
      <w:divBdr>
        <w:top w:val="none" w:sz="0" w:space="0" w:color="auto"/>
        <w:left w:val="none" w:sz="0" w:space="0" w:color="auto"/>
        <w:bottom w:val="none" w:sz="0" w:space="0" w:color="auto"/>
        <w:right w:val="none" w:sz="0" w:space="0" w:color="auto"/>
      </w:divBdr>
    </w:div>
    <w:div w:id="1196191663">
      <w:bodyDiv w:val="1"/>
      <w:marLeft w:val="0"/>
      <w:marRight w:val="0"/>
      <w:marTop w:val="0"/>
      <w:marBottom w:val="0"/>
      <w:divBdr>
        <w:top w:val="none" w:sz="0" w:space="0" w:color="auto"/>
        <w:left w:val="none" w:sz="0" w:space="0" w:color="auto"/>
        <w:bottom w:val="none" w:sz="0" w:space="0" w:color="auto"/>
        <w:right w:val="none" w:sz="0" w:space="0" w:color="auto"/>
      </w:divBdr>
    </w:div>
    <w:div w:id="1263565486">
      <w:bodyDiv w:val="1"/>
      <w:marLeft w:val="0"/>
      <w:marRight w:val="0"/>
      <w:marTop w:val="0"/>
      <w:marBottom w:val="0"/>
      <w:divBdr>
        <w:top w:val="none" w:sz="0" w:space="0" w:color="auto"/>
        <w:left w:val="none" w:sz="0" w:space="0" w:color="auto"/>
        <w:bottom w:val="none" w:sz="0" w:space="0" w:color="auto"/>
        <w:right w:val="none" w:sz="0" w:space="0" w:color="auto"/>
      </w:divBdr>
    </w:div>
    <w:div w:id="1271818241">
      <w:bodyDiv w:val="1"/>
      <w:marLeft w:val="0"/>
      <w:marRight w:val="0"/>
      <w:marTop w:val="0"/>
      <w:marBottom w:val="0"/>
      <w:divBdr>
        <w:top w:val="none" w:sz="0" w:space="0" w:color="auto"/>
        <w:left w:val="none" w:sz="0" w:space="0" w:color="auto"/>
        <w:bottom w:val="none" w:sz="0" w:space="0" w:color="auto"/>
        <w:right w:val="none" w:sz="0" w:space="0" w:color="auto"/>
      </w:divBdr>
    </w:div>
    <w:div w:id="1278295201">
      <w:bodyDiv w:val="1"/>
      <w:marLeft w:val="0"/>
      <w:marRight w:val="0"/>
      <w:marTop w:val="0"/>
      <w:marBottom w:val="0"/>
      <w:divBdr>
        <w:top w:val="none" w:sz="0" w:space="0" w:color="auto"/>
        <w:left w:val="none" w:sz="0" w:space="0" w:color="auto"/>
        <w:bottom w:val="none" w:sz="0" w:space="0" w:color="auto"/>
        <w:right w:val="none" w:sz="0" w:space="0" w:color="auto"/>
      </w:divBdr>
    </w:div>
    <w:div w:id="1341077766">
      <w:bodyDiv w:val="1"/>
      <w:marLeft w:val="0"/>
      <w:marRight w:val="0"/>
      <w:marTop w:val="0"/>
      <w:marBottom w:val="0"/>
      <w:divBdr>
        <w:top w:val="none" w:sz="0" w:space="0" w:color="auto"/>
        <w:left w:val="none" w:sz="0" w:space="0" w:color="auto"/>
        <w:bottom w:val="none" w:sz="0" w:space="0" w:color="auto"/>
        <w:right w:val="none" w:sz="0" w:space="0" w:color="auto"/>
      </w:divBdr>
    </w:div>
    <w:div w:id="1476142101">
      <w:bodyDiv w:val="1"/>
      <w:marLeft w:val="0"/>
      <w:marRight w:val="0"/>
      <w:marTop w:val="0"/>
      <w:marBottom w:val="0"/>
      <w:divBdr>
        <w:top w:val="none" w:sz="0" w:space="0" w:color="auto"/>
        <w:left w:val="none" w:sz="0" w:space="0" w:color="auto"/>
        <w:bottom w:val="none" w:sz="0" w:space="0" w:color="auto"/>
        <w:right w:val="none" w:sz="0" w:space="0" w:color="auto"/>
      </w:divBdr>
    </w:div>
    <w:div w:id="19337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handboo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AC9A-E00E-4932-8561-AEC7603B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4</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CWS/9/19</vt:lpstr>
    </vt:vector>
  </TitlesOfParts>
  <Company>WIPO</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CWS/9/19</dc:title>
  <dc:subject>Update of the WIPO Handbook on IP Information and Documentation</dc:subject>
  <dc:creator>WIPO</dc:creator>
  <cp:keywords>FOR OFFICIAL USE ONLY</cp:keywords>
  <cp:lastModifiedBy>CHAVAS Louison</cp:lastModifiedBy>
  <cp:revision>3</cp:revision>
  <cp:lastPrinted>2021-10-05T10:07:00Z</cp:lastPrinted>
  <dcterms:created xsi:type="dcterms:W3CDTF">2021-10-05T10:05:00Z</dcterms:created>
  <dcterms:modified xsi:type="dcterms:W3CDTF">2021-10-05T10:09:00Z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df10f97e-2e13-4370-a6f2-626aec183865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