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16EA2"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6878B040" wp14:editId="790E71B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FCE47EB"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E9434C">
        <w:rPr>
          <w:rFonts w:ascii="Arial Black" w:hAnsi="Arial Black"/>
          <w:caps/>
          <w:sz w:val="15"/>
          <w:szCs w:val="15"/>
        </w:rPr>
        <w:t>21</w:t>
      </w:r>
    </w:p>
    <w:p w14:paraId="37A9E102"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72E82">
        <w:rPr>
          <w:rFonts w:ascii="Arial Black" w:hAnsi="Arial Black"/>
          <w:caps/>
          <w:sz w:val="15"/>
          <w:szCs w:val="15"/>
        </w:rPr>
        <w:t>english</w:t>
      </w:r>
    </w:p>
    <w:bookmarkEnd w:id="1"/>
    <w:p w14:paraId="0B29CD04" w14:textId="69292C5B" w:rsidR="008B2CC1" w:rsidRPr="000A3D97" w:rsidRDefault="00EB2F76" w:rsidP="006369DC">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369DC" w:rsidRPr="006369DC">
        <w:rPr>
          <w:rFonts w:ascii="Arial Black" w:hAnsi="Arial Black"/>
          <w:caps/>
          <w:sz w:val="15"/>
          <w:szCs w:val="15"/>
        </w:rPr>
        <w:t>october</w:t>
      </w:r>
      <w:r w:rsidR="00E9434C" w:rsidRPr="006369DC">
        <w:rPr>
          <w:rFonts w:ascii="Arial Black" w:hAnsi="Arial Black"/>
          <w:caps/>
          <w:sz w:val="15"/>
          <w:szCs w:val="15"/>
        </w:rPr>
        <w:t xml:space="preserve"> </w:t>
      </w:r>
      <w:r w:rsidR="004B307B">
        <w:rPr>
          <w:rFonts w:ascii="Arial Black" w:hAnsi="Arial Black"/>
          <w:caps/>
          <w:sz w:val="15"/>
          <w:szCs w:val="15"/>
        </w:rPr>
        <w:t>11</w:t>
      </w:r>
      <w:r w:rsidR="00572E82" w:rsidRPr="004B307B">
        <w:rPr>
          <w:rFonts w:ascii="Arial Black" w:hAnsi="Arial Black"/>
          <w:caps/>
          <w:sz w:val="15"/>
          <w:szCs w:val="15"/>
        </w:rPr>
        <w:t>,</w:t>
      </w:r>
      <w:r w:rsidR="00572E82">
        <w:rPr>
          <w:rFonts w:ascii="Arial Black" w:hAnsi="Arial Black"/>
          <w:caps/>
          <w:sz w:val="15"/>
          <w:szCs w:val="15"/>
        </w:rPr>
        <w:t xml:space="preserve"> 2021</w:t>
      </w:r>
    </w:p>
    <w:bookmarkEnd w:id="2"/>
    <w:p w14:paraId="5DAACA46" w14:textId="77777777" w:rsidR="008B2CC1" w:rsidRPr="006369DC" w:rsidRDefault="00E45755" w:rsidP="00720EFD">
      <w:pPr>
        <w:pStyle w:val="Heading1"/>
        <w:spacing w:before="0" w:after="480"/>
        <w:rPr>
          <w:sz w:val="36"/>
        </w:rPr>
      </w:pPr>
      <w:r w:rsidRPr="006369DC">
        <w:rPr>
          <w:caps w:val="0"/>
          <w:sz w:val="28"/>
          <w:szCs w:val="36"/>
        </w:rPr>
        <w:t xml:space="preserve">Committee on WIPO Standards </w:t>
      </w:r>
      <w:r w:rsidRPr="006369DC">
        <w:rPr>
          <w:sz w:val="28"/>
          <w:szCs w:val="36"/>
        </w:rPr>
        <w:t>(CWS)</w:t>
      </w:r>
    </w:p>
    <w:p w14:paraId="7C1EC5A1" w14:textId="77777777" w:rsidR="00E45755" w:rsidRPr="00846CF6" w:rsidRDefault="00E45755" w:rsidP="00E45755">
      <w:pPr>
        <w:outlineLvl w:val="1"/>
        <w:rPr>
          <w:b/>
          <w:sz w:val="24"/>
          <w:szCs w:val="24"/>
        </w:rPr>
      </w:pPr>
      <w:r w:rsidRPr="00846CF6">
        <w:rPr>
          <w:b/>
          <w:sz w:val="24"/>
          <w:szCs w:val="24"/>
        </w:rPr>
        <w:t>Ninth Session</w:t>
      </w:r>
    </w:p>
    <w:p w14:paraId="4390A866" w14:textId="77777777" w:rsidR="008B2CC1" w:rsidRPr="003845C1" w:rsidRDefault="00846CF6" w:rsidP="00F9165B">
      <w:pPr>
        <w:spacing w:after="720"/>
        <w:outlineLvl w:val="1"/>
        <w:rPr>
          <w:b/>
          <w:sz w:val="24"/>
          <w:szCs w:val="24"/>
        </w:rPr>
      </w:pPr>
      <w:r w:rsidRPr="00846CF6">
        <w:rPr>
          <w:b/>
          <w:sz w:val="24"/>
          <w:szCs w:val="24"/>
        </w:rPr>
        <w:t>Geneva, November 1 to 5, 2021</w:t>
      </w:r>
    </w:p>
    <w:p w14:paraId="1F993516" w14:textId="77777777" w:rsidR="008B2CC1" w:rsidRPr="003845C1" w:rsidRDefault="00572E82" w:rsidP="00DD7B7F">
      <w:pPr>
        <w:spacing w:after="360"/>
        <w:outlineLvl w:val="0"/>
        <w:rPr>
          <w:caps/>
          <w:sz w:val="24"/>
        </w:rPr>
      </w:pPr>
      <w:bookmarkStart w:id="3" w:name="TitleOfDoc"/>
      <w:r>
        <w:rPr>
          <w:caps/>
          <w:sz w:val="24"/>
        </w:rPr>
        <w:t>Information on the entry into national (regional) phase of published PCT international applications</w:t>
      </w:r>
    </w:p>
    <w:p w14:paraId="74F795A5" w14:textId="4B04241E" w:rsidR="00A27307" w:rsidRPr="004B307B" w:rsidRDefault="00572E82" w:rsidP="004B307B">
      <w:pPr>
        <w:spacing w:after="1040"/>
        <w:rPr>
          <w:i/>
        </w:rPr>
      </w:pPr>
      <w:bookmarkStart w:id="4" w:name="Prepared"/>
      <w:bookmarkEnd w:id="3"/>
      <w:bookmarkEnd w:id="4"/>
      <w:r>
        <w:rPr>
          <w:i/>
        </w:rPr>
        <w:t>Document prepared by the International Bureau</w:t>
      </w:r>
    </w:p>
    <w:p w14:paraId="5934E0D6" w14:textId="77777777" w:rsidR="00A27307" w:rsidRDefault="001702E9" w:rsidP="00A27307">
      <w:pPr>
        <w:spacing w:after="220"/>
      </w:pPr>
      <w:r>
        <w:fldChar w:fldCharType="begin"/>
      </w:r>
      <w:r>
        <w:instrText xml:space="preserve"> AUTONUM  </w:instrText>
      </w:r>
      <w:r>
        <w:fldChar w:fldCharType="end"/>
      </w:r>
      <w:r>
        <w:tab/>
      </w:r>
      <w:r w:rsidR="00A27307">
        <w:t>The Committee on WIPO Standards (CWS), according to Task No. 23, monitors “the inclusion, in databases, of information about the entry, and, where applicable, the non-entry into the national (regional) phase of published PCT international applications”.  The International Bureau should report at the CWS meetings every second year on the progress of the said Task.  (See document CWS/3/12 and paragraph 73 of CWS/3/14).</w:t>
      </w:r>
    </w:p>
    <w:p w14:paraId="5CA43D7C" w14:textId="7894802C" w:rsidR="006369DC" w:rsidRDefault="001702E9" w:rsidP="004D2002">
      <w:pPr>
        <w:spacing w:after="220"/>
      </w:pPr>
      <w:r>
        <w:fldChar w:fldCharType="begin"/>
      </w:r>
      <w:r>
        <w:instrText xml:space="preserve"> AUTONUM  </w:instrText>
      </w:r>
      <w:r>
        <w:fldChar w:fldCharType="end"/>
      </w:r>
      <w:r>
        <w:tab/>
      </w:r>
      <w:r w:rsidR="004D2002">
        <w:t>At its sixth session, the CWS noted that s</w:t>
      </w:r>
      <w:r w:rsidR="00A27307">
        <w:t xml:space="preserve">ince July 1, 2017, designated Offices have been required, under PCT Rule 95.1, to notify the International Bureau of information concerning international applications which enter the national phase at their Office.  </w:t>
      </w:r>
      <w:r w:rsidR="004D2002">
        <w:t>T</w:t>
      </w:r>
      <w:r w:rsidR="00A27307">
        <w:t xml:space="preserve">he CWS </w:t>
      </w:r>
      <w:r w:rsidR="004D2002">
        <w:t xml:space="preserve">also </w:t>
      </w:r>
      <w:r w:rsidR="00A27307">
        <w:t>noted that the International Bureau developed systems for collecting and distributing this information and the delivery and visibility of national phase entry data has been enhanced through</w:t>
      </w:r>
      <w:r w:rsidR="006F7FD7">
        <w:t xml:space="preserve"> PATENTSCOPE website at: </w:t>
      </w:r>
      <w:hyperlink r:id="rId9" w:history="1">
        <w:r w:rsidR="006F7FD7" w:rsidRPr="00814DD8">
          <w:rPr>
            <w:rStyle w:val="Hyperlink"/>
          </w:rPr>
          <w:t>https://patentscope.wipo.int/search/en/structuredSearch.jsf</w:t>
        </w:r>
      </w:hyperlink>
      <w:r w:rsidR="006F7FD7">
        <w:t xml:space="preserve"> </w:t>
      </w:r>
      <w:r w:rsidR="00A27307">
        <w:t>where national phase entry data sets can be downloaded in CSV format.</w:t>
      </w:r>
      <w:r w:rsidR="004D2002">
        <w:t xml:space="preserve">  Taking into account </w:t>
      </w:r>
      <w:r w:rsidR="00A27307">
        <w:t xml:space="preserve">the new </w:t>
      </w:r>
      <w:r w:rsidR="004D2002">
        <w:t xml:space="preserve">PCT Rule and </w:t>
      </w:r>
      <w:r w:rsidR="00A27307">
        <w:t xml:space="preserve">the data </w:t>
      </w:r>
      <w:r w:rsidR="004D2002">
        <w:t>availability through the</w:t>
      </w:r>
      <w:r w:rsidR="00A27307">
        <w:t xml:space="preserve"> PATENTSCOPE website, the </w:t>
      </w:r>
      <w:r w:rsidR="004D2002">
        <w:t xml:space="preserve">International Bureau </w:t>
      </w:r>
      <w:r w:rsidR="00A27307">
        <w:t>propose</w:t>
      </w:r>
      <w:r w:rsidR="004D2002">
        <w:t>d</w:t>
      </w:r>
      <w:r w:rsidR="00A27307">
        <w:t xml:space="preserve"> to discontinue the CWS Task No. 23.</w:t>
      </w:r>
      <w:r w:rsidR="004D2002">
        <w:t xml:space="preserve">  The CWS agreed that discontinuing Task No. 23 might be premature and that the Task should run for one more cycle before being discontinued in 2020.  (See </w:t>
      </w:r>
      <w:r w:rsidR="0091388F">
        <w:t xml:space="preserve">document CWS/6/30 and </w:t>
      </w:r>
      <w:r w:rsidR="004D2002">
        <w:t>paragraphs 181 to 184 of document CWS/6/34.)</w:t>
      </w:r>
    </w:p>
    <w:p w14:paraId="23D7A4A0" w14:textId="026F17A5" w:rsidR="0072387B" w:rsidRDefault="001702E9" w:rsidP="002E1B1B">
      <w:pPr>
        <w:spacing w:after="220"/>
      </w:pPr>
      <w:r>
        <w:fldChar w:fldCharType="begin"/>
      </w:r>
      <w:r>
        <w:instrText xml:space="preserve"> AUTONUM  </w:instrText>
      </w:r>
      <w:r>
        <w:fldChar w:fldCharType="end"/>
      </w:r>
      <w:r>
        <w:tab/>
      </w:r>
      <w:r w:rsidR="006F7FD7">
        <w:t xml:space="preserve">Currently the PCT national phase entry </w:t>
      </w:r>
      <w:r w:rsidR="006369DC">
        <w:t xml:space="preserve">data can be downloaded from </w:t>
      </w:r>
      <w:r w:rsidR="006F7FD7">
        <w:t>PATENTSCOPE</w:t>
      </w:r>
      <w:r w:rsidR="006369DC">
        <w:t>’s website</w:t>
      </w:r>
      <w:r w:rsidR="006F7FD7">
        <w:t xml:space="preserve"> mentioned above in ‘full’ and ‘last 7 days’ sets.  </w:t>
      </w:r>
      <w:r w:rsidR="002E1B1B">
        <w:t>At</w:t>
      </w:r>
      <w:r w:rsidR="006F7FD7">
        <w:t xml:space="preserve"> the preparation of this document, </w:t>
      </w:r>
      <w:r w:rsidR="0072387B">
        <w:t>according to the full data set,</w:t>
      </w:r>
      <w:r w:rsidR="006F7FD7">
        <w:t xml:space="preserve"> </w:t>
      </w:r>
      <w:r>
        <w:t xml:space="preserve">the data of </w:t>
      </w:r>
      <w:r w:rsidR="006F7FD7">
        <w:t xml:space="preserve">82 Offices </w:t>
      </w:r>
      <w:r>
        <w:t>is available in PATENTSCOPE and</w:t>
      </w:r>
      <w:r w:rsidR="0072387B">
        <w:t xml:space="preserve"> </w:t>
      </w:r>
      <w:r>
        <w:t>on</w:t>
      </w:r>
      <w:r w:rsidR="006369DC">
        <w:t xml:space="preserve">ly </w:t>
      </w:r>
      <w:r w:rsidR="002E1B1B">
        <w:t xml:space="preserve">the </w:t>
      </w:r>
      <w:r w:rsidR="006369DC">
        <w:t xml:space="preserve">43 following Offices </w:t>
      </w:r>
      <w:r w:rsidR="003E080A">
        <w:t xml:space="preserve">have </w:t>
      </w:r>
      <w:r w:rsidR="006369DC">
        <w:t>provide</w:t>
      </w:r>
      <w:r w:rsidR="003E080A">
        <w:t>d</w:t>
      </w:r>
      <w:r>
        <w:t xml:space="preserve"> their 2021 data: </w:t>
      </w:r>
      <w:r w:rsidR="0072387B">
        <w:t>AE, AM, AO, AT, AU, CA, CH, CN, CZ, DE, DJ, DK, EP, ES, FI, GB, GE,</w:t>
      </w:r>
      <w:r>
        <w:t xml:space="preserve"> </w:t>
      </w:r>
      <w:r w:rsidR="0072387B">
        <w:t>HR, HU, IL, IN, JP, KR, KZ, MD, MX</w:t>
      </w:r>
      <w:r>
        <w:t xml:space="preserve">, NI, NO, PE, PH, PL, RO, RS, </w:t>
      </w:r>
      <w:r>
        <w:lastRenderedPageBreak/>
        <w:t xml:space="preserve">RU, SA, SE, SG, SK, TH, TR, UA, US and </w:t>
      </w:r>
      <w:r w:rsidR="0072387B">
        <w:t>ZM</w:t>
      </w:r>
      <w:r>
        <w:t xml:space="preserve">.  The International Bureau encourages Offices to provide their national phase entry data.  </w:t>
      </w:r>
    </w:p>
    <w:p w14:paraId="22D35B27" w14:textId="2D7DC534" w:rsidR="00E9434C" w:rsidRDefault="001702E9" w:rsidP="002E1B1B">
      <w:pPr>
        <w:spacing w:after="220"/>
      </w:pPr>
      <w:r>
        <w:fldChar w:fldCharType="begin"/>
      </w:r>
      <w:r>
        <w:instrText xml:space="preserve"> AUTONUM  </w:instrText>
      </w:r>
      <w:r>
        <w:fldChar w:fldCharType="end"/>
      </w:r>
      <w:r>
        <w:tab/>
      </w:r>
      <w:r w:rsidR="0091388F">
        <w:t xml:space="preserve">As the new requirement for the provision of national phase entry data has entered into force under the PCT and the data is available </w:t>
      </w:r>
      <w:r w:rsidR="002E1B1B">
        <w:t>on</w:t>
      </w:r>
      <w:r w:rsidR="0091388F">
        <w:t xml:space="preserve"> the WIPO public PATENTSCOPE website, t</w:t>
      </w:r>
      <w:r w:rsidR="009F5FD3">
        <w:t xml:space="preserve">he International Bureau </w:t>
      </w:r>
      <w:r>
        <w:t>proposes to discontinue the CWS Task No. 23.</w:t>
      </w:r>
      <w:r w:rsidR="009F5FD3">
        <w:t xml:space="preserve"> </w:t>
      </w:r>
    </w:p>
    <w:p w14:paraId="215CB685" w14:textId="77777777" w:rsidR="006369DC" w:rsidRDefault="006369DC" w:rsidP="006369DC">
      <w:pPr>
        <w:spacing w:after="220"/>
      </w:pPr>
    </w:p>
    <w:p w14:paraId="7CD2CD80" w14:textId="77777777" w:rsidR="00572E82" w:rsidRPr="000852E7" w:rsidRDefault="00572E82" w:rsidP="00572E82">
      <w:pPr>
        <w:pStyle w:val="ONUMFS"/>
        <w:numPr>
          <w:ilvl w:val="0"/>
          <w:numId w:val="0"/>
        </w:numPr>
        <w:ind w:left="5530"/>
        <w:rPr>
          <w:i/>
        </w:rPr>
      </w:pPr>
      <w:r>
        <w:rPr>
          <w:i/>
          <w:szCs w:val="22"/>
        </w:rPr>
        <w:fldChar w:fldCharType="begin"/>
      </w:r>
      <w:r>
        <w:rPr>
          <w:i/>
          <w:szCs w:val="22"/>
        </w:rPr>
        <w:instrText xml:space="preserve"> AUTONUM  </w:instrText>
      </w:r>
      <w:r>
        <w:rPr>
          <w:i/>
          <w:szCs w:val="22"/>
        </w:rPr>
        <w:fldChar w:fldCharType="end"/>
      </w:r>
      <w:r>
        <w:rPr>
          <w:i/>
          <w:szCs w:val="22"/>
        </w:rPr>
        <w:tab/>
      </w:r>
      <w:r w:rsidRPr="000852E7">
        <w:rPr>
          <w:i/>
          <w:szCs w:val="22"/>
        </w:rPr>
        <w:t>Th</w:t>
      </w:r>
      <w:r w:rsidRPr="000852E7">
        <w:rPr>
          <w:i/>
        </w:rPr>
        <w:t>e CWS</w:t>
      </w:r>
      <w:r w:rsidRPr="003A5F87">
        <w:rPr>
          <w:i/>
        </w:rPr>
        <w:t xml:space="preserve"> is invited to: </w:t>
      </w:r>
    </w:p>
    <w:p w14:paraId="3E22A8C0" w14:textId="77777777" w:rsidR="00572E82" w:rsidRDefault="00572E82" w:rsidP="00572E82">
      <w:pPr>
        <w:pStyle w:val="BodyText"/>
        <w:tabs>
          <w:tab w:val="left" w:pos="6160"/>
          <w:tab w:val="left" w:pos="6710"/>
        </w:tabs>
        <w:ind w:left="5530" w:firstLine="562"/>
        <w:rPr>
          <w:i/>
        </w:rPr>
      </w:pPr>
      <w:r>
        <w:rPr>
          <w:i/>
        </w:rPr>
        <w:tab/>
        <w:t>(a)</w:t>
      </w:r>
      <w:r>
        <w:rPr>
          <w:i/>
        </w:rPr>
        <w:tab/>
      </w:r>
      <w:proofErr w:type="gramStart"/>
      <w:r w:rsidRPr="006A730D">
        <w:rPr>
          <w:i/>
        </w:rPr>
        <w:t>note</w:t>
      </w:r>
      <w:proofErr w:type="gramEnd"/>
      <w:r w:rsidRPr="006A730D">
        <w:rPr>
          <w:i/>
        </w:rPr>
        <w:t xml:space="preserve"> the content of </w:t>
      </w:r>
      <w:r>
        <w:rPr>
          <w:i/>
        </w:rPr>
        <w:t xml:space="preserve">this </w:t>
      </w:r>
      <w:r w:rsidRPr="006A730D">
        <w:rPr>
          <w:i/>
        </w:rPr>
        <w:t>document;</w:t>
      </w:r>
      <w:r>
        <w:rPr>
          <w:i/>
        </w:rPr>
        <w:t xml:space="preserve"> and</w:t>
      </w:r>
    </w:p>
    <w:p w14:paraId="52B0B453" w14:textId="77777777" w:rsidR="00572E82" w:rsidRPr="006A730D" w:rsidRDefault="00572E82" w:rsidP="0091388F">
      <w:pPr>
        <w:pStyle w:val="BodyText"/>
        <w:tabs>
          <w:tab w:val="left" w:pos="6160"/>
          <w:tab w:val="left" w:pos="6710"/>
        </w:tabs>
        <w:ind w:left="5530"/>
        <w:rPr>
          <w:i/>
        </w:rPr>
      </w:pPr>
      <w:r>
        <w:rPr>
          <w:i/>
        </w:rPr>
        <w:tab/>
        <w:t>(b)</w:t>
      </w:r>
      <w:r>
        <w:rPr>
          <w:i/>
        </w:rPr>
        <w:tab/>
      </w:r>
      <w:proofErr w:type="gramStart"/>
      <w:r w:rsidR="0091388F" w:rsidRPr="0091388F">
        <w:rPr>
          <w:i/>
        </w:rPr>
        <w:t>consider</w:t>
      </w:r>
      <w:proofErr w:type="gramEnd"/>
      <w:r w:rsidR="0091388F" w:rsidRPr="0091388F">
        <w:rPr>
          <w:i/>
        </w:rPr>
        <w:t xml:space="preserve"> the proposal</w:t>
      </w:r>
      <w:r w:rsidR="0091388F">
        <w:rPr>
          <w:i/>
        </w:rPr>
        <w:t xml:space="preserve"> </w:t>
      </w:r>
      <w:r w:rsidR="0091388F" w:rsidRPr="0091388F">
        <w:rPr>
          <w:i/>
        </w:rPr>
        <w:t>for the discontinuation of Task No.</w:t>
      </w:r>
      <w:r w:rsidR="0091388F">
        <w:rPr>
          <w:i/>
        </w:rPr>
        <w:t xml:space="preserve"> </w:t>
      </w:r>
      <w:r w:rsidR="0091388F" w:rsidRPr="0091388F">
        <w:rPr>
          <w:i/>
        </w:rPr>
        <w:t>23, as indicated in paragraph 4</w:t>
      </w:r>
      <w:bookmarkStart w:id="5" w:name="_GoBack"/>
      <w:bookmarkEnd w:id="5"/>
      <w:r w:rsidR="0091388F" w:rsidRPr="0091388F">
        <w:rPr>
          <w:i/>
        </w:rPr>
        <w:t>,</w:t>
      </w:r>
      <w:r w:rsidR="0091388F">
        <w:rPr>
          <w:i/>
        </w:rPr>
        <w:t xml:space="preserve"> </w:t>
      </w:r>
      <w:r w:rsidR="0091388F" w:rsidRPr="0091388F">
        <w:rPr>
          <w:i/>
        </w:rPr>
        <w:t>above</w:t>
      </w:r>
      <w:r>
        <w:rPr>
          <w:i/>
        </w:rPr>
        <w:t>.</w:t>
      </w:r>
    </w:p>
    <w:p w14:paraId="6002C78A" w14:textId="77777777" w:rsidR="00572E82" w:rsidRDefault="00572E82" w:rsidP="00572E82">
      <w:pPr>
        <w:rPr>
          <w:szCs w:val="22"/>
        </w:rPr>
      </w:pPr>
    </w:p>
    <w:p w14:paraId="65ADEED8" w14:textId="77777777" w:rsidR="00572E82" w:rsidRDefault="00572E82" w:rsidP="00572E82">
      <w:pPr>
        <w:rPr>
          <w:szCs w:val="22"/>
        </w:rPr>
      </w:pPr>
    </w:p>
    <w:p w14:paraId="5CB0BC05" w14:textId="77777777" w:rsidR="00572E82" w:rsidRPr="00084955" w:rsidRDefault="00572E82" w:rsidP="00572E82">
      <w:pPr>
        <w:rPr>
          <w:szCs w:val="22"/>
        </w:rPr>
      </w:pPr>
    </w:p>
    <w:p w14:paraId="0329E6B5" w14:textId="77777777" w:rsidR="00572E82" w:rsidRPr="00084955" w:rsidRDefault="00572E82" w:rsidP="00572E82">
      <w:pPr>
        <w:pStyle w:val="Endofdocument"/>
      </w:pPr>
      <w:r w:rsidRPr="00084955">
        <w:rPr>
          <w:rFonts w:cs="Arial"/>
          <w:sz w:val="22"/>
          <w:szCs w:val="22"/>
        </w:rPr>
        <w:t>[End of document]</w:t>
      </w:r>
    </w:p>
    <w:p w14:paraId="79846DE4" w14:textId="77777777" w:rsidR="00572E82" w:rsidRDefault="00572E82" w:rsidP="00572E82">
      <w:pPr>
        <w:spacing w:after="220"/>
      </w:pPr>
    </w:p>
    <w:sectPr w:rsidR="00572E82" w:rsidSect="00572E8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60DA" w14:textId="77777777" w:rsidR="00E62C00" w:rsidRDefault="00E62C00">
      <w:r>
        <w:separator/>
      </w:r>
    </w:p>
  </w:endnote>
  <w:endnote w:type="continuationSeparator" w:id="0">
    <w:p w14:paraId="7670FADD" w14:textId="77777777" w:rsidR="00E62C00" w:rsidRDefault="00E62C00" w:rsidP="003B38C1">
      <w:r>
        <w:separator/>
      </w:r>
    </w:p>
    <w:p w14:paraId="6754F5B1" w14:textId="77777777" w:rsidR="00E62C00" w:rsidRPr="003B38C1" w:rsidRDefault="00E62C00" w:rsidP="003B38C1">
      <w:pPr>
        <w:spacing w:after="60"/>
        <w:rPr>
          <w:sz w:val="17"/>
        </w:rPr>
      </w:pPr>
      <w:r>
        <w:rPr>
          <w:sz w:val="17"/>
        </w:rPr>
        <w:t>[Endnote continued from previous page]</w:t>
      </w:r>
    </w:p>
  </w:endnote>
  <w:endnote w:type="continuationNotice" w:id="1">
    <w:p w14:paraId="7B76B739" w14:textId="77777777" w:rsidR="00E62C00" w:rsidRPr="003B38C1" w:rsidRDefault="00E62C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F0B98" w14:textId="77777777" w:rsidR="00E62C00" w:rsidRDefault="00E62C00">
      <w:r>
        <w:separator/>
      </w:r>
    </w:p>
  </w:footnote>
  <w:footnote w:type="continuationSeparator" w:id="0">
    <w:p w14:paraId="74E45351" w14:textId="77777777" w:rsidR="00E62C00" w:rsidRDefault="00E62C00" w:rsidP="008B60B2">
      <w:r>
        <w:separator/>
      </w:r>
    </w:p>
    <w:p w14:paraId="765D4382" w14:textId="77777777" w:rsidR="00E62C00" w:rsidRPr="00ED77FB" w:rsidRDefault="00E62C00" w:rsidP="008B60B2">
      <w:pPr>
        <w:spacing w:after="60"/>
        <w:rPr>
          <w:sz w:val="17"/>
          <w:szCs w:val="17"/>
        </w:rPr>
      </w:pPr>
      <w:r w:rsidRPr="00ED77FB">
        <w:rPr>
          <w:sz w:val="17"/>
          <w:szCs w:val="17"/>
        </w:rPr>
        <w:t>[Footnote continued from previous page]</w:t>
      </w:r>
    </w:p>
  </w:footnote>
  <w:footnote w:type="continuationNotice" w:id="1">
    <w:p w14:paraId="0C2AB6C0" w14:textId="77777777" w:rsidR="00E62C00" w:rsidRPr="00ED77FB" w:rsidRDefault="00E62C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286B" w14:textId="77777777" w:rsidR="00D07C78" w:rsidRPr="002326AB" w:rsidRDefault="00572E82" w:rsidP="00477D6B">
    <w:pPr>
      <w:jc w:val="right"/>
      <w:rPr>
        <w:caps/>
      </w:rPr>
    </w:pPr>
    <w:bookmarkStart w:id="6" w:name="Code2"/>
    <w:bookmarkEnd w:id="6"/>
    <w:r>
      <w:rPr>
        <w:caps/>
      </w:rPr>
      <w:t>C</w:t>
    </w:r>
    <w:r w:rsidR="00E9434C">
      <w:rPr>
        <w:caps/>
      </w:rPr>
      <w:t>WS/9/21</w:t>
    </w:r>
  </w:p>
  <w:p w14:paraId="7B827785" w14:textId="3A0C508B"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B307B">
      <w:rPr>
        <w:noProof/>
      </w:rPr>
      <w:t>2</w:t>
    </w:r>
    <w:r>
      <w:fldChar w:fldCharType="end"/>
    </w:r>
  </w:p>
  <w:p w14:paraId="573023D3" w14:textId="77777777" w:rsidR="00D07C78" w:rsidRDefault="00D07C78" w:rsidP="00477D6B">
    <w:pPr>
      <w:jc w:val="right"/>
    </w:pPr>
  </w:p>
  <w:p w14:paraId="6CDB2EE4" w14:textId="77777777" w:rsidR="00D07C78" w:rsidRDefault="00D07C78" w:rsidP="00477D6B">
    <w:pPr>
      <w:jc w:val="right"/>
    </w:pPr>
  </w:p>
  <w:p w14:paraId="2FA2C77B" w14:textId="77777777" w:rsidR="001B3825" w:rsidRDefault="001B38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82"/>
    <w:rsid w:val="00043CAA"/>
    <w:rsid w:val="00056816"/>
    <w:rsid w:val="00075432"/>
    <w:rsid w:val="000968ED"/>
    <w:rsid w:val="000A3D97"/>
    <w:rsid w:val="000B0D1B"/>
    <w:rsid w:val="000F5E56"/>
    <w:rsid w:val="001362EE"/>
    <w:rsid w:val="001647D5"/>
    <w:rsid w:val="001702E9"/>
    <w:rsid w:val="0017273E"/>
    <w:rsid w:val="001832A6"/>
    <w:rsid w:val="001B3825"/>
    <w:rsid w:val="001D4107"/>
    <w:rsid w:val="00203D24"/>
    <w:rsid w:val="0021217E"/>
    <w:rsid w:val="002326AB"/>
    <w:rsid w:val="00243430"/>
    <w:rsid w:val="002634C4"/>
    <w:rsid w:val="002928D3"/>
    <w:rsid w:val="002E1B1B"/>
    <w:rsid w:val="002F1FE6"/>
    <w:rsid w:val="002F4E68"/>
    <w:rsid w:val="00312F7F"/>
    <w:rsid w:val="00361450"/>
    <w:rsid w:val="003673CF"/>
    <w:rsid w:val="003845C1"/>
    <w:rsid w:val="003A6F89"/>
    <w:rsid w:val="003B38C1"/>
    <w:rsid w:val="003C34E9"/>
    <w:rsid w:val="003E080A"/>
    <w:rsid w:val="00423E3E"/>
    <w:rsid w:val="00427AF4"/>
    <w:rsid w:val="004647DA"/>
    <w:rsid w:val="00474062"/>
    <w:rsid w:val="00477D6B"/>
    <w:rsid w:val="004B307B"/>
    <w:rsid w:val="004D2002"/>
    <w:rsid w:val="005019FF"/>
    <w:rsid w:val="0053057A"/>
    <w:rsid w:val="00556076"/>
    <w:rsid w:val="00560A29"/>
    <w:rsid w:val="00572E82"/>
    <w:rsid w:val="005C6649"/>
    <w:rsid w:val="00605827"/>
    <w:rsid w:val="006369DC"/>
    <w:rsid w:val="00646050"/>
    <w:rsid w:val="00646D96"/>
    <w:rsid w:val="006713CA"/>
    <w:rsid w:val="00676C5C"/>
    <w:rsid w:val="006F7FD7"/>
    <w:rsid w:val="00720EFD"/>
    <w:rsid w:val="0072387B"/>
    <w:rsid w:val="0072770B"/>
    <w:rsid w:val="007854AF"/>
    <w:rsid w:val="00793A7C"/>
    <w:rsid w:val="007A398A"/>
    <w:rsid w:val="007D1613"/>
    <w:rsid w:val="007E4C0E"/>
    <w:rsid w:val="00846CF6"/>
    <w:rsid w:val="008A134B"/>
    <w:rsid w:val="008B2CC1"/>
    <w:rsid w:val="008B60B2"/>
    <w:rsid w:val="0090731E"/>
    <w:rsid w:val="0091388F"/>
    <w:rsid w:val="00916EE2"/>
    <w:rsid w:val="00966A22"/>
    <w:rsid w:val="0096722F"/>
    <w:rsid w:val="00980843"/>
    <w:rsid w:val="009E2791"/>
    <w:rsid w:val="009E3F6F"/>
    <w:rsid w:val="009F499F"/>
    <w:rsid w:val="009F5FD3"/>
    <w:rsid w:val="00A27307"/>
    <w:rsid w:val="00A37342"/>
    <w:rsid w:val="00A42DAF"/>
    <w:rsid w:val="00A45BD8"/>
    <w:rsid w:val="00A869B7"/>
    <w:rsid w:val="00A90F0A"/>
    <w:rsid w:val="00AC205C"/>
    <w:rsid w:val="00AF0A6B"/>
    <w:rsid w:val="00B05A69"/>
    <w:rsid w:val="00B355B6"/>
    <w:rsid w:val="00B75281"/>
    <w:rsid w:val="00B92F1F"/>
    <w:rsid w:val="00B9734B"/>
    <w:rsid w:val="00BA30E2"/>
    <w:rsid w:val="00C11BFE"/>
    <w:rsid w:val="00C5068F"/>
    <w:rsid w:val="00C86D74"/>
    <w:rsid w:val="00CD04F1"/>
    <w:rsid w:val="00CF681A"/>
    <w:rsid w:val="00D07C78"/>
    <w:rsid w:val="00D45252"/>
    <w:rsid w:val="00D71B4D"/>
    <w:rsid w:val="00D93D55"/>
    <w:rsid w:val="00D94D6A"/>
    <w:rsid w:val="00DD7B7F"/>
    <w:rsid w:val="00E15015"/>
    <w:rsid w:val="00E335FE"/>
    <w:rsid w:val="00E45755"/>
    <w:rsid w:val="00E55A68"/>
    <w:rsid w:val="00E62C00"/>
    <w:rsid w:val="00E9434C"/>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1FDCF"/>
  <w15:docId w15:val="{48E75780-0243-4602-AA77-C20990A6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572E82"/>
    <w:rPr>
      <w:rFonts w:ascii="Arial" w:eastAsia="SimSun" w:hAnsi="Arial" w:cs="Arial"/>
      <w:bCs/>
      <w:iCs/>
      <w:caps/>
      <w:sz w:val="22"/>
      <w:szCs w:val="28"/>
      <w:lang w:val="en-US" w:eastAsia="zh-CN"/>
    </w:rPr>
  </w:style>
  <w:style w:type="paragraph" w:customStyle="1" w:styleId="Endofdocument">
    <w:name w:val="End of document"/>
    <w:basedOn w:val="Normal"/>
    <w:rsid w:val="00572E82"/>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572E82"/>
    <w:rPr>
      <w:rFonts w:ascii="Arial" w:eastAsia="SimSun" w:hAnsi="Arial" w:cs="Arial"/>
      <w:sz w:val="22"/>
      <w:lang w:val="en-US" w:eastAsia="zh-CN"/>
    </w:rPr>
  </w:style>
  <w:style w:type="character" w:styleId="CommentReference">
    <w:name w:val="annotation reference"/>
    <w:basedOn w:val="DefaultParagraphFont"/>
    <w:semiHidden/>
    <w:unhideWhenUsed/>
    <w:rsid w:val="00A27307"/>
    <w:rPr>
      <w:sz w:val="16"/>
      <w:szCs w:val="16"/>
    </w:rPr>
  </w:style>
  <w:style w:type="paragraph" w:styleId="CommentSubject">
    <w:name w:val="annotation subject"/>
    <w:basedOn w:val="CommentText"/>
    <w:next w:val="CommentText"/>
    <w:link w:val="CommentSubjectChar"/>
    <w:semiHidden/>
    <w:unhideWhenUsed/>
    <w:rsid w:val="00A27307"/>
    <w:rPr>
      <w:b/>
      <w:bCs/>
      <w:sz w:val="20"/>
    </w:rPr>
  </w:style>
  <w:style w:type="character" w:customStyle="1" w:styleId="CommentTextChar">
    <w:name w:val="Comment Text Char"/>
    <w:basedOn w:val="DefaultParagraphFont"/>
    <w:link w:val="CommentText"/>
    <w:semiHidden/>
    <w:rsid w:val="00A2730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27307"/>
    <w:rPr>
      <w:rFonts w:ascii="Arial" w:eastAsia="SimSun" w:hAnsi="Arial" w:cs="Arial"/>
      <w:b/>
      <w:bCs/>
      <w:sz w:val="18"/>
      <w:lang w:val="en-US" w:eastAsia="zh-CN"/>
    </w:rPr>
  </w:style>
  <w:style w:type="paragraph" w:styleId="BalloonText">
    <w:name w:val="Balloon Text"/>
    <w:basedOn w:val="Normal"/>
    <w:link w:val="BalloonTextChar"/>
    <w:semiHidden/>
    <w:unhideWhenUsed/>
    <w:rsid w:val="00A27307"/>
    <w:rPr>
      <w:rFonts w:ascii="Segoe UI" w:hAnsi="Segoe UI" w:cs="Segoe UI"/>
      <w:sz w:val="18"/>
      <w:szCs w:val="18"/>
    </w:rPr>
  </w:style>
  <w:style w:type="character" w:customStyle="1" w:styleId="BalloonTextChar">
    <w:name w:val="Balloon Text Char"/>
    <w:basedOn w:val="DefaultParagraphFont"/>
    <w:link w:val="BalloonText"/>
    <w:semiHidden/>
    <w:rsid w:val="00A27307"/>
    <w:rPr>
      <w:rFonts w:ascii="Segoe UI" w:eastAsia="SimSun" w:hAnsi="Segoe UI" w:cs="Segoe UI"/>
      <w:sz w:val="18"/>
      <w:szCs w:val="18"/>
      <w:lang w:val="en-US" w:eastAsia="zh-CN"/>
    </w:rPr>
  </w:style>
  <w:style w:type="character" w:styleId="Hyperlink">
    <w:name w:val="Hyperlink"/>
    <w:basedOn w:val="DefaultParagraphFont"/>
    <w:unhideWhenUsed/>
    <w:rsid w:val="006F7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tentscope.wipo.int/search/en/structuredSearch.j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8FE71-8F13-4482-ABB3-A3DAD7F1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CWS/9/21</vt:lpstr>
    </vt:vector>
  </TitlesOfParts>
  <Company>WIPO</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CWS/9/21</dc:title>
  <dc:subject>Information on the entry into national (regional) phase of published PCT international applications</dc:subject>
  <dc:creator>WIPO</dc:creator>
  <cp:keywords>FOR OFFICIAL USE ONLY</cp:keywords>
  <cp:lastModifiedBy>CHAVAS Louison</cp:lastModifiedBy>
  <cp:revision>2</cp:revision>
  <cp:lastPrinted>2011-02-15T11:56:00Z</cp:lastPrinted>
  <dcterms:created xsi:type="dcterms:W3CDTF">2021-10-11T14:15:00Z</dcterms:created>
  <dcterms:modified xsi:type="dcterms:W3CDTF">2021-10-11T14:15:00Z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