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D32DF" w14:textId="28721CA8" w:rsidR="008B2CC1" w:rsidRPr="002A5B3E" w:rsidRDefault="002A5B3E" w:rsidP="00846CF6">
      <w:pPr>
        <w:pBdr>
          <w:bottom w:val="single" w:sz="4" w:space="11" w:color="auto"/>
        </w:pBdr>
        <w:spacing w:after="120"/>
        <w:jc w:val="right"/>
        <w:rPr>
          <w:b/>
          <w:sz w:val="32"/>
          <w:szCs w:val="40"/>
        </w:rPr>
      </w:pPr>
      <w:r w:rsidRPr="002A5B3E">
        <w:rPr>
          <w:noProof/>
          <w:lang w:val="es-DO" w:eastAsia="es-DO" w:bidi="th-TH"/>
        </w:rPr>
        <w:drawing>
          <wp:inline distT="0" distB="0" distL="0" distR="0" wp14:anchorId="2DCDC91B" wp14:editId="4AA8ED45">
            <wp:extent cx="3014345" cy="1331595"/>
            <wp:effectExtent l="0" t="0" r="0" b="1905"/>
            <wp:docPr id="2" name="Picture 2" descr="Las líneas curvas ascendentes del logotipo de la Organización Mundial de la Propiedad Intelectual evocan el progreso humano impulsado por la innovación y la creatividad." title="WIPO Logo"/>
            <wp:cNvGraphicFramePr/>
            <a:graphic xmlns:a="http://schemas.openxmlformats.org/drawingml/2006/main">
              <a:graphicData uri="http://schemas.openxmlformats.org/drawingml/2006/picture">
                <pic:pic xmlns:pic="http://schemas.openxmlformats.org/drawingml/2006/picture">
                  <pic:nvPicPr>
                    <pic:cNvPr id="2" name="Picture 2" descr="Las líneas curvas ascendentes del logotipo de la Organización Mundial de la Propiedad Intelectual evocan el progreso humano impulsado por la innovación y la creatividad." title="WIPO Logo"/>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345" cy="1331595"/>
                    </a:xfrm>
                    <a:prstGeom prst="rect">
                      <a:avLst/>
                    </a:prstGeom>
                    <a:ln>
                      <a:noFill/>
                    </a:ln>
                    <a:extLst>
                      <a:ext uri="{53640926-AAD7-44D8-BBD7-CCE9431645EC}">
                        <a14:shadowObscured xmlns:a14="http://schemas.microsoft.com/office/drawing/2010/main"/>
                      </a:ext>
                    </a:extLst>
                  </pic:spPr>
                </pic:pic>
              </a:graphicData>
            </a:graphic>
          </wp:inline>
        </w:drawing>
      </w:r>
    </w:p>
    <w:p w14:paraId="0FB55D19" w14:textId="77777777" w:rsidR="008B2CC1" w:rsidRPr="002A5B3E" w:rsidRDefault="00960A12" w:rsidP="00EB2F76">
      <w:pPr>
        <w:jc w:val="right"/>
        <w:rPr>
          <w:rFonts w:ascii="Arial Black" w:hAnsi="Arial Black"/>
          <w:caps/>
          <w:sz w:val="15"/>
        </w:rPr>
      </w:pPr>
      <w:r w:rsidRPr="002A5B3E">
        <w:rPr>
          <w:rFonts w:ascii="Arial Black" w:hAnsi="Arial Black"/>
          <w:caps/>
          <w:sz w:val="15"/>
        </w:rPr>
        <w:t>CWS/10/16</w:t>
      </w:r>
    </w:p>
    <w:p w14:paraId="3BC13185" w14:textId="77777777" w:rsidR="008B2CC1" w:rsidRPr="002A5B3E" w:rsidRDefault="00EB2F76" w:rsidP="00EB2F76">
      <w:pPr>
        <w:jc w:val="right"/>
        <w:rPr>
          <w:rFonts w:ascii="Arial Black" w:hAnsi="Arial Black"/>
          <w:caps/>
          <w:sz w:val="15"/>
          <w:szCs w:val="15"/>
        </w:rPr>
      </w:pPr>
      <w:r w:rsidRPr="002A5B3E">
        <w:rPr>
          <w:rFonts w:ascii="Arial Black" w:hAnsi="Arial Black"/>
          <w:caps/>
          <w:sz w:val="15"/>
        </w:rPr>
        <w:t xml:space="preserve">ORIGINAL: </w:t>
      </w:r>
      <w:bookmarkStart w:id="0" w:name="Original"/>
      <w:r w:rsidRPr="002A5B3E">
        <w:rPr>
          <w:rFonts w:ascii="Arial Black" w:hAnsi="Arial Black"/>
          <w:caps/>
          <w:sz w:val="15"/>
        </w:rPr>
        <w:t>INGLÉS</w:t>
      </w:r>
    </w:p>
    <w:bookmarkEnd w:id="0"/>
    <w:p w14:paraId="7D957FF3" w14:textId="5A6EAC52" w:rsidR="008B2CC1" w:rsidRPr="002A5B3E" w:rsidRDefault="00EB2F76" w:rsidP="000A3D97">
      <w:pPr>
        <w:spacing w:after="1200"/>
        <w:jc w:val="right"/>
        <w:rPr>
          <w:rFonts w:ascii="Arial Black" w:hAnsi="Arial Black"/>
          <w:caps/>
          <w:sz w:val="15"/>
          <w:szCs w:val="15"/>
        </w:rPr>
      </w:pPr>
      <w:r w:rsidRPr="002A5B3E">
        <w:rPr>
          <w:rFonts w:ascii="Arial Black" w:hAnsi="Arial Black"/>
          <w:caps/>
          <w:sz w:val="15"/>
        </w:rPr>
        <w:t xml:space="preserve">FECHA: </w:t>
      </w:r>
      <w:bookmarkStart w:id="1" w:name="Date"/>
      <w:r w:rsidRPr="002A5B3E">
        <w:rPr>
          <w:rFonts w:ascii="Arial Black" w:hAnsi="Arial Black"/>
          <w:caps/>
          <w:sz w:val="15"/>
        </w:rPr>
        <w:t>13 DE SEPTIEMBRE DE 2022</w:t>
      </w:r>
    </w:p>
    <w:bookmarkEnd w:id="1"/>
    <w:p w14:paraId="6B5A75CD" w14:textId="679DB1A9" w:rsidR="008B2CC1" w:rsidRPr="002A5B3E" w:rsidRDefault="002A5B3E" w:rsidP="00720EFD">
      <w:pPr>
        <w:pStyle w:val="Heading1"/>
        <w:spacing w:before="0" w:after="480"/>
        <w:rPr>
          <w:sz w:val="36"/>
          <w:szCs w:val="28"/>
        </w:rPr>
      </w:pPr>
      <w:r w:rsidRPr="002A5B3E">
        <w:rPr>
          <w:caps w:val="0"/>
          <w:sz w:val="28"/>
        </w:rPr>
        <w:t xml:space="preserve">Comité de Normas Técnicas de la OMPI </w:t>
      </w:r>
      <w:r w:rsidR="00E45755" w:rsidRPr="002A5B3E">
        <w:rPr>
          <w:sz w:val="28"/>
        </w:rPr>
        <w:t>(CWS)</w:t>
      </w:r>
    </w:p>
    <w:p w14:paraId="0866224D" w14:textId="77777777" w:rsidR="00E45755" w:rsidRPr="002A5B3E" w:rsidRDefault="00960A12" w:rsidP="00E45755">
      <w:pPr>
        <w:outlineLvl w:val="1"/>
        <w:rPr>
          <w:b/>
          <w:sz w:val="24"/>
          <w:szCs w:val="24"/>
        </w:rPr>
      </w:pPr>
      <w:r w:rsidRPr="002A5B3E">
        <w:rPr>
          <w:b/>
          <w:sz w:val="24"/>
        </w:rPr>
        <w:t>Décima sesión</w:t>
      </w:r>
    </w:p>
    <w:p w14:paraId="513E9BF2" w14:textId="7C8512F3" w:rsidR="008B2CC1" w:rsidRPr="002A5B3E" w:rsidRDefault="00846CF6" w:rsidP="00F9165B">
      <w:pPr>
        <w:spacing w:after="720"/>
        <w:outlineLvl w:val="1"/>
        <w:rPr>
          <w:b/>
          <w:sz w:val="24"/>
          <w:szCs w:val="24"/>
        </w:rPr>
      </w:pPr>
      <w:r w:rsidRPr="002A5B3E">
        <w:rPr>
          <w:b/>
          <w:sz w:val="24"/>
        </w:rPr>
        <w:t xml:space="preserve">Ginebra, 21 </w:t>
      </w:r>
      <w:bookmarkStart w:id="2" w:name="_GoBack"/>
      <w:bookmarkEnd w:id="2"/>
      <w:r w:rsidRPr="002A5B3E">
        <w:rPr>
          <w:b/>
          <w:sz w:val="24"/>
        </w:rPr>
        <w:t>a 25 de noviembre de 2022</w:t>
      </w:r>
    </w:p>
    <w:p w14:paraId="69F160B0" w14:textId="77777777" w:rsidR="008B2CC1" w:rsidRPr="002A5B3E" w:rsidRDefault="00B240C7" w:rsidP="00DD7B7F">
      <w:pPr>
        <w:spacing w:after="360"/>
        <w:outlineLvl w:val="0"/>
        <w:rPr>
          <w:caps/>
          <w:sz w:val="24"/>
        </w:rPr>
      </w:pPr>
      <w:bookmarkStart w:id="3" w:name="TitleOfDoc"/>
      <w:r w:rsidRPr="002A5B3E">
        <w:rPr>
          <w:caps/>
          <w:sz w:val="24"/>
        </w:rPr>
        <w:t>Informe del Equipo Técnico de la Parte 7</w:t>
      </w:r>
    </w:p>
    <w:p w14:paraId="6C172E9B" w14:textId="77777777" w:rsidR="002928D3" w:rsidRPr="002A5B3E" w:rsidRDefault="00B240C7" w:rsidP="001D4107">
      <w:pPr>
        <w:spacing w:after="1040"/>
        <w:rPr>
          <w:i/>
        </w:rPr>
      </w:pPr>
      <w:bookmarkStart w:id="4" w:name="Prepared"/>
      <w:bookmarkEnd w:id="3"/>
      <w:bookmarkEnd w:id="4"/>
      <w:r w:rsidRPr="002A5B3E">
        <w:rPr>
          <w:i/>
        </w:rPr>
        <w:t>preparado por el responsable del Equipo Técnico de la Parte 7</w:t>
      </w:r>
    </w:p>
    <w:p w14:paraId="5063D503" w14:textId="77777777" w:rsidR="00971447" w:rsidRPr="002A5B3E" w:rsidRDefault="00971447" w:rsidP="00577C36">
      <w:pPr>
        <w:pStyle w:val="Heading2"/>
        <w:spacing w:before="0"/>
      </w:pPr>
      <w:r w:rsidRPr="002A5B3E">
        <w:rPr>
          <w:caps w:val="0"/>
        </w:rPr>
        <w:t>INTRODUCCIÓN</w:t>
      </w:r>
    </w:p>
    <w:p w14:paraId="20EFB2BA" w14:textId="0F85E87C" w:rsidR="00971447" w:rsidRPr="002A5B3E" w:rsidRDefault="00971447" w:rsidP="00262714">
      <w:pPr>
        <w:pStyle w:val="ONUMFS"/>
        <w:spacing w:after="480"/>
      </w:pPr>
      <w:r w:rsidRPr="002A5B3E">
        <w:t>En su décima sesión, celebrada en 2021, el Comité de Normas Técnicas de la OMPI (CWS) aprobó un plan de trabajo revisado para actualizar la Parte 7 del Manual de la OMPI sobre las fechas en 2022.</w:t>
      </w:r>
      <w:r w:rsidR="002A5B3E">
        <w:t xml:space="preserve"> </w:t>
      </w:r>
      <w:r w:rsidRPr="002A5B3E">
        <w:t>El CWS aprobó un proceso simplificado para actualizar la Parte 7 cuyos resultados se recopilarán y publicarán sin presentar el cuestionario ni los resultados al CWS para su aprobación.</w:t>
      </w:r>
      <w:r w:rsidR="002A5B3E">
        <w:t xml:space="preserve"> </w:t>
      </w:r>
      <w:r w:rsidRPr="002A5B3E">
        <w:t>El CWS pidió al Equipo Técnico que programe una actualización de la Parte 7.9, relativa a las prácticas en materia de citas (véanse los párrafos 110 a 114 del documento CWS/9/25).</w:t>
      </w:r>
    </w:p>
    <w:p w14:paraId="26A84CDC" w14:textId="77777777" w:rsidR="00971447" w:rsidRPr="002A5B3E" w:rsidRDefault="00971447" w:rsidP="00577C36">
      <w:pPr>
        <w:pStyle w:val="Heading2"/>
        <w:spacing w:before="0"/>
      </w:pPr>
      <w:r w:rsidRPr="002A5B3E">
        <w:rPr>
          <w:caps w:val="0"/>
        </w:rPr>
        <w:t>INFORME DE SITUACIÓN</w:t>
      </w:r>
    </w:p>
    <w:p w14:paraId="21994BBF" w14:textId="3BE94F40" w:rsidR="0001008D" w:rsidRPr="002A5B3E" w:rsidRDefault="00971447" w:rsidP="00262714">
      <w:pPr>
        <w:pStyle w:val="ONUMFS"/>
        <w:rPr>
          <w:szCs w:val="22"/>
        </w:rPr>
      </w:pPr>
      <w:r w:rsidRPr="002A5B3E">
        <w:t>En agosto de 2022, la Secretaría emitió la circular C.CWS 162, en la que se invitaba a las Oficinas de Propiedad Intelectual (OPI) a responder a la encuesta sobre la representación de las fechas.</w:t>
      </w:r>
      <w:r w:rsidR="002A5B3E">
        <w:t xml:space="preserve"> </w:t>
      </w:r>
      <w:r w:rsidRPr="002A5B3E">
        <w:t>La encuesta concluye en septiembre de 2022.</w:t>
      </w:r>
      <w:r w:rsidR="002A5B3E">
        <w:t xml:space="preserve"> </w:t>
      </w:r>
      <w:r w:rsidRPr="002A5B3E">
        <w:t>De acuerdo con lo convenido en la novena sesión, la Parte 7.1 del Manual de la OMPI se actualizará con los resultados de la encuesta cuando estén disponibles.</w:t>
      </w:r>
      <w:r w:rsidR="002A5B3E">
        <w:t xml:space="preserve"> </w:t>
      </w:r>
      <w:r w:rsidRPr="002A5B3E">
        <w:t>Los resultados se publicarán a finales de 2022, teniendo en cuenta el tiempo necesario para prepararlos y traducirlos.</w:t>
      </w:r>
      <w:r w:rsidR="002A5B3E">
        <w:t xml:space="preserve"> </w:t>
      </w:r>
      <w:r w:rsidRPr="002A5B3E">
        <w:t>La Secretaría proporcionará información sobre el análisis de las respuestas recibidas en el documento CWS/10/18.</w:t>
      </w:r>
    </w:p>
    <w:p w14:paraId="7CA6E728" w14:textId="77777777" w:rsidR="00262714" w:rsidRPr="00262714" w:rsidRDefault="0001008D" w:rsidP="00262714">
      <w:pPr>
        <w:pStyle w:val="ONUMFS"/>
        <w:rPr>
          <w:szCs w:val="22"/>
        </w:rPr>
      </w:pPr>
      <w:r w:rsidRPr="002A5B3E">
        <w:t>El Equipo Técnico estudió la revisión del plan de trabajo para programar una actualización de las prácticas en materia de citas que figuran e</w:t>
      </w:r>
      <w:r w:rsidR="002A5B3E">
        <w:t>n la Parte 7.9 del Manual de la </w:t>
      </w:r>
      <w:r w:rsidRPr="002A5B3E">
        <w:t>OMPI.</w:t>
      </w:r>
      <w:r w:rsidR="002A5B3E">
        <w:t xml:space="preserve"> </w:t>
      </w:r>
      <w:r w:rsidRPr="002A5B3E">
        <w:t>Habida cuenta de que el CWS solicitó la actualización de las prácticas en materia de citas el año pasado, esta actualización se programará en breve.</w:t>
      </w:r>
    </w:p>
    <w:p w14:paraId="1FF1E79F" w14:textId="0C21CB07" w:rsidR="00955266" w:rsidRPr="002A5B3E" w:rsidRDefault="00475A47" w:rsidP="00262714">
      <w:pPr>
        <w:pStyle w:val="ONUMFS"/>
        <w:spacing w:after="480"/>
        <w:rPr>
          <w:szCs w:val="22"/>
        </w:rPr>
      </w:pPr>
      <w:r w:rsidRPr="002A5B3E">
        <w:t>El Equipo Técnico examinó varias opciones, entre ellas, actualizar la Parte 7.9 en 2023 y aplazar un año todas las actualizaciones de encuestas pendientes en el plan de trabajo.</w:t>
      </w:r>
      <w:r w:rsidR="002A5B3E">
        <w:t xml:space="preserve"> </w:t>
      </w:r>
      <w:r w:rsidRPr="002A5B3E">
        <w:t xml:space="preserve">Según </w:t>
      </w:r>
      <w:r w:rsidRPr="002A5B3E">
        <w:lastRenderedPageBreak/>
        <w:t>la recomendación del Equipo Técnico, la mejor opción es actualizar en 2023 tanto la Parte 7.9, sobre las prácticas en materia de citas, como la Parte 7.6, sobre los datos bibliográficos contenidos en los boletines de patentes.</w:t>
      </w:r>
      <w:r w:rsidR="002A5B3E">
        <w:t xml:space="preserve"> </w:t>
      </w:r>
      <w:r w:rsidRPr="002A5B3E">
        <w:t>Normalmente solo se programa una actualización de la Parte 7 por año civil para evitar que las OPI se sobrecarguen con demasiadas encuestas, dado que los demás equipos técnicos también realizan encuestas a las OPI.</w:t>
      </w:r>
      <w:r w:rsidR="002A5B3E">
        <w:t xml:space="preserve"> </w:t>
      </w:r>
      <w:r w:rsidRPr="002A5B3E">
        <w:t>Sin embargo, ningún otro equipo técnico propone encuestas para 2023 en la décima sesión del CWS.</w:t>
      </w:r>
      <w:r w:rsidR="002A5B3E">
        <w:t xml:space="preserve"> </w:t>
      </w:r>
      <w:r w:rsidRPr="002A5B3E">
        <w:t>De aprobarse el calendario propuesto para la Parte 7, en 2023 solo se realizarían dos encuestas del CWS, a saber, la relativa a las prácticas en materia de citas (Parte 7.9) y la relativa a los datos bibliográficos contenidos en los boletines de patentes (7.6).</w:t>
      </w:r>
      <w:r w:rsidR="002A5B3E">
        <w:t xml:space="preserve"> </w:t>
      </w:r>
      <w:r w:rsidRPr="002A5B3E">
        <w:t>Esto permitiría mantener el calendario actual en el plan de trabajo relativo a la Parte 7 y, al mismo tiempo, actualizar la Parte 7.9 de manera oportuna.</w:t>
      </w:r>
    </w:p>
    <w:p w14:paraId="1E4F7C5B" w14:textId="12ECD1DE" w:rsidR="000168DE" w:rsidRPr="002A5B3E" w:rsidRDefault="000168DE" w:rsidP="000168DE">
      <w:pPr>
        <w:pStyle w:val="Heading2"/>
        <w:rPr>
          <w:szCs w:val="22"/>
          <w:shd w:val="clear" w:color="auto" w:fill="FFFFFF"/>
        </w:rPr>
      </w:pPr>
      <w:r w:rsidRPr="002A5B3E">
        <w:t>PLAN DE TRABAJO</w:t>
      </w:r>
    </w:p>
    <w:p w14:paraId="6A626E5F" w14:textId="678C7C9A" w:rsidR="00971447" w:rsidRPr="002A5B3E" w:rsidRDefault="003B1BAC" w:rsidP="00262714">
      <w:pPr>
        <w:pStyle w:val="ONUMFS"/>
      </w:pPr>
      <w:r w:rsidRPr="002A5B3E">
        <w:t>El plan de trabajo propuesto, en el que se incorporan las recomendaciones mencionadas, es el siguiente:</w:t>
      </w:r>
    </w:p>
    <w:tbl>
      <w:tblPr>
        <w:tblStyle w:val="TableGrid"/>
        <w:tblW w:w="8995" w:type="dxa"/>
        <w:tblLayout w:type="fixed"/>
        <w:tblCellMar>
          <w:top w:w="57" w:type="dxa"/>
          <w:bottom w:w="57" w:type="dxa"/>
        </w:tblCellMar>
        <w:tblLook w:val="04A0" w:firstRow="1" w:lastRow="0" w:firstColumn="1" w:lastColumn="0" w:noHBand="0" w:noVBand="1"/>
      </w:tblPr>
      <w:tblGrid>
        <w:gridCol w:w="1555"/>
        <w:gridCol w:w="3231"/>
        <w:gridCol w:w="1588"/>
        <w:gridCol w:w="2621"/>
      </w:tblGrid>
      <w:tr w:rsidR="000168DE" w:rsidRPr="002A5B3E" w14:paraId="537C6FE6" w14:textId="77777777" w:rsidTr="002A5B3E">
        <w:trPr>
          <w:trHeight w:val="721"/>
        </w:trPr>
        <w:tc>
          <w:tcPr>
            <w:tcW w:w="1555" w:type="dxa"/>
            <w:shd w:val="clear" w:color="auto" w:fill="D9D9D9" w:themeFill="background1" w:themeFillShade="D9"/>
            <w:vAlign w:val="center"/>
          </w:tcPr>
          <w:p w14:paraId="5D311F02" w14:textId="77777777" w:rsidR="000168DE" w:rsidRPr="002A5B3E" w:rsidRDefault="000168DE" w:rsidP="0083276C">
            <w:pPr>
              <w:spacing w:after="60"/>
              <w:jc w:val="center"/>
              <w:rPr>
                <w:b/>
              </w:rPr>
            </w:pPr>
            <w:r w:rsidRPr="002A5B3E">
              <w:rPr>
                <w:b/>
              </w:rPr>
              <w:t>Sección</w:t>
            </w:r>
          </w:p>
        </w:tc>
        <w:tc>
          <w:tcPr>
            <w:tcW w:w="3231" w:type="dxa"/>
            <w:shd w:val="clear" w:color="auto" w:fill="D9D9D9" w:themeFill="background1" w:themeFillShade="D9"/>
            <w:vAlign w:val="center"/>
          </w:tcPr>
          <w:p w14:paraId="407F6A2A" w14:textId="77777777" w:rsidR="000168DE" w:rsidRPr="002A5B3E" w:rsidRDefault="000168DE" w:rsidP="0083276C">
            <w:pPr>
              <w:spacing w:after="60"/>
              <w:jc w:val="center"/>
              <w:rPr>
                <w:b/>
              </w:rPr>
            </w:pPr>
            <w:r w:rsidRPr="002A5B3E">
              <w:rPr>
                <w:b/>
              </w:rPr>
              <w:t>Tema</w:t>
            </w:r>
          </w:p>
        </w:tc>
        <w:tc>
          <w:tcPr>
            <w:tcW w:w="1588" w:type="dxa"/>
            <w:shd w:val="clear" w:color="auto" w:fill="D9D9D9" w:themeFill="background1" w:themeFillShade="D9"/>
            <w:vAlign w:val="center"/>
          </w:tcPr>
          <w:p w14:paraId="7318B04F" w14:textId="77777777" w:rsidR="000168DE" w:rsidRPr="002A5B3E" w:rsidRDefault="000168DE" w:rsidP="0083276C">
            <w:pPr>
              <w:spacing w:after="60"/>
              <w:jc w:val="center"/>
              <w:rPr>
                <w:b/>
              </w:rPr>
            </w:pPr>
            <w:r w:rsidRPr="002A5B3E">
              <w:rPr>
                <w:b/>
              </w:rPr>
              <w:t>Última</w:t>
            </w:r>
          </w:p>
          <w:p w14:paraId="1530CBDA" w14:textId="77777777" w:rsidR="000168DE" w:rsidRPr="002A5B3E" w:rsidRDefault="00807D43" w:rsidP="0083276C">
            <w:pPr>
              <w:spacing w:after="60"/>
              <w:jc w:val="center"/>
              <w:rPr>
                <w:b/>
              </w:rPr>
            </w:pPr>
            <w:r w:rsidRPr="002A5B3E">
              <w:rPr>
                <w:b/>
              </w:rPr>
              <w:t>Publicación</w:t>
            </w:r>
          </w:p>
        </w:tc>
        <w:tc>
          <w:tcPr>
            <w:tcW w:w="2621" w:type="dxa"/>
            <w:shd w:val="clear" w:color="auto" w:fill="D9D9D9" w:themeFill="background1" w:themeFillShade="D9"/>
            <w:vAlign w:val="center"/>
          </w:tcPr>
          <w:p w14:paraId="0C091522" w14:textId="77777777" w:rsidR="000168DE" w:rsidRPr="002A5B3E" w:rsidRDefault="000168DE" w:rsidP="0083276C">
            <w:pPr>
              <w:spacing w:after="60"/>
              <w:jc w:val="center"/>
              <w:rPr>
                <w:b/>
              </w:rPr>
            </w:pPr>
            <w:r w:rsidRPr="002A5B3E">
              <w:rPr>
                <w:b/>
              </w:rPr>
              <w:t>Situación</w:t>
            </w:r>
          </w:p>
        </w:tc>
      </w:tr>
      <w:tr w:rsidR="000168DE" w:rsidRPr="002A5B3E" w14:paraId="6BF11C6F" w14:textId="77777777" w:rsidTr="002A5B3E">
        <w:tc>
          <w:tcPr>
            <w:tcW w:w="1555" w:type="dxa"/>
            <w:tcBorders>
              <w:top w:val="single" w:sz="4" w:space="0" w:color="auto"/>
              <w:bottom w:val="single" w:sz="4" w:space="0" w:color="auto"/>
            </w:tcBorders>
            <w:shd w:val="clear" w:color="auto" w:fill="auto"/>
          </w:tcPr>
          <w:p w14:paraId="67DDAD62" w14:textId="77777777" w:rsidR="000168DE" w:rsidRPr="002A5B3E" w:rsidRDefault="000168DE" w:rsidP="000168DE">
            <w:pPr>
              <w:spacing w:after="60"/>
            </w:pPr>
            <w:r w:rsidRPr="002A5B3E">
              <w:t>Parte 7.9</w:t>
            </w:r>
          </w:p>
        </w:tc>
        <w:tc>
          <w:tcPr>
            <w:tcW w:w="3231" w:type="dxa"/>
          </w:tcPr>
          <w:p w14:paraId="3E5178D8" w14:textId="77777777" w:rsidR="000168DE" w:rsidRPr="002A5B3E" w:rsidRDefault="000168DE" w:rsidP="000168DE">
            <w:pPr>
              <w:spacing w:after="60"/>
            </w:pPr>
            <w:r w:rsidRPr="002A5B3E">
              <w:t>Prácticas en materia de citas</w:t>
            </w:r>
          </w:p>
        </w:tc>
        <w:tc>
          <w:tcPr>
            <w:tcW w:w="1588" w:type="dxa"/>
            <w:shd w:val="clear" w:color="auto" w:fill="auto"/>
          </w:tcPr>
          <w:p w14:paraId="5695D40E" w14:textId="77777777" w:rsidR="000168DE" w:rsidRPr="002A5B3E" w:rsidRDefault="000168DE" w:rsidP="004E0228">
            <w:pPr>
              <w:spacing w:after="60"/>
              <w:jc w:val="center"/>
            </w:pPr>
            <w:r w:rsidRPr="002A5B3E">
              <w:t>2008</w:t>
            </w:r>
          </w:p>
        </w:tc>
        <w:tc>
          <w:tcPr>
            <w:tcW w:w="2621" w:type="dxa"/>
          </w:tcPr>
          <w:p w14:paraId="4CF4F1E8" w14:textId="77777777" w:rsidR="000168DE" w:rsidRPr="002A5B3E" w:rsidRDefault="000168DE" w:rsidP="004E0228">
            <w:pPr>
              <w:spacing w:after="60"/>
              <w:jc w:val="center"/>
            </w:pPr>
            <w:r w:rsidRPr="002A5B3E">
              <w:t>Actualización en 2023</w:t>
            </w:r>
          </w:p>
        </w:tc>
      </w:tr>
      <w:tr w:rsidR="000168DE" w:rsidRPr="002A5B3E" w14:paraId="2DB0CB31" w14:textId="77777777" w:rsidTr="002A5B3E">
        <w:tc>
          <w:tcPr>
            <w:tcW w:w="1555" w:type="dxa"/>
            <w:tcBorders>
              <w:top w:val="single" w:sz="4" w:space="0" w:color="auto"/>
              <w:bottom w:val="single" w:sz="4" w:space="0" w:color="auto"/>
            </w:tcBorders>
            <w:shd w:val="clear" w:color="auto" w:fill="auto"/>
          </w:tcPr>
          <w:p w14:paraId="1BDCAF49" w14:textId="77777777" w:rsidR="000168DE" w:rsidRPr="002A5B3E" w:rsidRDefault="000168DE" w:rsidP="004E0228">
            <w:pPr>
              <w:spacing w:after="60"/>
            </w:pPr>
            <w:r w:rsidRPr="002A5B3E">
              <w:t>Parte 7.6</w:t>
            </w:r>
          </w:p>
        </w:tc>
        <w:tc>
          <w:tcPr>
            <w:tcW w:w="3231" w:type="dxa"/>
          </w:tcPr>
          <w:p w14:paraId="7C3D38CA" w14:textId="77777777" w:rsidR="000168DE" w:rsidRPr="002A5B3E" w:rsidRDefault="000168DE" w:rsidP="004E0228">
            <w:pPr>
              <w:spacing w:after="60"/>
            </w:pPr>
            <w:r w:rsidRPr="002A5B3E">
              <w:t>Datos bibliográficos contenidos en los boletines de patentes</w:t>
            </w:r>
          </w:p>
        </w:tc>
        <w:tc>
          <w:tcPr>
            <w:tcW w:w="1588" w:type="dxa"/>
            <w:shd w:val="clear" w:color="auto" w:fill="auto"/>
          </w:tcPr>
          <w:p w14:paraId="53B8A334" w14:textId="77777777" w:rsidR="000168DE" w:rsidRPr="002A5B3E" w:rsidRDefault="000168DE" w:rsidP="004E0228">
            <w:pPr>
              <w:spacing w:after="60"/>
              <w:jc w:val="center"/>
            </w:pPr>
            <w:r w:rsidRPr="002A5B3E">
              <w:t>1990</w:t>
            </w:r>
          </w:p>
        </w:tc>
        <w:tc>
          <w:tcPr>
            <w:tcW w:w="2621" w:type="dxa"/>
          </w:tcPr>
          <w:p w14:paraId="6D59EB9D" w14:textId="77777777" w:rsidR="000168DE" w:rsidRPr="002A5B3E" w:rsidRDefault="000168DE" w:rsidP="004E0228">
            <w:pPr>
              <w:spacing w:after="60"/>
              <w:jc w:val="center"/>
            </w:pPr>
            <w:r w:rsidRPr="002A5B3E">
              <w:t>Actualización en 2023</w:t>
            </w:r>
          </w:p>
        </w:tc>
      </w:tr>
      <w:tr w:rsidR="000168DE" w:rsidRPr="002A5B3E" w14:paraId="1DFE42AA" w14:textId="77777777" w:rsidTr="002A5B3E">
        <w:tc>
          <w:tcPr>
            <w:tcW w:w="1555" w:type="dxa"/>
            <w:shd w:val="clear" w:color="auto" w:fill="auto"/>
          </w:tcPr>
          <w:p w14:paraId="726FD2AA" w14:textId="77777777" w:rsidR="000168DE" w:rsidRPr="002A5B3E" w:rsidRDefault="000168DE" w:rsidP="004E0228">
            <w:pPr>
              <w:spacing w:after="60"/>
            </w:pPr>
            <w:r w:rsidRPr="002A5B3E">
              <w:t>Parte 7.2.6 y</w:t>
            </w:r>
          </w:p>
          <w:p w14:paraId="46F1C8FB" w14:textId="77777777" w:rsidR="00807D43" w:rsidRPr="002A5B3E" w:rsidRDefault="00807D43" w:rsidP="004E0228">
            <w:pPr>
              <w:spacing w:after="60"/>
            </w:pPr>
            <w:r w:rsidRPr="002A5B3E">
              <w:t>Parte 7.2.7</w:t>
            </w:r>
          </w:p>
        </w:tc>
        <w:tc>
          <w:tcPr>
            <w:tcW w:w="3231" w:type="dxa"/>
          </w:tcPr>
          <w:p w14:paraId="44B81D86" w14:textId="77777777" w:rsidR="000168DE" w:rsidRPr="002A5B3E" w:rsidRDefault="000168DE" w:rsidP="004E0228">
            <w:pPr>
              <w:spacing w:after="60"/>
            </w:pPr>
            <w:r w:rsidRPr="002A5B3E">
              <w:t>Numeración de solicitudes – práctica vigente y prácticas anteriores</w:t>
            </w:r>
          </w:p>
        </w:tc>
        <w:tc>
          <w:tcPr>
            <w:tcW w:w="1588" w:type="dxa"/>
            <w:shd w:val="clear" w:color="auto" w:fill="auto"/>
          </w:tcPr>
          <w:p w14:paraId="66517D70" w14:textId="77777777" w:rsidR="000168DE" w:rsidRPr="002A5B3E" w:rsidRDefault="000168DE" w:rsidP="004E0228">
            <w:pPr>
              <w:spacing w:after="60"/>
              <w:jc w:val="center"/>
            </w:pPr>
            <w:r w:rsidRPr="002A5B3E">
              <w:t>2017</w:t>
            </w:r>
          </w:p>
        </w:tc>
        <w:tc>
          <w:tcPr>
            <w:tcW w:w="2621" w:type="dxa"/>
          </w:tcPr>
          <w:p w14:paraId="5F4610C5" w14:textId="77777777" w:rsidR="000168DE" w:rsidRPr="002A5B3E" w:rsidRDefault="000168DE" w:rsidP="004E0228">
            <w:pPr>
              <w:spacing w:after="60"/>
              <w:jc w:val="center"/>
            </w:pPr>
            <w:r w:rsidRPr="002A5B3E">
              <w:t>Actualización en 2024</w:t>
            </w:r>
          </w:p>
        </w:tc>
      </w:tr>
      <w:tr w:rsidR="000168DE" w:rsidRPr="002A5B3E" w14:paraId="4930CF12" w14:textId="77777777" w:rsidTr="002A5B3E">
        <w:tc>
          <w:tcPr>
            <w:tcW w:w="1555" w:type="dxa"/>
            <w:shd w:val="clear" w:color="auto" w:fill="auto"/>
          </w:tcPr>
          <w:p w14:paraId="31071119" w14:textId="77777777" w:rsidR="000168DE" w:rsidRPr="002A5B3E" w:rsidRDefault="000168DE" w:rsidP="004E0228">
            <w:pPr>
              <w:spacing w:after="60"/>
            </w:pPr>
            <w:r w:rsidRPr="002A5B3E">
              <w:t>Parte 7.3</w:t>
            </w:r>
          </w:p>
        </w:tc>
        <w:tc>
          <w:tcPr>
            <w:tcW w:w="3231" w:type="dxa"/>
          </w:tcPr>
          <w:p w14:paraId="7727C22C" w14:textId="77777777" w:rsidR="000168DE" w:rsidRPr="002A5B3E" w:rsidRDefault="000168DE" w:rsidP="004E0228">
            <w:pPr>
              <w:spacing w:after="60"/>
            </w:pPr>
            <w:r w:rsidRPr="002A5B3E">
              <w:t>Ejemplos y tipos de documentos de patente</w:t>
            </w:r>
          </w:p>
        </w:tc>
        <w:tc>
          <w:tcPr>
            <w:tcW w:w="1588" w:type="dxa"/>
            <w:shd w:val="clear" w:color="auto" w:fill="auto"/>
          </w:tcPr>
          <w:p w14:paraId="4B5106DF" w14:textId="77777777" w:rsidR="000168DE" w:rsidRPr="002A5B3E" w:rsidRDefault="000168DE" w:rsidP="004E0228">
            <w:pPr>
              <w:spacing w:after="60"/>
              <w:jc w:val="center"/>
            </w:pPr>
            <w:r w:rsidRPr="002A5B3E">
              <w:t>2016</w:t>
            </w:r>
          </w:p>
        </w:tc>
        <w:tc>
          <w:tcPr>
            <w:tcW w:w="2621" w:type="dxa"/>
          </w:tcPr>
          <w:p w14:paraId="7E8180A2" w14:textId="77777777" w:rsidR="000168DE" w:rsidRPr="002A5B3E" w:rsidRDefault="000168DE" w:rsidP="004E0228">
            <w:pPr>
              <w:spacing w:after="60"/>
              <w:jc w:val="center"/>
            </w:pPr>
            <w:r w:rsidRPr="002A5B3E">
              <w:t>Actualización en 2025</w:t>
            </w:r>
          </w:p>
        </w:tc>
      </w:tr>
    </w:tbl>
    <w:p w14:paraId="30FC2EE9" w14:textId="4ABAB619" w:rsidR="0083276C" w:rsidRPr="002A5B3E" w:rsidRDefault="003B1BAC" w:rsidP="00262714">
      <w:pPr>
        <w:pStyle w:val="ONUMFS"/>
        <w:spacing w:before="240" w:after="240"/>
      </w:pPr>
      <w:r w:rsidRPr="002A5B3E">
        <w:t>Las actualizaciones restantes de las encuestas de la Parte 7 se llevarán a cabo mediante el proceso simplificado aprobado en la novena sesión del CWS, que consiste en recopilar y publicar los resultados sin presentar el cuestionario ni los resultados al CWS para su aprobación. En cambio, se presenta un análisis de las encuestas realizadas para su examen y aprobación por dicho Comité (véase el párrafo 114 del documento CWS/9/25).</w:t>
      </w:r>
      <w:r w:rsidR="002A5B3E">
        <w:t xml:space="preserve"> </w:t>
      </w:r>
      <w:r w:rsidRPr="002A5B3E">
        <w:t>Los resultados publicados se notificarán al CWS en la siguiente sesión.</w:t>
      </w:r>
    </w:p>
    <w:p w14:paraId="05D5D7C3" w14:textId="5A5B50E4" w:rsidR="00B240C7" w:rsidRPr="00262714" w:rsidRDefault="00B240C7" w:rsidP="00112EA8">
      <w:pPr>
        <w:pStyle w:val="ONUMFS"/>
        <w:tabs>
          <w:tab w:val="clear" w:pos="567"/>
          <w:tab w:val="left" w:pos="6096"/>
        </w:tabs>
        <w:ind w:left="5529"/>
        <w:rPr>
          <w:i/>
        </w:rPr>
      </w:pPr>
      <w:r w:rsidRPr="00262714">
        <w:rPr>
          <w:i/>
        </w:rPr>
        <w:t xml:space="preserve">Se invita al CWS a: </w:t>
      </w:r>
    </w:p>
    <w:p w14:paraId="77C2FE79" w14:textId="77777777" w:rsidR="00B240C7" w:rsidRPr="00262714" w:rsidRDefault="00B240C7" w:rsidP="00262714">
      <w:pPr>
        <w:pStyle w:val="ONUMFS"/>
        <w:numPr>
          <w:ilvl w:val="1"/>
          <w:numId w:val="6"/>
        </w:numPr>
        <w:tabs>
          <w:tab w:val="clear" w:pos="1134"/>
        </w:tabs>
        <w:ind w:left="6096"/>
        <w:rPr>
          <w:i/>
        </w:rPr>
      </w:pPr>
      <w:r w:rsidRPr="00262714">
        <w:rPr>
          <w:i/>
        </w:rPr>
        <w:t>tomar nota del contenido del presente documento; y</w:t>
      </w:r>
    </w:p>
    <w:p w14:paraId="0EA94F5D" w14:textId="77777777" w:rsidR="00B240C7" w:rsidRPr="002A5B3E" w:rsidRDefault="003B1BAC" w:rsidP="00262714">
      <w:pPr>
        <w:pStyle w:val="ONUMFS"/>
        <w:numPr>
          <w:ilvl w:val="1"/>
          <w:numId w:val="6"/>
        </w:numPr>
        <w:tabs>
          <w:tab w:val="clear" w:pos="1134"/>
        </w:tabs>
        <w:spacing w:after="600"/>
        <w:ind w:left="6095"/>
        <w:rPr>
          <w:i/>
        </w:rPr>
      </w:pPr>
      <w:r w:rsidRPr="002A5B3E">
        <w:rPr>
          <w:i/>
        </w:rPr>
        <w:t>aprobar el plan de trabajo revisado expuesto en el párrafo 5.</w:t>
      </w:r>
    </w:p>
    <w:p w14:paraId="7AFB9948" w14:textId="77777777" w:rsidR="00B240C7" w:rsidRPr="002A5B3E" w:rsidRDefault="00B240C7" w:rsidP="00EE0F3E">
      <w:pPr>
        <w:pStyle w:val="Endofdocument"/>
        <w:spacing w:before="240" w:line="240" w:lineRule="auto"/>
        <w:ind w:left="5530"/>
      </w:pPr>
      <w:r w:rsidRPr="002A5B3E">
        <w:rPr>
          <w:sz w:val="22"/>
        </w:rPr>
        <w:t>[Fin del documento]</w:t>
      </w:r>
    </w:p>
    <w:sectPr w:rsidR="00B240C7" w:rsidRPr="002A5B3E" w:rsidSect="00BA1256">
      <w:headerReference w:type="default" r:id="rId9"/>
      <w:endnotePr>
        <w:numFmt w:val="decimal"/>
      </w:endnotePr>
      <w:pgSz w:w="11907" w:h="16840" w:code="9"/>
      <w:pgMar w:top="562" w:right="1138" w:bottom="1296"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70429" w14:textId="77777777" w:rsidR="00D821D0" w:rsidRDefault="00D821D0">
      <w:r>
        <w:separator/>
      </w:r>
    </w:p>
  </w:endnote>
  <w:endnote w:type="continuationSeparator" w:id="0">
    <w:p w14:paraId="20E6D90B" w14:textId="77777777" w:rsidR="00D821D0" w:rsidRDefault="00D821D0" w:rsidP="003B38C1">
      <w:r>
        <w:separator/>
      </w:r>
    </w:p>
    <w:p w14:paraId="532149BF" w14:textId="77777777" w:rsidR="00D821D0" w:rsidRPr="002A5B3E" w:rsidRDefault="00D821D0" w:rsidP="003B38C1">
      <w:pPr>
        <w:spacing w:after="60"/>
        <w:rPr>
          <w:sz w:val="17"/>
          <w:lang w:val="en-US"/>
        </w:rPr>
      </w:pPr>
      <w:r w:rsidRPr="002A5B3E">
        <w:rPr>
          <w:sz w:val="17"/>
          <w:lang w:val="en-US"/>
        </w:rPr>
        <w:t>[Endnote continued from previous page]</w:t>
      </w:r>
    </w:p>
  </w:endnote>
  <w:endnote w:type="continuationNotice" w:id="1">
    <w:p w14:paraId="6F96EF14" w14:textId="77777777" w:rsidR="00D821D0" w:rsidRPr="002A5B3E" w:rsidRDefault="00D821D0" w:rsidP="003B38C1">
      <w:pPr>
        <w:spacing w:before="60"/>
        <w:jc w:val="right"/>
        <w:rPr>
          <w:sz w:val="17"/>
          <w:szCs w:val="17"/>
          <w:lang w:val="en-US"/>
        </w:rPr>
      </w:pPr>
      <w:r w:rsidRPr="002A5B3E">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111F3" w14:textId="77777777" w:rsidR="00D821D0" w:rsidRDefault="00D821D0">
      <w:r>
        <w:separator/>
      </w:r>
    </w:p>
  </w:footnote>
  <w:footnote w:type="continuationSeparator" w:id="0">
    <w:p w14:paraId="0093DD1D" w14:textId="77777777" w:rsidR="00D821D0" w:rsidRDefault="00D821D0" w:rsidP="008B60B2">
      <w:r>
        <w:separator/>
      </w:r>
    </w:p>
    <w:p w14:paraId="439655FC" w14:textId="77777777" w:rsidR="00D821D0" w:rsidRPr="002A5B3E" w:rsidRDefault="00D821D0" w:rsidP="008B60B2">
      <w:pPr>
        <w:spacing w:after="60"/>
        <w:rPr>
          <w:sz w:val="17"/>
          <w:szCs w:val="17"/>
          <w:lang w:val="en-US"/>
        </w:rPr>
      </w:pPr>
      <w:r w:rsidRPr="002A5B3E">
        <w:rPr>
          <w:sz w:val="17"/>
          <w:szCs w:val="17"/>
          <w:lang w:val="en-US"/>
        </w:rPr>
        <w:t>[Footnote continued from previous page]</w:t>
      </w:r>
    </w:p>
  </w:footnote>
  <w:footnote w:type="continuationNotice" w:id="1">
    <w:p w14:paraId="7970EF45" w14:textId="77777777" w:rsidR="00D821D0" w:rsidRPr="002A5B3E" w:rsidRDefault="00D821D0" w:rsidP="008B60B2">
      <w:pPr>
        <w:spacing w:before="60"/>
        <w:jc w:val="right"/>
        <w:rPr>
          <w:sz w:val="17"/>
          <w:szCs w:val="17"/>
          <w:lang w:val="en-US"/>
        </w:rPr>
      </w:pPr>
      <w:r w:rsidRPr="002A5B3E">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C5D28" w14:textId="77777777" w:rsidR="00D07C78" w:rsidRPr="002326AB" w:rsidRDefault="00B240C7" w:rsidP="00477D6B">
    <w:pPr>
      <w:jc w:val="right"/>
      <w:rPr>
        <w:caps/>
      </w:rPr>
    </w:pPr>
    <w:bookmarkStart w:id="5" w:name="Code2"/>
    <w:bookmarkEnd w:id="5"/>
    <w:r>
      <w:rPr>
        <w:caps/>
      </w:rPr>
      <w:t>CWS/10/16</w:t>
    </w:r>
  </w:p>
  <w:p w14:paraId="320E7996" w14:textId="3F32E12D" w:rsidR="00D07C78" w:rsidRDefault="00D07C78" w:rsidP="00952B65">
    <w:pPr>
      <w:jc w:val="right"/>
    </w:pPr>
    <w:r>
      <w:t xml:space="preserve">página </w:t>
    </w:r>
    <w:r>
      <w:fldChar w:fldCharType="begin"/>
    </w:r>
    <w:r>
      <w:instrText xml:space="preserve"> PAGE  \* MERGEFORMAT </w:instrText>
    </w:r>
    <w:r>
      <w:fldChar w:fldCharType="separate"/>
    </w:r>
    <w:r w:rsidR="00830E81">
      <w:rPr>
        <w:noProof/>
      </w:rPr>
      <w:t>2</w:t>
    </w:r>
    <w:r>
      <w:fldChar w:fldCharType="end"/>
    </w:r>
  </w:p>
  <w:p w14:paraId="705B2FDA"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485400"/>
    <w:multiLevelType w:val="hybridMultilevel"/>
    <w:tmpl w:val="430C70FE"/>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CC2E898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3E47CF7"/>
    <w:multiLevelType w:val="hybridMultilevel"/>
    <w:tmpl w:val="900C7E6E"/>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1790657"/>
    <w:multiLevelType w:val="hybridMultilevel"/>
    <w:tmpl w:val="FFD2E234"/>
    <w:lvl w:ilvl="0" w:tplc="F51255DA">
      <w:start w:val="1"/>
      <w:numFmt w:val="lowerLetter"/>
      <w:lvlText w:val="(%1)"/>
      <w:lvlJc w:val="left"/>
      <w:pPr>
        <w:ind w:left="5530" w:firstLine="680"/>
      </w:pPr>
      <w:rPr>
        <w:rFonts w:ascii="Arial" w:eastAsia="SimSun" w:hAnsi="Arial" w:cs="Arial" w:hint="default"/>
      </w:rPr>
    </w:lvl>
    <w:lvl w:ilvl="1" w:tplc="04090019" w:tentative="1">
      <w:start w:val="1"/>
      <w:numFmt w:val="lowerLetter"/>
      <w:lvlText w:val="%2."/>
      <w:lvlJc w:val="left"/>
      <w:pPr>
        <w:ind w:left="10922" w:hanging="360"/>
      </w:pPr>
    </w:lvl>
    <w:lvl w:ilvl="2" w:tplc="0409001B" w:tentative="1">
      <w:start w:val="1"/>
      <w:numFmt w:val="lowerRoman"/>
      <w:lvlText w:val="%3."/>
      <w:lvlJc w:val="right"/>
      <w:pPr>
        <w:ind w:left="11642" w:hanging="180"/>
      </w:pPr>
    </w:lvl>
    <w:lvl w:ilvl="3" w:tplc="0409000F" w:tentative="1">
      <w:start w:val="1"/>
      <w:numFmt w:val="decimal"/>
      <w:lvlText w:val="%4."/>
      <w:lvlJc w:val="left"/>
      <w:pPr>
        <w:ind w:left="12362" w:hanging="360"/>
      </w:pPr>
    </w:lvl>
    <w:lvl w:ilvl="4" w:tplc="04090019" w:tentative="1">
      <w:start w:val="1"/>
      <w:numFmt w:val="lowerLetter"/>
      <w:lvlText w:val="%5."/>
      <w:lvlJc w:val="left"/>
      <w:pPr>
        <w:ind w:left="13082" w:hanging="360"/>
      </w:pPr>
    </w:lvl>
    <w:lvl w:ilvl="5" w:tplc="0409001B" w:tentative="1">
      <w:start w:val="1"/>
      <w:numFmt w:val="lowerRoman"/>
      <w:lvlText w:val="%6."/>
      <w:lvlJc w:val="right"/>
      <w:pPr>
        <w:ind w:left="13802" w:hanging="180"/>
      </w:pPr>
    </w:lvl>
    <w:lvl w:ilvl="6" w:tplc="0409000F" w:tentative="1">
      <w:start w:val="1"/>
      <w:numFmt w:val="decimal"/>
      <w:lvlText w:val="%7."/>
      <w:lvlJc w:val="left"/>
      <w:pPr>
        <w:ind w:left="14522" w:hanging="360"/>
      </w:pPr>
    </w:lvl>
    <w:lvl w:ilvl="7" w:tplc="04090019" w:tentative="1">
      <w:start w:val="1"/>
      <w:numFmt w:val="lowerLetter"/>
      <w:lvlText w:val="%8."/>
      <w:lvlJc w:val="left"/>
      <w:pPr>
        <w:ind w:left="15242" w:hanging="360"/>
      </w:pPr>
    </w:lvl>
    <w:lvl w:ilvl="8" w:tplc="0409001B" w:tentative="1">
      <w:start w:val="1"/>
      <w:numFmt w:val="lowerRoman"/>
      <w:lvlText w:val="%9."/>
      <w:lvlJc w:val="right"/>
      <w:pPr>
        <w:ind w:left="15962"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5"/>
  </w:num>
  <w:num w:numId="8">
    <w:abstractNumId w:val="2"/>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0C7"/>
    <w:rsid w:val="0001008D"/>
    <w:rsid w:val="000168DE"/>
    <w:rsid w:val="00017696"/>
    <w:rsid w:val="00043CAA"/>
    <w:rsid w:val="000446E1"/>
    <w:rsid w:val="00056816"/>
    <w:rsid w:val="00065F20"/>
    <w:rsid w:val="00075432"/>
    <w:rsid w:val="000968ED"/>
    <w:rsid w:val="000A3D97"/>
    <w:rsid w:val="000A7B44"/>
    <w:rsid w:val="000E74AC"/>
    <w:rsid w:val="000F5E56"/>
    <w:rsid w:val="001124EE"/>
    <w:rsid w:val="00112EA8"/>
    <w:rsid w:val="00126310"/>
    <w:rsid w:val="00135D7C"/>
    <w:rsid w:val="001362EE"/>
    <w:rsid w:val="001542E3"/>
    <w:rsid w:val="001647D5"/>
    <w:rsid w:val="00173C22"/>
    <w:rsid w:val="001832A6"/>
    <w:rsid w:val="00184F23"/>
    <w:rsid w:val="001D4107"/>
    <w:rsid w:val="001F2623"/>
    <w:rsid w:val="00203D24"/>
    <w:rsid w:val="0021217E"/>
    <w:rsid w:val="00222566"/>
    <w:rsid w:val="002326AB"/>
    <w:rsid w:val="00236266"/>
    <w:rsid w:val="00243430"/>
    <w:rsid w:val="00247B35"/>
    <w:rsid w:val="00262714"/>
    <w:rsid w:val="00262FB0"/>
    <w:rsid w:val="002634C4"/>
    <w:rsid w:val="002928D3"/>
    <w:rsid w:val="002A5B3E"/>
    <w:rsid w:val="002C2B1E"/>
    <w:rsid w:val="002F1FE6"/>
    <w:rsid w:val="002F3890"/>
    <w:rsid w:val="002F4118"/>
    <w:rsid w:val="002F4E68"/>
    <w:rsid w:val="00312F7F"/>
    <w:rsid w:val="00316AC6"/>
    <w:rsid w:val="00341CE0"/>
    <w:rsid w:val="00352C7A"/>
    <w:rsid w:val="00361450"/>
    <w:rsid w:val="00367025"/>
    <w:rsid w:val="003673CF"/>
    <w:rsid w:val="0037612C"/>
    <w:rsid w:val="003845C1"/>
    <w:rsid w:val="003A2D7C"/>
    <w:rsid w:val="003A6F89"/>
    <w:rsid w:val="003B1BAC"/>
    <w:rsid w:val="003B38C1"/>
    <w:rsid w:val="003C34E9"/>
    <w:rsid w:val="003E35B0"/>
    <w:rsid w:val="00411D57"/>
    <w:rsid w:val="00423E3E"/>
    <w:rsid w:val="00427AF4"/>
    <w:rsid w:val="004647DA"/>
    <w:rsid w:val="00470061"/>
    <w:rsid w:val="00474062"/>
    <w:rsid w:val="00474398"/>
    <w:rsid w:val="00475A47"/>
    <w:rsid w:val="00477D6B"/>
    <w:rsid w:val="004B06FC"/>
    <w:rsid w:val="004C0D1B"/>
    <w:rsid w:val="005019FF"/>
    <w:rsid w:val="0053057A"/>
    <w:rsid w:val="00556076"/>
    <w:rsid w:val="00560A29"/>
    <w:rsid w:val="00570C1C"/>
    <w:rsid w:val="00577C36"/>
    <w:rsid w:val="005830A9"/>
    <w:rsid w:val="005C6649"/>
    <w:rsid w:val="00605827"/>
    <w:rsid w:val="00646050"/>
    <w:rsid w:val="00654353"/>
    <w:rsid w:val="006713CA"/>
    <w:rsid w:val="00676C5C"/>
    <w:rsid w:val="00676FB4"/>
    <w:rsid w:val="006B4FE1"/>
    <w:rsid w:val="006E4F82"/>
    <w:rsid w:val="00720EFD"/>
    <w:rsid w:val="0075079F"/>
    <w:rsid w:val="00770599"/>
    <w:rsid w:val="007854AF"/>
    <w:rsid w:val="00793A7C"/>
    <w:rsid w:val="007A1A18"/>
    <w:rsid w:val="007A398A"/>
    <w:rsid w:val="007B3051"/>
    <w:rsid w:val="007D1613"/>
    <w:rsid w:val="007E4C0E"/>
    <w:rsid w:val="007F073F"/>
    <w:rsid w:val="00801B7C"/>
    <w:rsid w:val="00807D43"/>
    <w:rsid w:val="00810E17"/>
    <w:rsid w:val="0081229E"/>
    <w:rsid w:val="0082055C"/>
    <w:rsid w:val="00830E81"/>
    <w:rsid w:val="0083276C"/>
    <w:rsid w:val="00846CF6"/>
    <w:rsid w:val="008A134B"/>
    <w:rsid w:val="008A2957"/>
    <w:rsid w:val="008B2CC1"/>
    <w:rsid w:val="008B60B2"/>
    <w:rsid w:val="0090731E"/>
    <w:rsid w:val="00916EE2"/>
    <w:rsid w:val="00920C40"/>
    <w:rsid w:val="00952B65"/>
    <w:rsid w:val="00954009"/>
    <w:rsid w:val="00954CB9"/>
    <w:rsid w:val="00955266"/>
    <w:rsid w:val="00957056"/>
    <w:rsid w:val="00960A12"/>
    <w:rsid w:val="00966A22"/>
    <w:rsid w:val="0096722F"/>
    <w:rsid w:val="00971447"/>
    <w:rsid w:val="00980843"/>
    <w:rsid w:val="009B0BE4"/>
    <w:rsid w:val="009B63AA"/>
    <w:rsid w:val="009E2791"/>
    <w:rsid w:val="009E3F6F"/>
    <w:rsid w:val="009F499F"/>
    <w:rsid w:val="00A37342"/>
    <w:rsid w:val="00A42DAF"/>
    <w:rsid w:val="00A44E43"/>
    <w:rsid w:val="00A45BD8"/>
    <w:rsid w:val="00A8142E"/>
    <w:rsid w:val="00A869B7"/>
    <w:rsid w:val="00A90F0A"/>
    <w:rsid w:val="00AC205C"/>
    <w:rsid w:val="00AF0A6B"/>
    <w:rsid w:val="00B05A69"/>
    <w:rsid w:val="00B240C7"/>
    <w:rsid w:val="00B355B6"/>
    <w:rsid w:val="00B42BE3"/>
    <w:rsid w:val="00B442D7"/>
    <w:rsid w:val="00B44CDD"/>
    <w:rsid w:val="00B75281"/>
    <w:rsid w:val="00B87A92"/>
    <w:rsid w:val="00B92F1F"/>
    <w:rsid w:val="00B9734B"/>
    <w:rsid w:val="00B97472"/>
    <w:rsid w:val="00BA1256"/>
    <w:rsid w:val="00BA30E2"/>
    <w:rsid w:val="00BC7238"/>
    <w:rsid w:val="00BE7036"/>
    <w:rsid w:val="00BF3D54"/>
    <w:rsid w:val="00C11BFE"/>
    <w:rsid w:val="00C33217"/>
    <w:rsid w:val="00C5068F"/>
    <w:rsid w:val="00C63E6B"/>
    <w:rsid w:val="00C86D74"/>
    <w:rsid w:val="00CD04F1"/>
    <w:rsid w:val="00CF681A"/>
    <w:rsid w:val="00D02BB3"/>
    <w:rsid w:val="00D07C78"/>
    <w:rsid w:val="00D45252"/>
    <w:rsid w:val="00D55EC5"/>
    <w:rsid w:val="00D64002"/>
    <w:rsid w:val="00D71B4D"/>
    <w:rsid w:val="00D821D0"/>
    <w:rsid w:val="00D9251F"/>
    <w:rsid w:val="00D93D55"/>
    <w:rsid w:val="00DA0962"/>
    <w:rsid w:val="00DA4116"/>
    <w:rsid w:val="00DD2276"/>
    <w:rsid w:val="00DD7B7F"/>
    <w:rsid w:val="00E15015"/>
    <w:rsid w:val="00E335FE"/>
    <w:rsid w:val="00E45755"/>
    <w:rsid w:val="00E55A68"/>
    <w:rsid w:val="00E87C31"/>
    <w:rsid w:val="00EA0BB3"/>
    <w:rsid w:val="00EA10A2"/>
    <w:rsid w:val="00EA204D"/>
    <w:rsid w:val="00EA21F3"/>
    <w:rsid w:val="00EA7D6E"/>
    <w:rsid w:val="00EB2F76"/>
    <w:rsid w:val="00EC4E49"/>
    <w:rsid w:val="00ED77FB"/>
    <w:rsid w:val="00EE09E1"/>
    <w:rsid w:val="00EE0F3E"/>
    <w:rsid w:val="00EE45FA"/>
    <w:rsid w:val="00F01A9B"/>
    <w:rsid w:val="00F043DE"/>
    <w:rsid w:val="00F56C93"/>
    <w:rsid w:val="00F66152"/>
    <w:rsid w:val="00F80C43"/>
    <w:rsid w:val="00F9165B"/>
    <w:rsid w:val="00FC482F"/>
    <w:rsid w:val="00FD3D6A"/>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ACF5557"/>
  <w15:docId w15:val="{B8E7CA28-DD61-40FA-9A66-6A926732E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BE7036"/>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BE7036"/>
    <w:rPr>
      <w:rFonts w:ascii="Arial" w:eastAsia="SimSun" w:hAnsi="Arial" w:cs="Arial"/>
      <w:bCs/>
      <w:iCs/>
      <w:caps/>
      <w:sz w:val="22"/>
      <w:szCs w:val="28"/>
      <w:lang w:val="es-ES" w:eastAsia="zh-CN"/>
    </w:rPr>
  </w:style>
  <w:style w:type="character" w:styleId="FootnoteReference">
    <w:name w:val="footnote reference"/>
    <w:rsid w:val="00B240C7"/>
    <w:rPr>
      <w:vertAlign w:val="superscript"/>
    </w:rPr>
  </w:style>
  <w:style w:type="paragraph" w:customStyle="1" w:styleId="Endofdocument">
    <w:name w:val="End of document"/>
    <w:basedOn w:val="Normal"/>
    <w:rsid w:val="00B240C7"/>
    <w:pPr>
      <w:spacing w:line="260" w:lineRule="atLeast"/>
      <w:ind w:left="5534"/>
    </w:pPr>
    <w:rPr>
      <w:rFonts w:eastAsia="Times New Roman" w:cs="Times New Roman"/>
      <w:sz w:val="20"/>
      <w:lang w:eastAsia="en-US"/>
    </w:rPr>
  </w:style>
  <w:style w:type="character" w:customStyle="1" w:styleId="BodyTextChar">
    <w:name w:val="Body Text Char"/>
    <w:basedOn w:val="DefaultParagraphFont"/>
    <w:link w:val="BodyText"/>
    <w:rsid w:val="00B240C7"/>
    <w:rPr>
      <w:rFonts w:ascii="Arial" w:eastAsia="SimSun" w:hAnsi="Arial" w:cs="Arial"/>
      <w:sz w:val="22"/>
      <w:lang w:val="es-ES" w:eastAsia="zh-CN"/>
    </w:rPr>
  </w:style>
  <w:style w:type="character" w:customStyle="1" w:styleId="ONUMEChar">
    <w:name w:val="ONUM E Char"/>
    <w:basedOn w:val="DefaultParagraphFont"/>
    <w:link w:val="ONUME"/>
    <w:rsid w:val="00971447"/>
    <w:rPr>
      <w:rFonts w:ascii="Arial" w:eastAsia="SimSun" w:hAnsi="Arial" w:cs="Arial"/>
      <w:sz w:val="22"/>
      <w:lang w:val="es-ES" w:eastAsia="zh-CN"/>
    </w:rPr>
  </w:style>
  <w:style w:type="paragraph" w:styleId="ListParagraph">
    <w:name w:val="List Paragraph"/>
    <w:basedOn w:val="Normal"/>
    <w:uiPriority w:val="34"/>
    <w:qFormat/>
    <w:rsid w:val="00971447"/>
    <w:pPr>
      <w:ind w:left="720"/>
      <w:contextualSpacing/>
    </w:pPr>
    <w:rPr>
      <w:rFonts w:eastAsia="Times New Roman"/>
      <w:lang w:eastAsia="en-US"/>
    </w:rPr>
  </w:style>
  <w:style w:type="table" w:styleId="TableGrid">
    <w:name w:val="Table Grid"/>
    <w:basedOn w:val="TableNormal"/>
    <w:rsid w:val="0097144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71447"/>
    <w:rPr>
      <w:sz w:val="16"/>
      <w:szCs w:val="16"/>
    </w:rPr>
  </w:style>
  <w:style w:type="character" w:customStyle="1" w:styleId="CommentTextChar">
    <w:name w:val="Comment Text Char"/>
    <w:basedOn w:val="DefaultParagraphFont"/>
    <w:link w:val="CommentText"/>
    <w:semiHidden/>
    <w:rsid w:val="00971447"/>
    <w:rPr>
      <w:rFonts w:ascii="Arial" w:eastAsia="SimSun" w:hAnsi="Arial" w:cs="Arial"/>
      <w:sz w:val="18"/>
      <w:lang w:val="es-ES" w:eastAsia="zh-CN"/>
    </w:rPr>
  </w:style>
  <w:style w:type="character" w:styleId="Hyperlink">
    <w:name w:val="Hyperlink"/>
    <w:basedOn w:val="DefaultParagraphFont"/>
    <w:unhideWhenUsed/>
    <w:rsid w:val="00971447"/>
    <w:rPr>
      <w:color w:val="0000FF" w:themeColor="hyperlink"/>
      <w:u w:val="single"/>
    </w:rPr>
  </w:style>
  <w:style w:type="paragraph" w:styleId="BalloonText">
    <w:name w:val="Balloon Text"/>
    <w:basedOn w:val="Normal"/>
    <w:link w:val="BalloonTextChar"/>
    <w:semiHidden/>
    <w:unhideWhenUsed/>
    <w:rsid w:val="00971447"/>
    <w:rPr>
      <w:rFonts w:ascii="Segoe UI" w:hAnsi="Segoe UI" w:cs="Segoe UI"/>
      <w:sz w:val="18"/>
      <w:szCs w:val="18"/>
    </w:rPr>
  </w:style>
  <w:style w:type="character" w:customStyle="1" w:styleId="BalloonTextChar">
    <w:name w:val="Balloon Text Char"/>
    <w:basedOn w:val="DefaultParagraphFont"/>
    <w:link w:val="BalloonText"/>
    <w:semiHidden/>
    <w:rsid w:val="00971447"/>
    <w:rPr>
      <w:rFonts w:ascii="Segoe UI" w:eastAsia="SimSun" w:hAnsi="Segoe UI" w:cs="Segoe UI"/>
      <w:sz w:val="18"/>
      <w:szCs w:val="18"/>
      <w:lang w:val="es-ES" w:eastAsia="zh-CN"/>
    </w:rPr>
  </w:style>
  <w:style w:type="paragraph" w:styleId="CommentSubject">
    <w:name w:val="annotation subject"/>
    <w:basedOn w:val="CommentText"/>
    <w:next w:val="CommentText"/>
    <w:link w:val="CommentSubjectChar"/>
    <w:semiHidden/>
    <w:unhideWhenUsed/>
    <w:rsid w:val="00FD3D6A"/>
    <w:rPr>
      <w:b/>
      <w:bCs/>
      <w:sz w:val="20"/>
    </w:rPr>
  </w:style>
  <w:style w:type="character" w:customStyle="1" w:styleId="CommentSubjectChar">
    <w:name w:val="Comment Subject Char"/>
    <w:basedOn w:val="CommentTextChar"/>
    <w:link w:val="CommentSubject"/>
    <w:semiHidden/>
    <w:rsid w:val="00FD3D6A"/>
    <w:rPr>
      <w:rFonts w:ascii="Arial" w:eastAsia="SimSun" w:hAnsi="Arial" w:cs="Arial"/>
      <w:b/>
      <w:bCs/>
      <w:sz w:val="18"/>
      <w:lang w:val="es-ES" w:eastAsia="zh-CN"/>
    </w:rPr>
  </w:style>
  <w:style w:type="character" w:styleId="FollowedHyperlink">
    <w:name w:val="FollowedHyperlink"/>
    <w:basedOn w:val="DefaultParagraphFont"/>
    <w:semiHidden/>
    <w:unhideWhenUsed/>
    <w:rsid w:val="00BF3D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27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BDEE3-C6AE-4BDF-9A37-95BD8808A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3451</Characters>
  <Application>Microsoft Office Word</Application>
  <DocSecurity>0</DocSecurity>
  <Lines>28</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CWS/10/16</vt:lpstr>
      <vt:lpstr>CWS/10/16</vt:lpstr>
    </vt:vector>
  </TitlesOfParts>
  <Company>WIPO</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CWS/10/16</dc:title>
  <dc:subject>Report by the Part 7 Task Force</dc:subject>
  <dc:creator>WIPO</dc:creator>
  <cp:keywords/>
  <cp:lastModifiedBy> </cp:lastModifiedBy>
  <cp:revision>3</cp:revision>
  <cp:lastPrinted>2011-02-15T11:56:00Z</cp:lastPrinted>
  <dcterms:created xsi:type="dcterms:W3CDTF">2022-09-22T13:37:00Z</dcterms:created>
  <dcterms:modified xsi:type="dcterms:W3CDTF">2022-09-23T09:22:00Z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de5a6129-51c6-4ec0-a3ff-e193b00bc12b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