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C9A7C" w14:textId="177A3F89" w:rsidR="00A7060E" w:rsidRPr="003A4B5D" w:rsidRDefault="001349A9" w:rsidP="0066229C">
      <w:pPr>
        <w:pStyle w:val="Heading1"/>
        <w:rPr>
          <w:rFonts w:cstheme="majorHAnsi"/>
          <w:color w:val="auto"/>
          <w:sz w:val="22"/>
          <w:szCs w:val="22"/>
          <w:lang w:val="es-419"/>
        </w:rPr>
      </w:pPr>
      <w:r w:rsidRPr="003A4B5D">
        <w:rPr>
          <w:rFonts w:cstheme="majorHAnsi"/>
          <w:color w:val="auto"/>
          <w:sz w:val="22"/>
          <w:szCs w:val="22"/>
          <w:lang w:val="es-419"/>
        </w:rPr>
        <w:t>RESEÑA DEL PROYECTO: PROPUESTA DE RECOMENDACIONES SOBRE EL MARCO DE INTERCAMBIO DE DATOS</w:t>
      </w:r>
    </w:p>
    <w:p w14:paraId="65929C33" w14:textId="77777777" w:rsidR="00A323D2" w:rsidRPr="003A4B5D" w:rsidRDefault="00A323D2" w:rsidP="0080263F">
      <w:pPr>
        <w:widowControl/>
        <w:jc w:val="left"/>
        <w:rPr>
          <w:rFonts w:asciiTheme="majorHAnsi" w:hAnsiTheme="majorHAnsi" w:cstheme="majorHAnsi"/>
          <w:sz w:val="22"/>
          <w:lang w:val="es-419"/>
        </w:rPr>
      </w:pPr>
    </w:p>
    <w:p w14:paraId="1FE8A6D8" w14:textId="44BD0645" w:rsidR="00A7060E" w:rsidRPr="003A4B5D" w:rsidRDefault="00A7060E" w:rsidP="00A7060E">
      <w:pPr>
        <w:widowControl/>
        <w:jc w:val="left"/>
        <w:rPr>
          <w:rFonts w:asciiTheme="majorHAnsi" w:hAnsiTheme="majorHAnsi" w:cstheme="majorHAnsi"/>
          <w:i/>
          <w:iCs/>
          <w:color w:val="FF0000"/>
          <w:sz w:val="22"/>
          <w:lang w:val="es-419"/>
        </w:rPr>
      </w:pPr>
      <w:r w:rsidRPr="003A4B5D">
        <w:rPr>
          <w:rFonts w:asciiTheme="majorHAnsi" w:hAnsiTheme="majorHAnsi" w:cstheme="majorHAnsi"/>
          <w:i/>
          <w:sz w:val="22"/>
          <w:lang w:val="es-419"/>
        </w:rPr>
        <w:t>Documento preparado por la delegación del Japón</w:t>
      </w:r>
    </w:p>
    <w:p w14:paraId="3B556BA2" w14:textId="77777777" w:rsidR="00A7060E" w:rsidRPr="003A4B5D" w:rsidRDefault="00A7060E" w:rsidP="00A7060E">
      <w:pPr>
        <w:widowControl/>
        <w:jc w:val="left"/>
        <w:rPr>
          <w:rFonts w:asciiTheme="majorHAnsi" w:hAnsiTheme="majorHAnsi" w:cstheme="majorHAnsi"/>
          <w:sz w:val="22"/>
          <w:lang w:val="es-419"/>
        </w:rPr>
      </w:pPr>
    </w:p>
    <w:p w14:paraId="79D34C9A" w14:textId="734AD971" w:rsidR="00A7060E" w:rsidRPr="003A4B5D" w:rsidRDefault="00A7060E" w:rsidP="0066229C">
      <w:pPr>
        <w:pStyle w:val="Heading2"/>
        <w:rPr>
          <w:rFonts w:cstheme="majorHAnsi"/>
          <w:sz w:val="22"/>
          <w:szCs w:val="22"/>
          <w:u w:val="single"/>
          <w:lang w:val="es-419"/>
        </w:rPr>
      </w:pPr>
      <w:r w:rsidRPr="003A4B5D">
        <w:rPr>
          <w:rFonts w:cstheme="majorHAnsi"/>
          <w:color w:val="auto"/>
          <w:sz w:val="22"/>
          <w:szCs w:val="22"/>
          <w:u w:val="single"/>
          <w:lang w:val="es-419"/>
        </w:rPr>
        <w:t>Antecedentes</w:t>
      </w:r>
    </w:p>
    <w:p w14:paraId="7A209F21" w14:textId="134E9BD3" w:rsidR="00A7060E" w:rsidRPr="003A4B5D" w:rsidRDefault="009E197E" w:rsidP="0066229C">
      <w:pPr>
        <w:widowControl/>
        <w:spacing w:after="240"/>
        <w:jc w:val="left"/>
        <w:rPr>
          <w:rFonts w:asciiTheme="majorHAnsi" w:hAnsiTheme="majorHAnsi" w:cstheme="majorHAnsi"/>
          <w:sz w:val="22"/>
          <w:lang w:val="es-419"/>
        </w:rPr>
      </w:pPr>
      <w:r w:rsidRPr="003A4B5D">
        <w:rPr>
          <w:rFonts w:asciiTheme="majorHAnsi" w:hAnsiTheme="majorHAnsi" w:cstheme="majorHAnsi"/>
          <w:sz w:val="22"/>
          <w:lang w:val="es-419"/>
        </w:rPr>
        <w:t>En los últimos años se han generalizado las iniciativas a favor de los datos abiertos, en el sentido de que los organismos públicos ponen a disposición del público datos (entre otros, datos de boletines relacionados con la propiedad intelectual) en un formato legible por máquina para facilitar su uso secundario, y el sector privado utiliza los datos facilitados para la innovación y otras finalidades.</w:t>
      </w:r>
    </w:p>
    <w:p w14:paraId="3A2E9D7E" w14:textId="23746840" w:rsidR="00A7060E" w:rsidRPr="003A4B5D" w:rsidRDefault="009E197E" w:rsidP="0066229C">
      <w:pPr>
        <w:pStyle w:val="ListParagraph"/>
        <w:widowControl/>
        <w:spacing w:after="240"/>
        <w:ind w:leftChars="0" w:left="0"/>
        <w:jc w:val="left"/>
        <w:rPr>
          <w:rFonts w:asciiTheme="majorHAnsi" w:hAnsiTheme="majorHAnsi" w:cstheme="majorHAnsi"/>
          <w:sz w:val="22"/>
          <w:lang w:val="es-419"/>
        </w:rPr>
      </w:pPr>
      <w:r w:rsidRPr="003A4B5D">
        <w:rPr>
          <w:rFonts w:asciiTheme="majorHAnsi" w:hAnsiTheme="majorHAnsi" w:cstheme="majorHAnsi"/>
          <w:sz w:val="22"/>
          <w:lang w:val="es-419"/>
        </w:rPr>
        <w:t xml:space="preserve">Entre los países desarrollados, el Grupo de los Ocho (G8) acordó una </w:t>
      </w:r>
      <w:hyperlink r:id="rId11" w:history="1">
        <w:r w:rsidRPr="003A4B5D">
          <w:rPr>
            <w:rStyle w:val="Hyperlink"/>
            <w:rFonts w:asciiTheme="majorHAnsi" w:hAnsiTheme="majorHAnsi" w:cstheme="majorHAnsi"/>
            <w:color w:val="000000" w:themeColor="text1"/>
            <w:sz w:val="22"/>
            <w:lang w:val="es-419"/>
          </w:rPr>
          <w:t>Carta de Datos Abiertos</w:t>
        </w:r>
      </w:hyperlink>
      <w:r w:rsidRPr="003A4B5D">
        <w:rPr>
          <w:rFonts w:asciiTheme="majorHAnsi" w:hAnsiTheme="majorHAnsi" w:cstheme="majorHAnsi"/>
          <w:sz w:val="22"/>
          <w:lang w:val="es-419"/>
        </w:rPr>
        <w:t xml:space="preserve"> en su cumbre de 2013. También está en marcha la colaboración internacional entre países en desarrollo y desarrollados, con la iniciativa </w:t>
      </w:r>
      <w:hyperlink r:id="rId12" w:history="1">
        <w:r w:rsidRPr="003A4B5D">
          <w:rPr>
            <w:rStyle w:val="Hyperlink"/>
            <w:rFonts w:asciiTheme="majorHAnsi" w:hAnsiTheme="majorHAnsi" w:cstheme="majorHAnsi"/>
            <w:color w:val="000000" w:themeColor="text1"/>
            <w:sz w:val="22"/>
            <w:lang w:val="es-419"/>
          </w:rPr>
          <w:t>"Open Government Partnership"</w:t>
        </w:r>
      </w:hyperlink>
      <w:r w:rsidRPr="003A4B5D">
        <w:rPr>
          <w:rFonts w:asciiTheme="majorHAnsi" w:hAnsiTheme="majorHAnsi" w:cstheme="majorHAnsi"/>
          <w:sz w:val="22"/>
          <w:lang w:val="es-419"/>
        </w:rPr>
        <w:t>, en la que participan 75 países.</w:t>
      </w:r>
    </w:p>
    <w:p w14:paraId="295CB3D5" w14:textId="58AF4C03" w:rsidR="00A7060E" w:rsidRPr="003A4B5D" w:rsidRDefault="009E197E" w:rsidP="0066229C">
      <w:pPr>
        <w:widowControl/>
        <w:jc w:val="left"/>
        <w:rPr>
          <w:rFonts w:asciiTheme="majorHAnsi" w:hAnsiTheme="majorHAnsi" w:cstheme="majorHAnsi"/>
          <w:sz w:val="22"/>
          <w:lang w:val="es-419"/>
        </w:rPr>
      </w:pPr>
      <w:r w:rsidRPr="003A4B5D">
        <w:rPr>
          <w:rFonts w:asciiTheme="majorHAnsi" w:hAnsiTheme="majorHAnsi" w:cstheme="majorHAnsi"/>
          <w:sz w:val="22"/>
          <w:lang w:val="es-419"/>
        </w:rPr>
        <w:t>Si los Estados miembros de la OMPI pueden intercambiar datos de boletines de propiedad intelectual de forma ágil y eficaz, mejorará la calidad de los exámenes en las respectivas oficinas de propiedad intelectual (OPI) y se facilitará una investigación técnica más adecuada por parte de los usuarios de cada país, contribuyéndose así al fomento de la innovación.</w:t>
      </w:r>
    </w:p>
    <w:p w14:paraId="646BA9AD" w14:textId="77777777" w:rsidR="00A7060E" w:rsidRPr="003A4B5D" w:rsidRDefault="00A7060E" w:rsidP="00A7060E">
      <w:pPr>
        <w:widowControl/>
        <w:jc w:val="left"/>
        <w:rPr>
          <w:rFonts w:asciiTheme="majorHAnsi" w:hAnsiTheme="majorHAnsi" w:cstheme="majorHAnsi"/>
          <w:sz w:val="22"/>
          <w:lang w:val="es-419"/>
        </w:rPr>
      </w:pPr>
    </w:p>
    <w:p w14:paraId="11592DA3" w14:textId="437787CC" w:rsidR="00A7060E" w:rsidRPr="003A4B5D" w:rsidRDefault="00A7060E" w:rsidP="0066229C">
      <w:pPr>
        <w:pStyle w:val="Heading2"/>
        <w:rPr>
          <w:rFonts w:cstheme="majorHAnsi"/>
          <w:color w:val="auto"/>
          <w:sz w:val="22"/>
          <w:szCs w:val="22"/>
          <w:u w:val="single"/>
          <w:lang w:val="es-419"/>
        </w:rPr>
      </w:pPr>
      <w:r w:rsidRPr="003A4B5D">
        <w:rPr>
          <w:rFonts w:cstheme="majorHAnsi"/>
          <w:color w:val="auto"/>
          <w:sz w:val="22"/>
          <w:szCs w:val="22"/>
          <w:u w:val="single"/>
          <w:lang w:val="es-419"/>
        </w:rPr>
        <w:t>Problemas que deben abordarse</w:t>
      </w:r>
    </w:p>
    <w:p w14:paraId="25388D40" w14:textId="068B66FE" w:rsidR="00A7060E" w:rsidRPr="003A4B5D" w:rsidRDefault="009E197E" w:rsidP="0066229C">
      <w:pPr>
        <w:widowControl/>
        <w:spacing w:after="240"/>
        <w:jc w:val="left"/>
        <w:rPr>
          <w:rFonts w:asciiTheme="majorHAnsi" w:hAnsiTheme="majorHAnsi" w:cstheme="majorHAnsi"/>
          <w:sz w:val="22"/>
          <w:lang w:val="es-419"/>
        </w:rPr>
      </w:pPr>
      <w:r w:rsidRPr="003A4B5D">
        <w:rPr>
          <w:rFonts w:asciiTheme="majorHAnsi" w:hAnsiTheme="majorHAnsi" w:cstheme="majorHAnsi"/>
          <w:sz w:val="22"/>
          <w:lang w:val="es-419"/>
        </w:rPr>
        <w:t>En este contexto, y a los fines de intercambiar datos de boletines de PI u otra documentación pertinente, las OPI deben negociar entre sí varios aspectos, como las condiciones de uso de los datos, las plataformas que se utilizarán y el formato de los datos. Todo proceso de negociación suele requerir tiempo y recursos. Hay margen de mejora en lo referente a la eficacia del intercambio de datos.</w:t>
      </w:r>
    </w:p>
    <w:p w14:paraId="5B8865C2" w14:textId="246F30C9" w:rsidR="00967981" w:rsidRPr="003A4B5D" w:rsidRDefault="00F63021" w:rsidP="0066229C">
      <w:pPr>
        <w:widowControl/>
        <w:jc w:val="left"/>
        <w:rPr>
          <w:rFonts w:asciiTheme="majorHAnsi" w:hAnsiTheme="majorHAnsi" w:cstheme="majorHAnsi"/>
          <w:sz w:val="22"/>
          <w:lang w:val="es-419"/>
        </w:rPr>
      </w:pPr>
      <w:r w:rsidRPr="003A4B5D">
        <w:rPr>
          <w:rFonts w:asciiTheme="majorHAnsi" w:hAnsiTheme="majorHAnsi" w:cstheme="majorHAnsi"/>
          <w:sz w:val="22"/>
          <w:lang w:val="es-419"/>
        </w:rPr>
        <w:t>Todos los países pueden beneficiarse del intercambio de datos, aunque es posible que las OPI no coincidan en cuanto a las ventajas del intercambio de datos y la prioridad de compartir datos con otras OPI.</w:t>
      </w:r>
    </w:p>
    <w:p w14:paraId="6EDCBB4F" w14:textId="0A438A38" w:rsidR="00A7060E" w:rsidRPr="003A4B5D" w:rsidRDefault="00A7060E" w:rsidP="009E197E">
      <w:pPr>
        <w:widowControl/>
        <w:jc w:val="left"/>
        <w:rPr>
          <w:rFonts w:asciiTheme="majorHAnsi" w:hAnsiTheme="majorHAnsi" w:cstheme="majorHAnsi"/>
          <w:sz w:val="22"/>
          <w:lang w:val="es-419"/>
        </w:rPr>
      </w:pPr>
    </w:p>
    <w:p w14:paraId="250AA8FB" w14:textId="3A2CAF61" w:rsidR="00A7060E" w:rsidRPr="003A4B5D" w:rsidRDefault="00C41B70" w:rsidP="0066229C">
      <w:pPr>
        <w:pStyle w:val="Heading2"/>
        <w:rPr>
          <w:rFonts w:cstheme="majorHAnsi"/>
          <w:color w:val="auto"/>
          <w:sz w:val="22"/>
          <w:szCs w:val="22"/>
          <w:u w:val="single"/>
          <w:lang w:val="es-419"/>
        </w:rPr>
      </w:pPr>
      <w:r w:rsidRPr="003A4B5D">
        <w:rPr>
          <w:rFonts w:cstheme="majorHAnsi"/>
          <w:color w:val="auto"/>
          <w:sz w:val="22"/>
          <w:szCs w:val="22"/>
          <w:u w:val="single"/>
          <w:lang w:val="es-419"/>
        </w:rPr>
        <w:t>Objetivos de la propuesta</w:t>
      </w:r>
    </w:p>
    <w:p w14:paraId="1BDC21D5" w14:textId="5CEC2C82" w:rsidR="00A7060E" w:rsidRPr="003A4B5D" w:rsidRDefault="00D953E1" w:rsidP="0066229C">
      <w:pPr>
        <w:widowControl/>
        <w:jc w:val="left"/>
        <w:rPr>
          <w:rFonts w:asciiTheme="majorHAnsi" w:hAnsiTheme="majorHAnsi" w:cstheme="majorHAnsi"/>
          <w:sz w:val="22"/>
          <w:lang w:val="es-419"/>
        </w:rPr>
      </w:pPr>
      <w:r w:rsidRPr="003A4B5D">
        <w:rPr>
          <w:rFonts w:asciiTheme="majorHAnsi" w:hAnsiTheme="majorHAnsi" w:cstheme="majorHAnsi"/>
          <w:sz w:val="22"/>
          <w:lang w:val="es-419"/>
        </w:rPr>
        <w:t>Se propone crear una nueva tarea y el correspondiente equipo técnico en el marco del Comité de Normas Técnicas de la OMPI (CWS) para propiciar debates sobre los problemas expuestos anteriormente y la solución propuesta a continuación u otras soluciones para abordar los problemas</w:t>
      </w:r>
      <w:r w:rsidR="003A4B5D">
        <w:rPr>
          <w:rFonts w:asciiTheme="majorHAnsi" w:hAnsiTheme="majorHAnsi" w:cstheme="majorHAnsi"/>
          <w:sz w:val="22"/>
          <w:lang w:val="es-419"/>
        </w:rPr>
        <w:t xml:space="preserve">. </w:t>
      </w:r>
      <w:r w:rsidRPr="003A4B5D">
        <w:rPr>
          <w:rFonts w:asciiTheme="majorHAnsi" w:hAnsiTheme="majorHAnsi" w:cstheme="majorHAnsi"/>
          <w:sz w:val="22"/>
          <w:lang w:val="es-419"/>
        </w:rPr>
        <w:t>Esta propuesta tiene como objeto el intercambio de los datos de boletines acerca de:</w:t>
      </w:r>
    </w:p>
    <w:p w14:paraId="4395B052" w14:textId="4D53C3C7" w:rsidR="00A7060E" w:rsidRPr="003A4B5D" w:rsidRDefault="00A7060E" w:rsidP="00A7060E">
      <w:pPr>
        <w:pStyle w:val="ListParagraph"/>
        <w:widowControl/>
        <w:numPr>
          <w:ilvl w:val="0"/>
          <w:numId w:val="1"/>
        </w:numPr>
        <w:ind w:leftChars="0" w:left="1701"/>
        <w:jc w:val="left"/>
        <w:rPr>
          <w:rFonts w:asciiTheme="majorHAnsi" w:hAnsiTheme="majorHAnsi" w:cstheme="majorHAnsi"/>
          <w:sz w:val="22"/>
          <w:lang w:val="es-419"/>
        </w:rPr>
      </w:pPr>
      <w:r w:rsidRPr="003A4B5D">
        <w:rPr>
          <w:rFonts w:asciiTheme="majorHAnsi" w:hAnsiTheme="majorHAnsi" w:cstheme="majorHAnsi"/>
          <w:sz w:val="22"/>
          <w:lang w:val="es-419"/>
        </w:rPr>
        <w:t>patentes,</w:t>
      </w:r>
    </w:p>
    <w:p w14:paraId="10E76510" w14:textId="650396BB" w:rsidR="00A7060E" w:rsidRPr="003A4B5D" w:rsidRDefault="00A7060E" w:rsidP="00A7060E">
      <w:pPr>
        <w:pStyle w:val="ListParagraph"/>
        <w:widowControl/>
        <w:numPr>
          <w:ilvl w:val="0"/>
          <w:numId w:val="1"/>
        </w:numPr>
        <w:ind w:leftChars="0" w:left="1701"/>
        <w:jc w:val="left"/>
        <w:rPr>
          <w:rFonts w:asciiTheme="majorHAnsi" w:hAnsiTheme="majorHAnsi" w:cstheme="majorHAnsi"/>
          <w:sz w:val="22"/>
          <w:lang w:val="es-419"/>
        </w:rPr>
      </w:pPr>
      <w:r w:rsidRPr="003A4B5D">
        <w:rPr>
          <w:rFonts w:asciiTheme="majorHAnsi" w:hAnsiTheme="majorHAnsi" w:cstheme="majorHAnsi"/>
          <w:sz w:val="22"/>
          <w:lang w:val="es-419"/>
        </w:rPr>
        <w:t>diseños,</w:t>
      </w:r>
    </w:p>
    <w:p w14:paraId="181CC559" w14:textId="75203250" w:rsidR="00A7060E" w:rsidRPr="003A4B5D" w:rsidRDefault="00A7060E" w:rsidP="00A7060E">
      <w:pPr>
        <w:pStyle w:val="ListParagraph"/>
        <w:widowControl/>
        <w:numPr>
          <w:ilvl w:val="0"/>
          <w:numId w:val="1"/>
        </w:numPr>
        <w:ind w:leftChars="0" w:left="1701"/>
        <w:jc w:val="left"/>
        <w:rPr>
          <w:rFonts w:asciiTheme="majorHAnsi" w:hAnsiTheme="majorHAnsi" w:cstheme="majorHAnsi"/>
          <w:sz w:val="22"/>
          <w:lang w:val="es-419"/>
        </w:rPr>
      </w:pPr>
      <w:r w:rsidRPr="003A4B5D">
        <w:rPr>
          <w:rFonts w:asciiTheme="majorHAnsi" w:hAnsiTheme="majorHAnsi" w:cstheme="majorHAnsi"/>
          <w:sz w:val="22"/>
          <w:lang w:val="es-419"/>
        </w:rPr>
        <w:t>marcas, etcétera.</w:t>
      </w:r>
    </w:p>
    <w:p w14:paraId="02D8F162" w14:textId="77777777" w:rsidR="0066229C" w:rsidRPr="003A4B5D" w:rsidRDefault="0066229C" w:rsidP="00A7060E">
      <w:pPr>
        <w:widowControl/>
        <w:jc w:val="left"/>
        <w:rPr>
          <w:rFonts w:asciiTheme="majorHAnsi" w:hAnsiTheme="majorHAnsi" w:cstheme="majorHAnsi"/>
          <w:sz w:val="22"/>
          <w:lang w:val="es-419"/>
        </w:rPr>
      </w:pPr>
    </w:p>
    <w:p w14:paraId="76D6B630" w14:textId="4E373B63" w:rsidR="00A7060E" w:rsidRPr="003A4B5D" w:rsidRDefault="00D953E1" w:rsidP="0066229C">
      <w:pPr>
        <w:pStyle w:val="Heading2"/>
        <w:rPr>
          <w:rFonts w:cstheme="majorHAnsi"/>
          <w:color w:val="auto"/>
          <w:sz w:val="22"/>
          <w:szCs w:val="22"/>
          <w:u w:val="single"/>
          <w:lang w:val="es-419"/>
        </w:rPr>
      </w:pPr>
      <w:r w:rsidRPr="003A4B5D">
        <w:rPr>
          <w:rFonts w:cstheme="majorHAnsi"/>
          <w:color w:val="auto"/>
          <w:sz w:val="22"/>
          <w:szCs w:val="22"/>
          <w:u w:val="single"/>
          <w:lang w:val="es-419"/>
        </w:rPr>
        <w:lastRenderedPageBreak/>
        <w:t>Solución propuesta</w:t>
      </w:r>
    </w:p>
    <w:p w14:paraId="64EE9D07" w14:textId="116B2CE7" w:rsidR="008A50F9" w:rsidRPr="003A4B5D" w:rsidDel="00D953E1" w:rsidRDefault="009E197E" w:rsidP="0066229C">
      <w:pPr>
        <w:widowControl/>
        <w:spacing w:after="240"/>
        <w:jc w:val="left"/>
        <w:rPr>
          <w:rFonts w:asciiTheme="majorHAnsi" w:hAnsiTheme="majorHAnsi" w:cstheme="majorHAnsi"/>
          <w:sz w:val="22"/>
          <w:lang w:val="es-419"/>
        </w:rPr>
      </w:pPr>
      <w:r w:rsidRPr="003A4B5D">
        <w:rPr>
          <w:rFonts w:asciiTheme="majorHAnsi" w:hAnsiTheme="majorHAnsi" w:cstheme="majorHAnsi"/>
          <w:sz w:val="22"/>
          <w:lang w:val="es-419"/>
        </w:rPr>
        <w:t>Proponemos la elaboración de una nueva norma para crear un entorno en el que los Estados miembros puedan intercambiar datos, partiendo de un reconocimiento común del significado del intercambio de datos.</w:t>
      </w:r>
    </w:p>
    <w:p w14:paraId="703FEF64" w14:textId="3BED15D4" w:rsidR="00B50308" w:rsidRPr="003A4B5D" w:rsidRDefault="009E197E" w:rsidP="0066229C">
      <w:pPr>
        <w:widowControl/>
        <w:jc w:val="left"/>
        <w:rPr>
          <w:rFonts w:asciiTheme="majorHAnsi" w:hAnsiTheme="majorHAnsi" w:cstheme="majorHAnsi"/>
          <w:sz w:val="22"/>
          <w:lang w:val="es-419"/>
        </w:rPr>
      </w:pPr>
      <w:r w:rsidRPr="003A4B5D">
        <w:rPr>
          <w:rFonts w:asciiTheme="majorHAnsi" w:hAnsiTheme="majorHAnsi" w:cstheme="majorHAnsi"/>
          <w:sz w:val="22"/>
          <w:lang w:val="es-419"/>
        </w:rPr>
        <w:t>La norma podría incluir:</w:t>
      </w:r>
    </w:p>
    <w:p w14:paraId="7286136D" w14:textId="49BC9D4E" w:rsidR="00A7060E" w:rsidRPr="003A4B5D" w:rsidRDefault="002B7D41" w:rsidP="0066229C">
      <w:pPr>
        <w:pStyle w:val="ListParagraph"/>
        <w:widowControl/>
        <w:numPr>
          <w:ilvl w:val="0"/>
          <w:numId w:val="1"/>
        </w:numPr>
        <w:ind w:leftChars="0"/>
        <w:jc w:val="left"/>
        <w:rPr>
          <w:rFonts w:asciiTheme="majorHAnsi" w:hAnsiTheme="majorHAnsi" w:cstheme="majorHAnsi"/>
          <w:sz w:val="22"/>
          <w:lang w:val="es-419"/>
        </w:rPr>
      </w:pPr>
      <w:r w:rsidRPr="003A4B5D">
        <w:rPr>
          <w:rFonts w:asciiTheme="majorHAnsi" w:hAnsiTheme="majorHAnsi" w:cstheme="majorHAnsi"/>
          <w:sz w:val="22"/>
          <w:lang w:val="es-419"/>
        </w:rPr>
        <w:t>políticas de intercambio de datos;</w:t>
      </w:r>
    </w:p>
    <w:p w14:paraId="1CA43310" w14:textId="63EBA741" w:rsidR="00A7060E" w:rsidRPr="003A4B5D" w:rsidRDefault="002B7D41" w:rsidP="0066229C">
      <w:pPr>
        <w:pStyle w:val="ListParagraph"/>
        <w:widowControl/>
        <w:numPr>
          <w:ilvl w:val="0"/>
          <w:numId w:val="1"/>
        </w:numPr>
        <w:ind w:leftChars="0"/>
        <w:jc w:val="left"/>
        <w:rPr>
          <w:rFonts w:asciiTheme="majorHAnsi" w:hAnsiTheme="majorHAnsi" w:cstheme="majorHAnsi"/>
          <w:sz w:val="22"/>
          <w:lang w:val="es-419"/>
        </w:rPr>
      </w:pPr>
      <w:r w:rsidRPr="003A4B5D">
        <w:rPr>
          <w:rFonts w:asciiTheme="majorHAnsi" w:hAnsiTheme="majorHAnsi" w:cstheme="majorHAnsi"/>
          <w:sz w:val="22"/>
          <w:lang w:val="es-419"/>
        </w:rPr>
        <w:t>procedimientos (desde las solicitudes de intercambio de datos hasta la firma para las operaciones de intercambio propiamente dichas);</w:t>
      </w:r>
    </w:p>
    <w:p w14:paraId="6247A708" w14:textId="05115458" w:rsidR="00A7060E" w:rsidRPr="003A4B5D" w:rsidRDefault="004447BF" w:rsidP="0066229C">
      <w:pPr>
        <w:pStyle w:val="ListParagraph"/>
        <w:widowControl/>
        <w:numPr>
          <w:ilvl w:val="0"/>
          <w:numId w:val="1"/>
        </w:numPr>
        <w:ind w:leftChars="0"/>
        <w:jc w:val="left"/>
        <w:rPr>
          <w:rFonts w:asciiTheme="majorHAnsi" w:hAnsiTheme="majorHAnsi" w:cstheme="majorHAnsi"/>
          <w:sz w:val="22"/>
          <w:lang w:val="es-419"/>
        </w:rPr>
      </w:pPr>
      <w:r w:rsidRPr="003A4B5D">
        <w:rPr>
          <w:rFonts w:asciiTheme="majorHAnsi" w:hAnsiTheme="majorHAnsi" w:cstheme="majorHAnsi"/>
          <w:sz w:val="22"/>
          <w:lang w:val="es-419"/>
        </w:rPr>
        <w:t>a</w:t>
      </w:r>
      <w:r w:rsidR="00423BB4" w:rsidRPr="003A4B5D">
        <w:rPr>
          <w:rFonts w:asciiTheme="majorHAnsi" w:hAnsiTheme="majorHAnsi" w:cstheme="majorHAnsi"/>
          <w:sz w:val="22"/>
          <w:lang w:val="es-419"/>
        </w:rPr>
        <w:t>utorización de uso de datos;</w:t>
      </w:r>
    </w:p>
    <w:p w14:paraId="71DFBCEA" w14:textId="3F5A351E" w:rsidR="00A7060E" w:rsidRPr="003A4B5D" w:rsidRDefault="004447BF" w:rsidP="0066229C">
      <w:pPr>
        <w:pStyle w:val="ListParagraph"/>
        <w:widowControl/>
        <w:numPr>
          <w:ilvl w:val="0"/>
          <w:numId w:val="1"/>
        </w:numPr>
        <w:ind w:leftChars="0"/>
        <w:jc w:val="left"/>
        <w:rPr>
          <w:rFonts w:asciiTheme="majorHAnsi" w:hAnsiTheme="majorHAnsi" w:cstheme="majorHAnsi"/>
          <w:sz w:val="22"/>
          <w:lang w:val="es-419"/>
        </w:rPr>
      </w:pPr>
      <w:r w:rsidRPr="003A4B5D">
        <w:rPr>
          <w:rFonts w:asciiTheme="majorHAnsi" w:hAnsiTheme="majorHAnsi" w:cstheme="majorHAnsi"/>
          <w:sz w:val="22"/>
          <w:lang w:val="es-419"/>
        </w:rPr>
        <w:t>t</w:t>
      </w:r>
      <w:r w:rsidR="00423BB4" w:rsidRPr="003A4B5D">
        <w:rPr>
          <w:rFonts w:asciiTheme="majorHAnsi" w:hAnsiTheme="majorHAnsi" w:cstheme="majorHAnsi"/>
          <w:sz w:val="22"/>
          <w:lang w:val="es-419"/>
        </w:rPr>
        <w:t>ipos de datos que deben intercambiarse (por ejemplo, en el caso de boletines de patentes, datos bibliográficos, requisitos, reivindicaciones, especificaciones y/o dibujos);</w:t>
      </w:r>
    </w:p>
    <w:p w14:paraId="2F5F4323" w14:textId="650D7E3F" w:rsidR="00A7060E" w:rsidRPr="003A4B5D" w:rsidRDefault="004447BF" w:rsidP="0066229C">
      <w:pPr>
        <w:pStyle w:val="ListParagraph"/>
        <w:widowControl/>
        <w:numPr>
          <w:ilvl w:val="0"/>
          <w:numId w:val="1"/>
        </w:numPr>
        <w:ind w:leftChars="0"/>
        <w:jc w:val="left"/>
        <w:rPr>
          <w:rFonts w:asciiTheme="majorHAnsi" w:hAnsiTheme="majorHAnsi" w:cstheme="majorHAnsi"/>
          <w:sz w:val="22"/>
          <w:lang w:val="es-419"/>
        </w:rPr>
      </w:pPr>
      <w:r w:rsidRPr="003A4B5D">
        <w:rPr>
          <w:rFonts w:asciiTheme="majorHAnsi" w:hAnsiTheme="majorHAnsi" w:cstheme="majorHAnsi"/>
          <w:sz w:val="22"/>
          <w:lang w:val="es-419"/>
        </w:rPr>
        <w:t>f</w:t>
      </w:r>
      <w:r w:rsidR="00A7060E" w:rsidRPr="003A4B5D">
        <w:rPr>
          <w:rFonts w:asciiTheme="majorHAnsi" w:hAnsiTheme="majorHAnsi" w:cstheme="majorHAnsi"/>
          <w:sz w:val="22"/>
          <w:lang w:val="es-419"/>
        </w:rPr>
        <w:t>uente y calidad de los datos;</w:t>
      </w:r>
    </w:p>
    <w:p w14:paraId="749F5F5E" w14:textId="11431398" w:rsidR="00A7060E" w:rsidRPr="003A4B5D" w:rsidRDefault="004447BF" w:rsidP="0066229C">
      <w:pPr>
        <w:pStyle w:val="ListParagraph"/>
        <w:widowControl/>
        <w:numPr>
          <w:ilvl w:val="0"/>
          <w:numId w:val="1"/>
        </w:numPr>
        <w:ind w:leftChars="0"/>
        <w:jc w:val="left"/>
        <w:rPr>
          <w:rFonts w:asciiTheme="majorHAnsi" w:hAnsiTheme="majorHAnsi" w:cstheme="majorHAnsi"/>
          <w:sz w:val="22"/>
          <w:lang w:val="es-419"/>
        </w:rPr>
      </w:pPr>
      <w:r w:rsidRPr="003A4B5D">
        <w:rPr>
          <w:rFonts w:asciiTheme="majorHAnsi" w:hAnsiTheme="majorHAnsi" w:cstheme="majorHAnsi"/>
          <w:sz w:val="22"/>
          <w:lang w:val="es-419"/>
        </w:rPr>
        <w:t>s</w:t>
      </w:r>
      <w:r w:rsidR="00D15D4C" w:rsidRPr="003A4B5D">
        <w:rPr>
          <w:rFonts w:asciiTheme="majorHAnsi" w:hAnsiTheme="majorHAnsi" w:cstheme="majorHAnsi"/>
          <w:sz w:val="22"/>
          <w:lang w:val="es-419"/>
        </w:rPr>
        <w:t>istemas de intercambio de datos; y</w:t>
      </w:r>
    </w:p>
    <w:p w14:paraId="211A8832" w14:textId="7A2E22F7" w:rsidR="00A7060E" w:rsidRPr="003A4B5D" w:rsidRDefault="004447BF" w:rsidP="0066229C">
      <w:pPr>
        <w:pStyle w:val="ListParagraph"/>
        <w:widowControl/>
        <w:numPr>
          <w:ilvl w:val="0"/>
          <w:numId w:val="1"/>
        </w:numPr>
        <w:ind w:leftChars="0"/>
        <w:jc w:val="left"/>
        <w:rPr>
          <w:rFonts w:asciiTheme="majorHAnsi" w:hAnsiTheme="majorHAnsi" w:cstheme="majorHAnsi"/>
          <w:sz w:val="22"/>
          <w:lang w:val="es-419"/>
        </w:rPr>
      </w:pPr>
      <w:r w:rsidRPr="003A4B5D">
        <w:rPr>
          <w:rFonts w:asciiTheme="majorHAnsi" w:hAnsiTheme="majorHAnsi" w:cstheme="majorHAnsi"/>
          <w:sz w:val="22"/>
          <w:lang w:val="es-419"/>
        </w:rPr>
        <w:t>e</w:t>
      </w:r>
      <w:r w:rsidR="00A7060E" w:rsidRPr="003A4B5D">
        <w:rPr>
          <w:rFonts w:asciiTheme="majorHAnsi" w:hAnsiTheme="majorHAnsi" w:cstheme="majorHAnsi"/>
          <w:sz w:val="22"/>
          <w:lang w:val="es-419"/>
        </w:rPr>
        <w:t>structura y formato de los datos para el intercambio: formatos de datos como XML y JSON, y normas pertinentes de la OMPI como las normas ST.96 y ST.97).</w:t>
      </w:r>
    </w:p>
    <w:p w14:paraId="11E7A123" w14:textId="77777777" w:rsidR="00A7060E" w:rsidRPr="003A4B5D" w:rsidRDefault="00A7060E" w:rsidP="00A7060E">
      <w:pPr>
        <w:widowControl/>
        <w:jc w:val="left"/>
        <w:rPr>
          <w:rFonts w:asciiTheme="majorHAnsi" w:hAnsiTheme="majorHAnsi" w:cstheme="majorHAnsi"/>
          <w:sz w:val="22"/>
          <w:lang w:val="es-419"/>
        </w:rPr>
      </w:pPr>
    </w:p>
    <w:p w14:paraId="7E1D6D50" w14:textId="7B66EF2C" w:rsidR="00A7060E" w:rsidRPr="003A4B5D" w:rsidRDefault="00A7060E" w:rsidP="0066229C">
      <w:pPr>
        <w:pStyle w:val="Heading2"/>
        <w:rPr>
          <w:rFonts w:cstheme="majorHAnsi"/>
          <w:color w:val="auto"/>
          <w:sz w:val="22"/>
          <w:szCs w:val="22"/>
          <w:u w:val="single"/>
          <w:lang w:val="es-419"/>
        </w:rPr>
      </w:pPr>
      <w:r w:rsidRPr="003A4B5D">
        <w:rPr>
          <w:rFonts w:cstheme="majorHAnsi"/>
          <w:color w:val="auto"/>
          <w:sz w:val="22"/>
          <w:szCs w:val="22"/>
          <w:u w:val="single"/>
          <w:lang w:val="es-419"/>
        </w:rPr>
        <w:t>Beneficios previstos</w:t>
      </w:r>
    </w:p>
    <w:p w14:paraId="1DE2EEEF" w14:textId="20600854" w:rsidR="000A5580" w:rsidRPr="003A4B5D" w:rsidRDefault="009E197E" w:rsidP="0066229C">
      <w:pPr>
        <w:widowControl/>
        <w:jc w:val="left"/>
        <w:rPr>
          <w:rFonts w:asciiTheme="majorHAnsi" w:hAnsiTheme="majorHAnsi" w:cstheme="majorHAnsi"/>
          <w:sz w:val="22"/>
          <w:lang w:val="es-419"/>
        </w:rPr>
      </w:pPr>
      <w:r w:rsidRPr="003A4B5D">
        <w:rPr>
          <w:rFonts w:asciiTheme="majorHAnsi" w:hAnsiTheme="majorHAnsi" w:cstheme="majorHAnsi"/>
          <w:sz w:val="22"/>
          <w:lang w:val="es-419"/>
        </w:rPr>
        <w:t>Al difundir el valor de "contribuir a fomentar la innovación mundial mediante el suministro fluido de información sustancial sobre PI por parte de los Estados miembros" a través de la normalización, aceleraremos aún más las iniciativas de datos abiertos en el ámbito de la información sobre PI, promoveremos la transferencia de tecnología entre los Estados miembros, incluidos los países en desarrollo, y contribuiremos a resolver problemas mundiales.</w:t>
      </w:r>
    </w:p>
    <w:p w14:paraId="3BB6B028" w14:textId="77777777" w:rsidR="00A7060E" w:rsidRPr="003A4B5D" w:rsidRDefault="00A7060E" w:rsidP="00A7060E">
      <w:pPr>
        <w:widowControl/>
        <w:jc w:val="left"/>
        <w:rPr>
          <w:rFonts w:asciiTheme="majorHAnsi" w:hAnsiTheme="majorHAnsi" w:cstheme="majorHAnsi"/>
          <w:sz w:val="22"/>
          <w:lang w:val="es-419"/>
        </w:rPr>
      </w:pPr>
    </w:p>
    <w:p w14:paraId="193DB88F" w14:textId="6DDB769A" w:rsidR="001A4ED1" w:rsidRPr="003A4B5D" w:rsidRDefault="001A4ED1" w:rsidP="0066229C">
      <w:pPr>
        <w:pStyle w:val="Heading2"/>
        <w:rPr>
          <w:rFonts w:cstheme="majorHAnsi"/>
          <w:color w:val="auto"/>
          <w:sz w:val="22"/>
          <w:szCs w:val="22"/>
          <w:u w:val="single"/>
          <w:lang w:val="es-419"/>
        </w:rPr>
      </w:pPr>
      <w:r w:rsidRPr="003A4B5D">
        <w:rPr>
          <w:rFonts w:cstheme="majorHAnsi"/>
          <w:color w:val="auto"/>
          <w:sz w:val="22"/>
          <w:szCs w:val="22"/>
          <w:u w:val="single"/>
          <w:lang w:val="es-419"/>
        </w:rPr>
        <w:t xml:space="preserve">Estimación de costos </w:t>
      </w:r>
    </w:p>
    <w:p w14:paraId="6FDE10A6" w14:textId="0D2EAC4C" w:rsidR="001A4ED1" w:rsidRPr="003A4B5D" w:rsidRDefault="00856302" w:rsidP="0066229C">
      <w:pPr>
        <w:widowControl/>
        <w:jc w:val="left"/>
        <w:rPr>
          <w:rFonts w:asciiTheme="majorHAnsi" w:hAnsiTheme="majorHAnsi" w:cstheme="majorHAnsi"/>
          <w:sz w:val="22"/>
          <w:lang w:val="es-419"/>
        </w:rPr>
      </w:pPr>
      <w:r w:rsidRPr="003A4B5D">
        <w:rPr>
          <w:rFonts w:asciiTheme="majorHAnsi" w:hAnsiTheme="majorHAnsi" w:cstheme="majorHAnsi"/>
          <w:sz w:val="22"/>
          <w:lang w:val="es-419"/>
        </w:rPr>
        <w:t xml:space="preserve">No disponible en este momento. </w:t>
      </w:r>
    </w:p>
    <w:p w14:paraId="3531B42E" w14:textId="77777777" w:rsidR="001A4ED1" w:rsidRPr="003A4B5D" w:rsidRDefault="001A4ED1" w:rsidP="001A4ED1">
      <w:pPr>
        <w:widowControl/>
        <w:jc w:val="left"/>
        <w:rPr>
          <w:rFonts w:asciiTheme="majorHAnsi" w:hAnsiTheme="majorHAnsi" w:cstheme="majorHAnsi"/>
          <w:sz w:val="22"/>
          <w:lang w:val="es-419"/>
        </w:rPr>
      </w:pPr>
    </w:p>
    <w:p w14:paraId="31EEAF5E" w14:textId="4BAE495E" w:rsidR="001A4ED1" w:rsidRPr="003A4B5D" w:rsidRDefault="001A4ED1" w:rsidP="0066229C">
      <w:pPr>
        <w:pStyle w:val="Heading2"/>
        <w:rPr>
          <w:rFonts w:cstheme="majorHAnsi"/>
          <w:color w:val="auto"/>
          <w:sz w:val="22"/>
          <w:szCs w:val="22"/>
          <w:u w:val="single"/>
          <w:lang w:val="es-419"/>
        </w:rPr>
      </w:pPr>
      <w:r w:rsidRPr="003A4B5D">
        <w:rPr>
          <w:rFonts w:cstheme="majorHAnsi"/>
          <w:color w:val="auto"/>
          <w:sz w:val="22"/>
          <w:szCs w:val="22"/>
          <w:u w:val="single"/>
          <w:lang w:val="es-419"/>
        </w:rPr>
        <w:t xml:space="preserve">Recursos necesarios </w:t>
      </w:r>
    </w:p>
    <w:p w14:paraId="2CCA7FB1" w14:textId="0B10F439" w:rsidR="001A4ED1" w:rsidRPr="003A4B5D" w:rsidRDefault="001A4ED1" w:rsidP="0066229C">
      <w:pPr>
        <w:widowControl/>
        <w:jc w:val="left"/>
        <w:rPr>
          <w:rFonts w:asciiTheme="majorHAnsi" w:hAnsiTheme="majorHAnsi" w:cstheme="majorHAnsi"/>
          <w:sz w:val="22"/>
          <w:lang w:val="es-419"/>
        </w:rPr>
      </w:pPr>
      <w:r w:rsidRPr="003A4B5D">
        <w:rPr>
          <w:rFonts w:asciiTheme="majorHAnsi" w:hAnsiTheme="majorHAnsi" w:cstheme="majorHAnsi"/>
          <w:sz w:val="22"/>
          <w:lang w:val="es-419"/>
        </w:rPr>
        <w:t>Expertos en TI y expertos en datos de PI.</w:t>
      </w:r>
    </w:p>
    <w:p w14:paraId="6F917B45" w14:textId="77777777" w:rsidR="001A4ED1" w:rsidRPr="003A4B5D" w:rsidRDefault="001A4ED1" w:rsidP="001A4ED1">
      <w:pPr>
        <w:widowControl/>
        <w:jc w:val="left"/>
        <w:rPr>
          <w:rFonts w:asciiTheme="majorHAnsi" w:hAnsiTheme="majorHAnsi" w:cstheme="majorHAnsi"/>
          <w:sz w:val="22"/>
          <w:lang w:val="es-419"/>
        </w:rPr>
      </w:pPr>
    </w:p>
    <w:p w14:paraId="4EDA1690" w14:textId="0BEAE9F8" w:rsidR="001A4ED1" w:rsidRPr="003A4B5D" w:rsidRDefault="001A4ED1" w:rsidP="0066229C">
      <w:pPr>
        <w:pStyle w:val="Heading2"/>
        <w:rPr>
          <w:rFonts w:cstheme="majorHAnsi"/>
          <w:color w:val="auto"/>
          <w:sz w:val="22"/>
          <w:szCs w:val="22"/>
          <w:u w:val="single"/>
          <w:lang w:val="es-419"/>
        </w:rPr>
      </w:pPr>
      <w:r w:rsidRPr="003A4B5D">
        <w:rPr>
          <w:rFonts w:cstheme="majorHAnsi"/>
          <w:color w:val="auto"/>
          <w:sz w:val="22"/>
          <w:szCs w:val="22"/>
          <w:u w:val="single"/>
          <w:lang w:val="es-419"/>
        </w:rPr>
        <w:t>Riesgos</w:t>
      </w:r>
    </w:p>
    <w:p w14:paraId="1FA06197" w14:textId="1BC611BE" w:rsidR="001A4ED1" w:rsidRPr="003A4B5D" w:rsidRDefault="001A4ED1" w:rsidP="0066229C">
      <w:pPr>
        <w:widowControl/>
        <w:jc w:val="left"/>
        <w:rPr>
          <w:rFonts w:asciiTheme="majorHAnsi" w:hAnsiTheme="majorHAnsi" w:cstheme="majorHAnsi"/>
          <w:sz w:val="22"/>
          <w:lang w:val="es-419"/>
        </w:rPr>
      </w:pPr>
      <w:r w:rsidRPr="003A4B5D">
        <w:rPr>
          <w:rFonts w:asciiTheme="majorHAnsi" w:hAnsiTheme="majorHAnsi" w:cstheme="majorHAnsi"/>
          <w:sz w:val="22"/>
          <w:lang w:val="es-419"/>
        </w:rPr>
        <w:t>Actualmente no se prevén riesgos.</w:t>
      </w:r>
    </w:p>
    <w:p w14:paraId="66CC9813" w14:textId="77777777" w:rsidR="001A4ED1" w:rsidRPr="003A4B5D" w:rsidRDefault="001A4ED1" w:rsidP="001A4ED1">
      <w:pPr>
        <w:widowControl/>
        <w:jc w:val="left"/>
        <w:rPr>
          <w:rFonts w:asciiTheme="majorHAnsi" w:hAnsiTheme="majorHAnsi" w:cstheme="majorHAnsi"/>
          <w:sz w:val="22"/>
          <w:lang w:val="es-419"/>
        </w:rPr>
      </w:pPr>
    </w:p>
    <w:p w14:paraId="447F4E42" w14:textId="77777777" w:rsidR="00A323D2" w:rsidRPr="003A4B5D" w:rsidRDefault="00A323D2" w:rsidP="0080263F">
      <w:pPr>
        <w:widowControl/>
        <w:jc w:val="left"/>
        <w:rPr>
          <w:rFonts w:asciiTheme="majorHAnsi" w:hAnsiTheme="majorHAnsi" w:cstheme="majorHAnsi"/>
          <w:sz w:val="22"/>
          <w:lang w:val="es-419"/>
        </w:rPr>
      </w:pPr>
    </w:p>
    <w:sectPr w:rsidR="00A323D2" w:rsidRPr="003A4B5D" w:rsidSect="00A323D2">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84121" w14:textId="77777777" w:rsidR="00026D62" w:rsidRDefault="00026D62" w:rsidP="003C0825">
      <w:r>
        <w:separator/>
      </w:r>
    </w:p>
  </w:endnote>
  <w:endnote w:type="continuationSeparator" w:id="0">
    <w:p w14:paraId="72F1D90D" w14:textId="77777777" w:rsidR="00026D62" w:rsidRDefault="00026D62" w:rsidP="003C0825">
      <w:r>
        <w:continuationSeparator/>
      </w:r>
    </w:p>
  </w:endnote>
  <w:endnote w:type="continuationNotice" w:id="1">
    <w:p w14:paraId="5A1312BF" w14:textId="77777777" w:rsidR="00026D62" w:rsidRDefault="00026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255ED" w14:textId="77777777" w:rsidR="00D76DB9" w:rsidRDefault="00D76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132C1" w14:textId="77777777" w:rsidR="00D76DB9" w:rsidRDefault="00D76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5BC8" w14:textId="77777777" w:rsidR="00D76DB9" w:rsidRDefault="00D76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1A0CB" w14:textId="77777777" w:rsidR="00026D62" w:rsidRDefault="00026D62" w:rsidP="003C0825">
      <w:r>
        <w:separator/>
      </w:r>
    </w:p>
  </w:footnote>
  <w:footnote w:type="continuationSeparator" w:id="0">
    <w:p w14:paraId="5E6329A7" w14:textId="77777777" w:rsidR="00026D62" w:rsidRDefault="00026D62" w:rsidP="003C0825">
      <w:r>
        <w:continuationSeparator/>
      </w:r>
    </w:p>
  </w:footnote>
  <w:footnote w:type="continuationNotice" w:id="1">
    <w:p w14:paraId="7EECA1C6" w14:textId="77777777" w:rsidR="00026D62" w:rsidRDefault="00026D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8E42" w14:textId="77777777" w:rsidR="00D76DB9" w:rsidRDefault="00D76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CDD6" w14:textId="16235246" w:rsidR="0066229C" w:rsidRPr="003A4B5D" w:rsidRDefault="0066229C" w:rsidP="0066229C">
    <w:pPr>
      <w:pStyle w:val="Header"/>
      <w:jc w:val="right"/>
      <w:rPr>
        <w:rFonts w:asciiTheme="majorHAnsi" w:hAnsiTheme="majorHAnsi" w:cstheme="majorHAnsi"/>
        <w:sz w:val="22"/>
      </w:rPr>
    </w:pPr>
    <w:r w:rsidRPr="003A4B5D">
      <w:rPr>
        <w:rFonts w:asciiTheme="majorHAnsi" w:hAnsiTheme="majorHAnsi" w:cstheme="majorHAnsi"/>
        <w:sz w:val="22"/>
      </w:rPr>
      <w:t>CWS/11/16</w:t>
    </w:r>
  </w:p>
  <w:p w14:paraId="64180D69" w14:textId="1451D847" w:rsidR="0066229C" w:rsidRPr="003A4B5D" w:rsidRDefault="0066229C" w:rsidP="0066229C">
    <w:pPr>
      <w:pStyle w:val="Header"/>
      <w:jc w:val="right"/>
      <w:rPr>
        <w:rFonts w:asciiTheme="majorHAnsi" w:hAnsiTheme="majorHAnsi" w:cstheme="majorHAnsi"/>
        <w:sz w:val="22"/>
      </w:rPr>
    </w:pPr>
    <w:r w:rsidRPr="003A4B5D">
      <w:rPr>
        <w:rFonts w:asciiTheme="majorHAnsi" w:hAnsiTheme="majorHAnsi" w:cstheme="majorHAnsi"/>
        <w:sz w:val="22"/>
      </w:rPr>
      <w:t xml:space="preserve">Anexo, página </w:t>
    </w:r>
    <w:r w:rsidRPr="003A4B5D">
      <w:rPr>
        <w:rFonts w:asciiTheme="majorHAnsi" w:hAnsiTheme="majorHAnsi" w:cstheme="majorHAnsi"/>
        <w:sz w:val="22"/>
      </w:rPr>
      <w:fldChar w:fldCharType="begin"/>
    </w:r>
    <w:r w:rsidRPr="003A4B5D">
      <w:rPr>
        <w:rFonts w:asciiTheme="majorHAnsi" w:hAnsiTheme="majorHAnsi" w:cstheme="majorHAnsi"/>
        <w:sz w:val="22"/>
      </w:rPr>
      <w:instrText xml:space="preserve"> PAGE  \* Arabic  \* MERGEFORMAT </w:instrText>
    </w:r>
    <w:r w:rsidRPr="003A4B5D">
      <w:rPr>
        <w:rFonts w:asciiTheme="majorHAnsi" w:hAnsiTheme="majorHAnsi" w:cstheme="majorHAnsi"/>
        <w:sz w:val="22"/>
      </w:rPr>
      <w:fldChar w:fldCharType="separate"/>
    </w:r>
    <w:r w:rsidRPr="003A4B5D">
      <w:rPr>
        <w:rFonts w:asciiTheme="majorHAnsi" w:hAnsiTheme="majorHAnsi" w:cstheme="majorHAnsi"/>
        <w:sz w:val="22"/>
      </w:rPr>
      <w:t>2</w:t>
    </w:r>
    <w:r w:rsidRPr="003A4B5D">
      <w:rPr>
        <w:rFonts w:asciiTheme="majorHAnsi" w:hAnsiTheme="majorHAnsi" w:cstheme="majorHAnsi"/>
        <w:sz w:val="22"/>
      </w:rPr>
      <w:fldChar w:fldCharType="end"/>
    </w:r>
  </w:p>
  <w:p w14:paraId="1A15FDA0" w14:textId="77777777" w:rsidR="0066229C" w:rsidRPr="003A4B5D" w:rsidRDefault="0066229C">
    <w:pPr>
      <w:pStyle w:val="Header"/>
      <w:rPr>
        <w:rFonts w:asciiTheme="majorHAnsi" w:hAnsiTheme="majorHAnsi" w:cstheme="majorHAns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AA16A" w14:textId="779A79D9" w:rsidR="0066229C" w:rsidRDefault="0066229C" w:rsidP="0066229C">
    <w:pPr>
      <w:jc w:val="right"/>
      <w:rPr>
        <w:rFonts w:asciiTheme="majorHAnsi" w:hAnsiTheme="majorHAnsi" w:cstheme="majorHAnsi"/>
        <w:sz w:val="22"/>
      </w:rPr>
    </w:pPr>
    <w:r>
      <w:rPr>
        <w:rFonts w:asciiTheme="majorHAnsi" w:hAnsiTheme="majorHAnsi"/>
        <w:sz w:val="22"/>
      </w:rPr>
      <w:t>CWS/11/16</w:t>
    </w:r>
  </w:p>
  <w:p w14:paraId="7C416D98" w14:textId="0719169E" w:rsidR="0066229C" w:rsidRPr="0066229C" w:rsidRDefault="0036456A" w:rsidP="0066229C">
    <w:pPr>
      <w:jc w:val="right"/>
      <w:rPr>
        <w:rFonts w:asciiTheme="majorHAnsi" w:hAnsiTheme="majorHAnsi" w:cstheme="majorHAnsi"/>
        <w:sz w:val="22"/>
      </w:rPr>
    </w:pPr>
    <w:r>
      <w:rPr>
        <w:rFonts w:asciiTheme="majorHAnsi" w:hAnsiTheme="majorHAnsi"/>
        <w:sz w:val="22"/>
      </w:rPr>
      <w:t>ANEXO</w:t>
    </w:r>
  </w:p>
  <w:p w14:paraId="099C2176" w14:textId="45BC6377" w:rsidR="0066229C" w:rsidRDefault="0066229C" w:rsidP="0066229C">
    <w:pPr>
      <w:pStyle w:val="Header"/>
      <w:spacing w:line="14" w:lineRule="exact"/>
      <w:jc w:val="right"/>
    </w:pPr>
  </w:p>
  <w:p w14:paraId="67409D87" w14:textId="34E820F4" w:rsidR="0066229C" w:rsidRDefault="0066229C" w:rsidP="0066229C">
    <w:pPr>
      <w:pStyle w:val="Header"/>
      <w:spacing w:line="14" w:lineRule="exact"/>
      <w:jc w:val="right"/>
    </w:pPr>
  </w:p>
  <w:p w14:paraId="48451379" w14:textId="1D08D2D7" w:rsidR="0066229C" w:rsidRDefault="0066229C" w:rsidP="0066229C">
    <w:pPr>
      <w:pStyle w:val="Header"/>
      <w:spacing w:line="14" w:lineRule="exact"/>
      <w:jc w:val="right"/>
    </w:pPr>
  </w:p>
  <w:p w14:paraId="768D3953" w14:textId="22DD2056" w:rsidR="0066229C" w:rsidRDefault="0066229C" w:rsidP="0066229C">
    <w:pPr>
      <w:pStyle w:val="Header"/>
      <w:spacing w:line="14" w:lineRule="exact"/>
      <w:jc w:val="right"/>
    </w:pPr>
  </w:p>
  <w:p w14:paraId="182E4E66" w14:textId="438259A6" w:rsidR="0066229C" w:rsidRDefault="0066229C" w:rsidP="0066229C">
    <w:pPr>
      <w:pStyle w:val="Header"/>
      <w:spacing w:line="14" w:lineRule="exact"/>
      <w:jc w:val="right"/>
    </w:pPr>
  </w:p>
  <w:p w14:paraId="7AB610CA" w14:textId="35AF0D45" w:rsidR="0066229C" w:rsidRDefault="0066229C" w:rsidP="0066229C">
    <w:pPr>
      <w:pStyle w:val="Header"/>
      <w:spacing w:line="14" w:lineRule="exact"/>
      <w:jc w:val="right"/>
    </w:pPr>
  </w:p>
  <w:p w14:paraId="179CDB86" w14:textId="779E53C8" w:rsidR="0066229C" w:rsidRDefault="0066229C" w:rsidP="0066229C">
    <w:pPr>
      <w:pStyle w:val="Header"/>
      <w:spacing w:line="14" w:lineRule="exact"/>
      <w:jc w:val="right"/>
    </w:pPr>
  </w:p>
  <w:p w14:paraId="10011107" w14:textId="13F6E647" w:rsidR="0066229C" w:rsidRDefault="0066229C" w:rsidP="0066229C">
    <w:pPr>
      <w:pStyle w:val="Header"/>
      <w:spacing w:line="14" w:lineRule="exact"/>
      <w:jc w:val="right"/>
    </w:pPr>
  </w:p>
  <w:p w14:paraId="01ECF622" w14:textId="7AAB1CA3" w:rsidR="0066229C" w:rsidRDefault="0066229C" w:rsidP="0066229C">
    <w:pPr>
      <w:pStyle w:val="Header"/>
      <w:spacing w:line="14" w:lineRule="exact"/>
      <w:jc w:val="right"/>
    </w:pPr>
  </w:p>
  <w:p w14:paraId="11769274" w14:textId="0CDD32A7" w:rsidR="0066229C" w:rsidRDefault="0066229C" w:rsidP="0066229C">
    <w:pPr>
      <w:pStyle w:val="Header"/>
      <w:spacing w:line="14" w:lineRule="exact"/>
      <w:jc w:val="right"/>
    </w:pPr>
  </w:p>
  <w:p w14:paraId="1CECE139" w14:textId="46891628" w:rsidR="0066229C" w:rsidRDefault="0066229C" w:rsidP="0066229C">
    <w:pPr>
      <w:pStyle w:val="Header"/>
      <w:spacing w:line="14" w:lineRule="exact"/>
      <w:jc w:val="right"/>
    </w:pPr>
  </w:p>
  <w:p w14:paraId="1423DD31" w14:textId="3EE9606A" w:rsidR="0066229C" w:rsidRDefault="0066229C" w:rsidP="0066229C">
    <w:pPr>
      <w:pStyle w:val="Header"/>
      <w:spacing w:line="14" w:lineRule="exact"/>
      <w:jc w:val="right"/>
    </w:pPr>
  </w:p>
  <w:p w14:paraId="1A24A484" w14:textId="0AC825E9" w:rsidR="0066229C" w:rsidRDefault="0066229C" w:rsidP="0066229C">
    <w:pPr>
      <w:pStyle w:val="Header"/>
      <w:spacing w:line="14" w:lineRule="exact"/>
      <w:jc w:val="right"/>
    </w:pPr>
  </w:p>
  <w:p w14:paraId="3B6319D6" w14:textId="63E2F770" w:rsidR="0066229C" w:rsidRDefault="0066229C" w:rsidP="0066229C">
    <w:pPr>
      <w:pStyle w:val="Header"/>
      <w:spacing w:line="14" w:lineRule="exact"/>
      <w:jc w:val="right"/>
    </w:pPr>
  </w:p>
  <w:p w14:paraId="153B7595" w14:textId="251A8C34" w:rsidR="0066229C" w:rsidRDefault="0066229C" w:rsidP="0066229C">
    <w:pPr>
      <w:pStyle w:val="Header"/>
      <w:spacing w:line="14" w:lineRule="exact"/>
      <w:jc w:val="right"/>
    </w:pPr>
  </w:p>
  <w:p w14:paraId="06816DC7" w14:textId="77777777" w:rsidR="0066229C" w:rsidRPr="005B2C63" w:rsidRDefault="0066229C" w:rsidP="0066229C">
    <w:pPr>
      <w:pStyle w:val="Header"/>
      <w:spacing w:line="14" w:lineRule="exac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160FC"/>
    <w:multiLevelType w:val="hybridMultilevel"/>
    <w:tmpl w:val="0B7278D4"/>
    <w:lvl w:ilvl="0" w:tplc="8FA4ECFC">
      <w:start w:val="1"/>
      <w:numFmt w:val="lowerLetter"/>
      <w:lvlText w:val="(%1)"/>
      <w:lvlJc w:val="left"/>
      <w:pPr>
        <w:ind w:left="1287" w:hanging="480"/>
      </w:pPr>
      <w:rPr>
        <w:rFonts w:hint="default"/>
      </w:rPr>
    </w:lvl>
    <w:lvl w:ilvl="1" w:tplc="04090017" w:tentative="1">
      <w:start w:val="1"/>
      <w:numFmt w:val="aiueoFullWidth"/>
      <w:lvlText w:val="(%2)"/>
      <w:lvlJc w:val="left"/>
      <w:pPr>
        <w:ind w:left="1687" w:hanging="440"/>
      </w:pPr>
    </w:lvl>
    <w:lvl w:ilvl="2" w:tplc="04090011" w:tentative="1">
      <w:start w:val="1"/>
      <w:numFmt w:val="decimalEnclosedCircle"/>
      <w:lvlText w:val="%3"/>
      <w:lvlJc w:val="left"/>
      <w:pPr>
        <w:ind w:left="2127" w:hanging="440"/>
      </w:pPr>
    </w:lvl>
    <w:lvl w:ilvl="3" w:tplc="0409000F" w:tentative="1">
      <w:start w:val="1"/>
      <w:numFmt w:val="decimal"/>
      <w:lvlText w:val="%4."/>
      <w:lvlJc w:val="left"/>
      <w:pPr>
        <w:ind w:left="2567" w:hanging="440"/>
      </w:pPr>
    </w:lvl>
    <w:lvl w:ilvl="4" w:tplc="04090017" w:tentative="1">
      <w:start w:val="1"/>
      <w:numFmt w:val="aiueoFullWidth"/>
      <w:lvlText w:val="(%5)"/>
      <w:lvlJc w:val="left"/>
      <w:pPr>
        <w:ind w:left="3007" w:hanging="440"/>
      </w:pPr>
    </w:lvl>
    <w:lvl w:ilvl="5" w:tplc="04090011" w:tentative="1">
      <w:start w:val="1"/>
      <w:numFmt w:val="decimalEnclosedCircle"/>
      <w:lvlText w:val="%6"/>
      <w:lvlJc w:val="left"/>
      <w:pPr>
        <w:ind w:left="3447" w:hanging="440"/>
      </w:pPr>
    </w:lvl>
    <w:lvl w:ilvl="6" w:tplc="0409000F" w:tentative="1">
      <w:start w:val="1"/>
      <w:numFmt w:val="decimal"/>
      <w:lvlText w:val="%7."/>
      <w:lvlJc w:val="left"/>
      <w:pPr>
        <w:ind w:left="3887" w:hanging="440"/>
      </w:pPr>
    </w:lvl>
    <w:lvl w:ilvl="7" w:tplc="04090017" w:tentative="1">
      <w:start w:val="1"/>
      <w:numFmt w:val="aiueoFullWidth"/>
      <w:lvlText w:val="(%8)"/>
      <w:lvlJc w:val="left"/>
      <w:pPr>
        <w:ind w:left="4327" w:hanging="440"/>
      </w:pPr>
    </w:lvl>
    <w:lvl w:ilvl="8" w:tplc="04090011" w:tentative="1">
      <w:start w:val="1"/>
      <w:numFmt w:val="decimalEnclosedCircle"/>
      <w:lvlText w:val="%9"/>
      <w:lvlJc w:val="left"/>
      <w:pPr>
        <w:ind w:left="4767" w:hanging="440"/>
      </w:pPr>
    </w:lvl>
  </w:abstractNum>
  <w:abstractNum w:abstractNumId="1" w15:restartNumberingAfterBreak="0">
    <w:nsid w:val="2153332D"/>
    <w:multiLevelType w:val="hybridMultilevel"/>
    <w:tmpl w:val="91A02A42"/>
    <w:lvl w:ilvl="0" w:tplc="921CEA12">
      <w:start w:val="1"/>
      <w:numFmt w:val="lowerLetter"/>
      <w:lvlText w:val="(%1)"/>
      <w:lvlJc w:val="left"/>
      <w:pPr>
        <w:ind w:left="121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B50461A"/>
    <w:multiLevelType w:val="hybridMultilevel"/>
    <w:tmpl w:val="1F766516"/>
    <w:lvl w:ilvl="0" w:tplc="0409000F">
      <w:start w:val="1"/>
      <w:numFmt w:val="decimal"/>
      <w:lvlText w:val="%1."/>
      <w:lvlJc w:val="left"/>
      <w:pPr>
        <w:ind w:left="1290" w:hanging="440"/>
      </w:p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3" w15:restartNumberingAfterBreak="0">
    <w:nsid w:val="6AF7669B"/>
    <w:multiLevelType w:val="hybridMultilevel"/>
    <w:tmpl w:val="AF0E2EB4"/>
    <w:lvl w:ilvl="0" w:tplc="921CEA12">
      <w:start w:val="1"/>
      <w:numFmt w:val="lowerLetter"/>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4" w15:restartNumberingAfterBreak="0">
    <w:nsid w:val="7E0F5B69"/>
    <w:multiLevelType w:val="hybridMultilevel"/>
    <w:tmpl w:val="7E9495EE"/>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16cid:durableId="836843801">
    <w:abstractNumId w:val="4"/>
  </w:num>
  <w:num w:numId="2" w16cid:durableId="1113356871">
    <w:abstractNumId w:val="0"/>
  </w:num>
  <w:num w:numId="3" w16cid:durableId="2081321036">
    <w:abstractNumId w:val="2"/>
  </w:num>
  <w:num w:numId="4" w16cid:durableId="1326664997">
    <w:abstractNumId w:val="3"/>
  </w:num>
  <w:num w:numId="5" w16cid:durableId="1839075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0E"/>
    <w:rsid w:val="00026D62"/>
    <w:rsid w:val="00047D07"/>
    <w:rsid w:val="000714D7"/>
    <w:rsid w:val="000800FA"/>
    <w:rsid w:val="000A5580"/>
    <w:rsid w:val="000B2D5F"/>
    <w:rsid w:val="000C6D1B"/>
    <w:rsid w:val="000E4BEF"/>
    <w:rsid w:val="000F6CA5"/>
    <w:rsid w:val="00110596"/>
    <w:rsid w:val="00113698"/>
    <w:rsid w:val="00117FBB"/>
    <w:rsid w:val="00120AD4"/>
    <w:rsid w:val="0012704F"/>
    <w:rsid w:val="001270B0"/>
    <w:rsid w:val="001343DE"/>
    <w:rsid w:val="001349A9"/>
    <w:rsid w:val="001476B4"/>
    <w:rsid w:val="001850BE"/>
    <w:rsid w:val="001950D4"/>
    <w:rsid w:val="001A4ED1"/>
    <w:rsid w:val="001A6E71"/>
    <w:rsid w:val="001F229C"/>
    <w:rsid w:val="00203281"/>
    <w:rsid w:val="002074FE"/>
    <w:rsid w:val="00234E6F"/>
    <w:rsid w:val="00257ECD"/>
    <w:rsid w:val="002626AA"/>
    <w:rsid w:val="002773B1"/>
    <w:rsid w:val="002B3920"/>
    <w:rsid w:val="002B7D41"/>
    <w:rsid w:val="002C7C55"/>
    <w:rsid w:val="002E6F42"/>
    <w:rsid w:val="002F2744"/>
    <w:rsid w:val="00300736"/>
    <w:rsid w:val="00306230"/>
    <w:rsid w:val="003111E6"/>
    <w:rsid w:val="003273C3"/>
    <w:rsid w:val="00327709"/>
    <w:rsid w:val="00342DA1"/>
    <w:rsid w:val="00351D86"/>
    <w:rsid w:val="00351EDE"/>
    <w:rsid w:val="00363364"/>
    <w:rsid w:val="0036456A"/>
    <w:rsid w:val="00374BA6"/>
    <w:rsid w:val="00380AFB"/>
    <w:rsid w:val="00381329"/>
    <w:rsid w:val="00394A96"/>
    <w:rsid w:val="00396B9A"/>
    <w:rsid w:val="003A4B5D"/>
    <w:rsid w:val="003C0825"/>
    <w:rsid w:val="00415E57"/>
    <w:rsid w:val="00423133"/>
    <w:rsid w:val="00423B78"/>
    <w:rsid w:val="00423BB4"/>
    <w:rsid w:val="004447BF"/>
    <w:rsid w:val="0046326C"/>
    <w:rsid w:val="00482008"/>
    <w:rsid w:val="004826E5"/>
    <w:rsid w:val="0049010A"/>
    <w:rsid w:val="004B463C"/>
    <w:rsid w:val="004C0D00"/>
    <w:rsid w:val="004D5356"/>
    <w:rsid w:val="004E033B"/>
    <w:rsid w:val="004F3C24"/>
    <w:rsid w:val="005046AF"/>
    <w:rsid w:val="00505C1D"/>
    <w:rsid w:val="00533ECD"/>
    <w:rsid w:val="00543975"/>
    <w:rsid w:val="00553909"/>
    <w:rsid w:val="00553CC8"/>
    <w:rsid w:val="00561798"/>
    <w:rsid w:val="00563B67"/>
    <w:rsid w:val="00564DE9"/>
    <w:rsid w:val="00565140"/>
    <w:rsid w:val="00574E90"/>
    <w:rsid w:val="00582C84"/>
    <w:rsid w:val="005A32AD"/>
    <w:rsid w:val="005A70DB"/>
    <w:rsid w:val="005B01C4"/>
    <w:rsid w:val="005B2C63"/>
    <w:rsid w:val="005C5442"/>
    <w:rsid w:val="005D124A"/>
    <w:rsid w:val="005D4B4F"/>
    <w:rsid w:val="005F36F2"/>
    <w:rsid w:val="00624EA1"/>
    <w:rsid w:val="00646BD7"/>
    <w:rsid w:val="0066229C"/>
    <w:rsid w:val="006B3104"/>
    <w:rsid w:val="006B50B7"/>
    <w:rsid w:val="006D7F6D"/>
    <w:rsid w:val="00704A61"/>
    <w:rsid w:val="00712B71"/>
    <w:rsid w:val="0071550C"/>
    <w:rsid w:val="00724294"/>
    <w:rsid w:val="00725204"/>
    <w:rsid w:val="0072755A"/>
    <w:rsid w:val="007327FE"/>
    <w:rsid w:val="00744333"/>
    <w:rsid w:val="00772035"/>
    <w:rsid w:val="00793664"/>
    <w:rsid w:val="007A7F73"/>
    <w:rsid w:val="007B05C5"/>
    <w:rsid w:val="007C5893"/>
    <w:rsid w:val="0080263F"/>
    <w:rsid w:val="00807318"/>
    <w:rsid w:val="00807B5E"/>
    <w:rsid w:val="00823E1A"/>
    <w:rsid w:val="008248C2"/>
    <w:rsid w:val="00824DCD"/>
    <w:rsid w:val="008351E7"/>
    <w:rsid w:val="00854164"/>
    <w:rsid w:val="00856302"/>
    <w:rsid w:val="008651E8"/>
    <w:rsid w:val="008A0756"/>
    <w:rsid w:val="008A50F9"/>
    <w:rsid w:val="008B6018"/>
    <w:rsid w:val="008B753D"/>
    <w:rsid w:val="008C73D1"/>
    <w:rsid w:val="008C749B"/>
    <w:rsid w:val="008C78C9"/>
    <w:rsid w:val="008F1731"/>
    <w:rsid w:val="008F3AC7"/>
    <w:rsid w:val="00933F69"/>
    <w:rsid w:val="00967981"/>
    <w:rsid w:val="009727FB"/>
    <w:rsid w:val="00981B64"/>
    <w:rsid w:val="009E197E"/>
    <w:rsid w:val="009F084A"/>
    <w:rsid w:val="009F1401"/>
    <w:rsid w:val="009F48A5"/>
    <w:rsid w:val="009F4FD3"/>
    <w:rsid w:val="00A10268"/>
    <w:rsid w:val="00A2319E"/>
    <w:rsid w:val="00A32151"/>
    <w:rsid w:val="00A323D2"/>
    <w:rsid w:val="00A7060E"/>
    <w:rsid w:val="00A87C52"/>
    <w:rsid w:val="00AB0A6D"/>
    <w:rsid w:val="00AB4FCA"/>
    <w:rsid w:val="00AF45DE"/>
    <w:rsid w:val="00B00B81"/>
    <w:rsid w:val="00B16919"/>
    <w:rsid w:val="00B367EC"/>
    <w:rsid w:val="00B445D7"/>
    <w:rsid w:val="00B50308"/>
    <w:rsid w:val="00B72BA0"/>
    <w:rsid w:val="00B95C6C"/>
    <w:rsid w:val="00BB08AD"/>
    <w:rsid w:val="00BE19D2"/>
    <w:rsid w:val="00BE2EF5"/>
    <w:rsid w:val="00C030AE"/>
    <w:rsid w:val="00C11B59"/>
    <w:rsid w:val="00C260B1"/>
    <w:rsid w:val="00C36648"/>
    <w:rsid w:val="00C36AE3"/>
    <w:rsid w:val="00C41B70"/>
    <w:rsid w:val="00C431C0"/>
    <w:rsid w:val="00C55DC3"/>
    <w:rsid w:val="00C9072D"/>
    <w:rsid w:val="00C9116A"/>
    <w:rsid w:val="00C921D2"/>
    <w:rsid w:val="00CB7D47"/>
    <w:rsid w:val="00CC642C"/>
    <w:rsid w:val="00CD0E11"/>
    <w:rsid w:val="00CE6391"/>
    <w:rsid w:val="00D0378D"/>
    <w:rsid w:val="00D15D4C"/>
    <w:rsid w:val="00D23146"/>
    <w:rsid w:val="00D335A9"/>
    <w:rsid w:val="00D56EED"/>
    <w:rsid w:val="00D613E7"/>
    <w:rsid w:val="00D675FF"/>
    <w:rsid w:val="00D76DB9"/>
    <w:rsid w:val="00D83950"/>
    <w:rsid w:val="00D953E1"/>
    <w:rsid w:val="00D97A3E"/>
    <w:rsid w:val="00DB1A89"/>
    <w:rsid w:val="00DC69D8"/>
    <w:rsid w:val="00DD726F"/>
    <w:rsid w:val="00DF70A4"/>
    <w:rsid w:val="00E12D42"/>
    <w:rsid w:val="00E259AE"/>
    <w:rsid w:val="00E30B32"/>
    <w:rsid w:val="00E36A14"/>
    <w:rsid w:val="00E5409C"/>
    <w:rsid w:val="00E849EC"/>
    <w:rsid w:val="00E97491"/>
    <w:rsid w:val="00EA2AEB"/>
    <w:rsid w:val="00EC2CBD"/>
    <w:rsid w:val="00EC763D"/>
    <w:rsid w:val="00EE2315"/>
    <w:rsid w:val="00EF750F"/>
    <w:rsid w:val="00F00B3B"/>
    <w:rsid w:val="00F1031C"/>
    <w:rsid w:val="00F36A47"/>
    <w:rsid w:val="00F57A2D"/>
    <w:rsid w:val="00F63021"/>
    <w:rsid w:val="00F84AA4"/>
    <w:rsid w:val="00FC1CC8"/>
    <w:rsid w:val="00FF146F"/>
    <w:rsid w:val="00FF2A90"/>
    <w:rsid w:val="00FF5B77"/>
    <w:rsid w:val="06856BEE"/>
    <w:rsid w:val="16531556"/>
    <w:rsid w:val="19FF10C7"/>
    <w:rsid w:val="277F0F93"/>
    <w:rsid w:val="2A91CC31"/>
    <w:rsid w:val="2AB6B055"/>
    <w:rsid w:val="2BDFED8B"/>
    <w:rsid w:val="3B370DDB"/>
    <w:rsid w:val="4BBF1100"/>
    <w:rsid w:val="5467D67A"/>
    <w:rsid w:val="55CD42E0"/>
    <w:rsid w:val="56DBCA8D"/>
    <w:rsid w:val="5B5A2B95"/>
    <w:rsid w:val="5F035BFE"/>
    <w:rsid w:val="61C0C1F9"/>
    <w:rsid w:val="65AD25B7"/>
    <w:rsid w:val="6EC1736A"/>
    <w:rsid w:val="7B2D8D3B"/>
    <w:rsid w:val="7E1ADA39"/>
    <w:rsid w:val="7FE04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E9927B"/>
  <w15:chartTrackingRefBased/>
  <w15:docId w15:val="{6741065F-7274-4D4D-A783-4BF67731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6622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6229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825"/>
    <w:pPr>
      <w:tabs>
        <w:tab w:val="center" w:pos="4252"/>
        <w:tab w:val="right" w:pos="8504"/>
      </w:tabs>
      <w:snapToGrid w:val="0"/>
    </w:pPr>
  </w:style>
  <w:style w:type="character" w:customStyle="1" w:styleId="HeaderChar">
    <w:name w:val="Header Char"/>
    <w:basedOn w:val="DefaultParagraphFont"/>
    <w:link w:val="Header"/>
    <w:uiPriority w:val="99"/>
    <w:rsid w:val="003C0825"/>
  </w:style>
  <w:style w:type="paragraph" w:styleId="Footer">
    <w:name w:val="footer"/>
    <w:basedOn w:val="Normal"/>
    <w:link w:val="FooterChar"/>
    <w:uiPriority w:val="99"/>
    <w:unhideWhenUsed/>
    <w:rsid w:val="003C0825"/>
    <w:pPr>
      <w:tabs>
        <w:tab w:val="center" w:pos="4252"/>
        <w:tab w:val="right" w:pos="8504"/>
      </w:tabs>
      <w:snapToGrid w:val="0"/>
    </w:pPr>
  </w:style>
  <w:style w:type="character" w:customStyle="1" w:styleId="FooterChar">
    <w:name w:val="Footer Char"/>
    <w:basedOn w:val="DefaultParagraphFont"/>
    <w:link w:val="Footer"/>
    <w:uiPriority w:val="99"/>
    <w:rsid w:val="003C0825"/>
  </w:style>
  <w:style w:type="character" w:styleId="PlaceholderText">
    <w:name w:val="Placeholder Text"/>
    <w:basedOn w:val="DefaultParagraphFont"/>
    <w:uiPriority w:val="99"/>
    <w:semiHidden/>
    <w:rsid w:val="00C9072D"/>
    <w:rPr>
      <w:color w:val="808080"/>
    </w:rPr>
  </w:style>
  <w:style w:type="paragraph" w:styleId="BalloonText">
    <w:name w:val="Balloon Text"/>
    <w:basedOn w:val="Normal"/>
    <w:link w:val="BalloonTextChar"/>
    <w:uiPriority w:val="99"/>
    <w:semiHidden/>
    <w:unhideWhenUsed/>
    <w:rsid w:val="00C9072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9072D"/>
    <w:rPr>
      <w:rFonts w:asciiTheme="majorHAnsi" w:eastAsiaTheme="majorEastAsia" w:hAnsiTheme="majorHAnsi" w:cstheme="majorBidi"/>
      <w:sz w:val="18"/>
      <w:szCs w:val="18"/>
    </w:rPr>
  </w:style>
  <w:style w:type="table" w:styleId="TableGrid">
    <w:name w:val="Table Grid"/>
    <w:basedOn w:val="TableNormal"/>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11E6"/>
    <w:pPr>
      <w:widowControl/>
      <w:spacing w:before="100" w:beforeAutospacing="1" w:after="100" w:afterAutospacing="1"/>
      <w:jc w:val="left"/>
    </w:pPr>
    <w:rPr>
      <w:rFonts w:ascii="MS PGothic" w:eastAsia="MS PGothic" w:hAnsi="MS PGothic" w:cs="MS PGothic"/>
      <w:kern w:val="0"/>
      <w:sz w:val="24"/>
      <w:szCs w:val="24"/>
    </w:rPr>
  </w:style>
  <w:style w:type="character" w:customStyle="1" w:styleId="articletitle">
    <w:name w:val="articletitle"/>
    <w:basedOn w:val="DefaultParagraphFont"/>
    <w:rsid w:val="002773B1"/>
  </w:style>
  <w:style w:type="character" w:customStyle="1" w:styleId="itemtitle">
    <w:name w:val="itemtitle"/>
    <w:basedOn w:val="DefaultParagraphFont"/>
    <w:rsid w:val="002773B1"/>
  </w:style>
  <w:style w:type="character" w:styleId="Hyperlink">
    <w:name w:val="Hyperlink"/>
    <w:basedOn w:val="DefaultParagraphFont"/>
    <w:uiPriority w:val="99"/>
    <w:unhideWhenUsed/>
    <w:rsid w:val="002773B1"/>
    <w:rPr>
      <w:color w:val="0000FF"/>
      <w:u w:val="single"/>
    </w:rPr>
  </w:style>
  <w:style w:type="character" w:styleId="FollowedHyperlink">
    <w:name w:val="FollowedHyperlink"/>
    <w:basedOn w:val="DefaultParagraphFont"/>
    <w:uiPriority w:val="99"/>
    <w:semiHidden/>
    <w:unhideWhenUsed/>
    <w:rsid w:val="008248C2"/>
    <w:rPr>
      <w:color w:val="800080" w:themeColor="followedHyperlink"/>
      <w:u w:val="single"/>
    </w:rPr>
  </w:style>
  <w:style w:type="paragraph" w:styleId="ListParagraph">
    <w:name w:val="List Paragraph"/>
    <w:basedOn w:val="Normal"/>
    <w:uiPriority w:val="34"/>
    <w:qFormat/>
    <w:rsid w:val="00A7060E"/>
    <w:pPr>
      <w:ind w:leftChars="400" w:left="840"/>
    </w:pPr>
  </w:style>
  <w:style w:type="character" w:styleId="CommentReference">
    <w:name w:val="annotation reference"/>
    <w:basedOn w:val="DefaultParagraphFont"/>
    <w:uiPriority w:val="99"/>
    <w:semiHidden/>
    <w:unhideWhenUsed/>
    <w:rsid w:val="00A7060E"/>
    <w:rPr>
      <w:sz w:val="18"/>
      <w:szCs w:val="18"/>
    </w:rPr>
  </w:style>
  <w:style w:type="paragraph" w:styleId="CommentText">
    <w:name w:val="annotation text"/>
    <w:basedOn w:val="Normal"/>
    <w:link w:val="CommentTextChar"/>
    <w:uiPriority w:val="99"/>
    <w:unhideWhenUsed/>
    <w:rsid w:val="00A7060E"/>
    <w:pPr>
      <w:jc w:val="left"/>
    </w:pPr>
  </w:style>
  <w:style w:type="character" w:customStyle="1" w:styleId="CommentTextChar">
    <w:name w:val="Comment Text Char"/>
    <w:basedOn w:val="DefaultParagraphFont"/>
    <w:link w:val="CommentText"/>
    <w:uiPriority w:val="99"/>
    <w:rsid w:val="00A7060E"/>
  </w:style>
  <w:style w:type="paragraph" w:styleId="EndnoteText">
    <w:name w:val="endnote text"/>
    <w:basedOn w:val="Normal"/>
    <w:link w:val="EndnoteTextChar"/>
    <w:uiPriority w:val="99"/>
    <w:semiHidden/>
    <w:unhideWhenUsed/>
    <w:rsid w:val="00772035"/>
    <w:pPr>
      <w:snapToGrid w:val="0"/>
      <w:jc w:val="left"/>
    </w:pPr>
  </w:style>
  <w:style w:type="character" w:customStyle="1" w:styleId="EndnoteTextChar">
    <w:name w:val="Endnote Text Char"/>
    <w:basedOn w:val="DefaultParagraphFont"/>
    <w:link w:val="EndnoteText"/>
    <w:uiPriority w:val="99"/>
    <w:semiHidden/>
    <w:rsid w:val="00772035"/>
  </w:style>
  <w:style w:type="character" w:styleId="EndnoteReference">
    <w:name w:val="endnote reference"/>
    <w:basedOn w:val="DefaultParagraphFont"/>
    <w:uiPriority w:val="99"/>
    <w:semiHidden/>
    <w:unhideWhenUsed/>
    <w:rsid w:val="00772035"/>
    <w:rPr>
      <w:vertAlign w:val="superscript"/>
    </w:rPr>
  </w:style>
  <w:style w:type="paragraph" w:styleId="Revision">
    <w:name w:val="Revision"/>
    <w:hidden/>
    <w:uiPriority w:val="99"/>
    <w:semiHidden/>
    <w:rsid w:val="00BE2EF5"/>
  </w:style>
  <w:style w:type="paragraph" w:styleId="CommentSubject">
    <w:name w:val="annotation subject"/>
    <w:basedOn w:val="CommentText"/>
    <w:next w:val="CommentText"/>
    <w:link w:val="CommentSubjectChar"/>
    <w:uiPriority w:val="99"/>
    <w:semiHidden/>
    <w:unhideWhenUsed/>
    <w:rsid w:val="00351D86"/>
    <w:rPr>
      <w:b/>
      <w:bCs/>
    </w:rPr>
  </w:style>
  <w:style w:type="character" w:customStyle="1" w:styleId="CommentSubjectChar">
    <w:name w:val="Comment Subject Char"/>
    <w:basedOn w:val="CommentTextChar"/>
    <w:link w:val="CommentSubject"/>
    <w:uiPriority w:val="99"/>
    <w:semiHidden/>
    <w:rsid w:val="00351D86"/>
    <w:rPr>
      <w:b/>
      <w:bCs/>
    </w:rPr>
  </w:style>
  <w:style w:type="character" w:styleId="UnresolvedMention">
    <w:name w:val="Unresolved Mention"/>
    <w:basedOn w:val="DefaultParagraphFont"/>
    <w:uiPriority w:val="99"/>
    <w:semiHidden/>
    <w:unhideWhenUsed/>
    <w:rsid w:val="00793664"/>
    <w:rPr>
      <w:color w:val="605E5C"/>
      <w:shd w:val="clear" w:color="auto" w:fill="E1DFDD"/>
    </w:rPr>
  </w:style>
  <w:style w:type="character" w:customStyle="1" w:styleId="Heading1Char">
    <w:name w:val="Heading 1 Char"/>
    <w:basedOn w:val="DefaultParagraphFont"/>
    <w:link w:val="Heading1"/>
    <w:uiPriority w:val="9"/>
    <w:rsid w:val="0066229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6229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engovpartnership.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open-data-charter/g8-open-data-charter-and-technical-anne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D5C390D2EB95945B9FCE27185A9C26E" ma:contentTypeVersion="5" ma:contentTypeDescription="新しいドキュメントを作成します。" ma:contentTypeScope="" ma:versionID="dca580aa716929869e5d022635cbb30a">
  <xsd:schema xmlns:xsd="http://www.w3.org/2001/XMLSchema" xmlns:xs="http://www.w3.org/2001/XMLSchema" xmlns:p="http://schemas.microsoft.com/office/2006/metadata/properties" xmlns:ns3="0af3e129-4550-44c0-9a9a-1f8bcd6d4dd0" xmlns:ns4="184ea148-202f-40ac-9133-fb520e0d47dd" targetNamespace="http://schemas.microsoft.com/office/2006/metadata/properties" ma:root="true" ma:fieldsID="eb002e265ed4e19596cd16fe656abced" ns3:_="" ns4:_="">
    <xsd:import namespace="0af3e129-4550-44c0-9a9a-1f8bcd6d4dd0"/>
    <xsd:import namespace="184ea148-202f-40ac-9133-fb520e0d47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3e129-4550-44c0-9a9a-1f8bcd6d4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ea148-202f-40ac-9133-fb520e0d47d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2.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3.xml><?xml version="1.0" encoding="utf-8"?>
<ds:datastoreItem xmlns:ds="http://schemas.openxmlformats.org/officeDocument/2006/customXml" ds:itemID="{40661A11-0EF6-4AC9-B86A-2E16BC74FD27}">
  <ds:schemaRefs>
    <ds:schemaRef ds:uri="http://purl.org/dc/elements/1.1/"/>
    <ds:schemaRef ds:uri="184ea148-202f-40ac-9133-fb520e0d47dd"/>
    <ds:schemaRef ds:uri="http://purl.org/dc/term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0af3e129-4550-44c0-9a9a-1f8bcd6d4dd0"/>
    <ds:schemaRef ds:uri="http://purl.org/dc/dcmitype/"/>
  </ds:schemaRefs>
</ds:datastoreItem>
</file>

<file path=customXml/itemProps4.xml><?xml version="1.0" encoding="utf-8"?>
<ds:datastoreItem xmlns:ds="http://schemas.openxmlformats.org/officeDocument/2006/customXml" ds:itemID="{493D0F03-E569-4606-8A97-AD5CB26B8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3e129-4550-44c0-9a9a-1f8bcd6d4dd0"/>
    <ds:schemaRef ds:uri="184ea148-202f-40ac-9133-fb520e0d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dc:creator>
  <cp:keywords/>
  <dc:description/>
  <cp:lastModifiedBy>MOSTAJO Apolonia</cp:lastModifiedBy>
  <cp:revision>2</cp:revision>
  <cp:lastPrinted>2023-11-13T09:37:00Z</cp:lastPrinted>
  <dcterms:created xsi:type="dcterms:W3CDTF">2023-11-17T13:24:00Z</dcterms:created>
  <dcterms:modified xsi:type="dcterms:W3CDTF">2023-11-17T13:24:00Z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2023-11-09T15:33:01Z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28243ec7-13d8-47ea-8492-945f476dacb8</vt:lpwstr>
  </property>
  <property fmtid="{D5CDD505-2E9C-101B-9397-08002B2CF9AE}" pid="8" name="MSIP_Label_20773ee6-353b-4fb9-a59d-0b94c8c67bea_ContentBits">
    <vt:lpwstr>0</vt:lpwstr>
  </property>
</Properties>
</file>