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C44A" w14:textId="0E37D0FE" w:rsidR="00D22CF8" w:rsidRPr="00A80AD4" w:rsidRDefault="00366981" w:rsidP="006F370A">
      <w:pPr>
        <w:pStyle w:val="Heading1"/>
        <w:jc w:val="center"/>
        <w:rPr>
          <w:lang w:val="es-419"/>
        </w:rPr>
      </w:pPr>
      <w:r w:rsidRPr="00A80AD4">
        <w:rPr>
          <w:lang w:val="es-419"/>
        </w:rPr>
        <w:t>Recomendaciones propuestas sobre TIC y administración de la PI</w:t>
      </w:r>
    </w:p>
    <w:tbl>
      <w:tblPr>
        <w:tblW w:w="13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997"/>
        <w:gridCol w:w="1983"/>
      </w:tblGrid>
      <w:tr w:rsidR="00110F3E" w:rsidRPr="00A80AD4" w14:paraId="1E56D629" w14:textId="041CC4A3" w:rsidTr="00A80AD4">
        <w:trPr>
          <w:tblHeader/>
        </w:trPr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FB3C6C0" w14:textId="3C9B448E" w:rsidR="005D39BC" w:rsidRPr="00A80AD4" w:rsidRDefault="005D39BC" w:rsidP="00D22CF8">
            <w:pPr>
              <w:spacing w:before="3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b/>
                <w:sz w:val="21"/>
                <w:lang w:val="es-419"/>
              </w:rPr>
              <w:t>Recomendaciones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EDCA112" w14:textId="6D36BC15" w:rsidR="005D39BC" w:rsidRPr="00A80AD4" w:rsidRDefault="005D39BC" w:rsidP="00D22CF8">
            <w:pPr>
              <w:spacing w:before="3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b/>
                <w:sz w:val="21"/>
                <w:lang w:val="es-419"/>
              </w:rPr>
              <w:t>Medidas recomendadas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5EB04F25" w14:textId="26EC5150" w:rsidR="005D39BC" w:rsidRPr="00A80AD4" w:rsidRDefault="007B60A9" w:rsidP="00D22CF8">
            <w:pPr>
              <w:spacing w:before="3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b/>
                <w:sz w:val="21"/>
                <w:lang w:val="es-419"/>
              </w:rPr>
              <w:t>Relación con las 40 recomendaciones</w:t>
            </w:r>
          </w:p>
        </w:tc>
      </w:tr>
      <w:tr w:rsidR="00110F3E" w:rsidRPr="00A80AD4" w14:paraId="703CFED1" w14:textId="2CD9258B" w:rsidTr="00A80AD4">
        <w:trPr>
          <w:trHeight w:val="2031"/>
        </w:trPr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150C88" w14:textId="218EA8DB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u w:val="single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1:</w:t>
            </w:r>
          </w:p>
          <w:p w14:paraId="59A4B8D7" w14:textId="5E48B2DA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Las oficinas de PI deberían contar con una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estrategia de TIC</w:t>
            </w:r>
            <w:r w:rsidRPr="00A80AD4">
              <w:rPr>
                <w:rFonts w:ascii="Segoe UI" w:hAnsi="Segoe UI"/>
                <w:sz w:val="21"/>
                <w:lang w:val="es-419"/>
              </w:rPr>
              <w:t>, ya sea como parte de la planificación estratégica o de forma independiente, que incluya medidas para su evaluación anual.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639A61" w14:textId="77777777" w:rsidR="00A1733A" w:rsidRPr="00A80AD4" w:rsidRDefault="005D39BC" w:rsidP="00694E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egoe UI" w:hAnsi="Segoe UI"/>
                <w:sz w:val="21"/>
                <w:lang w:val="es-419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formular una estrategia de TIC que esté en sintonía con la planificación de sus tareas.</w:t>
            </w:r>
          </w:p>
          <w:p w14:paraId="7339C3F3" w14:textId="4BA04428" w:rsidR="005D39BC" w:rsidRPr="00A80AD4" w:rsidRDefault="005D39BC" w:rsidP="00694E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compartir su estrategia de TIC con otras oficinas, siempre que sea posible.</w:t>
            </w:r>
          </w:p>
          <w:p w14:paraId="0A1F48C0" w14:textId="7DB4E83E" w:rsidR="005D39BC" w:rsidRPr="00A80AD4" w:rsidRDefault="005D39BC" w:rsidP="005D39BC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La Oficina Internacional debería establecer un foro para examinar entre las oficinas de PI las estrategias de TIC, </w:t>
            </w:r>
            <w:r w:rsidR="00A1733A" w:rsidRPr="00A80AD4">
              <w:rPr>
                <w:rFonts w:ascii="Segoe UI" w:hAnsi="Segoe UI"/>
                <w:sz w:val="21"/>
                <w:lang w:val="es-419"/>
              </w:rPr>
              <w:t>incluyendo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su evaluación y actualización.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21821CF1" w14:textId="49DBDE17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No </w:t>
            </w:r>
            <w:r w:rsidR="009B57E4" w:rsidRPr="00A80AD4">
              <w:rPr>
                <w:rFonts w:ascii="Segoe UI" w:hAnsi="Segoe UI"/>
                <w:sz w:val="21"/>
                <w:lang w:val="es-419"/>
              </w:rPr>
              <w:t>corresponde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, </w:t>
            </w:r>
            <w:r w:rsidR="00C15EC8" w:rsidRPr="00A80AD4">
              <w:rPr>
                <w:rFonts w:ascii="Segoe UI" w:hAnsi="Segoe UI"/>
                <w:sz w:val="21"/>
                <w:lang w:val="es-419"/>
              </w:rPr>
              <w:t>pues es</w:t>
            </w:r>
            <w:r w:rsidR="009B57E4" w:rsidRPr="00A80AD4">
              <w:rPr>
                <w:rFonts w:ascii="Segoe UI" w:hAnsi="Segoe UI"/>
                <w:sz w:val="21"/>
                <w:lang w:val="es-419"/>
              </w:rPr>
              <w:t xml:space="preserve"> </w:t>
            </w:r>
            <w:r w:rsidRPr="00A80AD4">
              <w:rPr>
                <w:rFonts w:ascii="Segoe UI" w:hAnsi="Segoe UI"/>
                <w:sz w:val="21"/>
                <w:lang w:val="es-419"/>
              </w:rPr>
              <w:t>nueva.</w:t>
            </w:r>
          </w:p>
        </w:tc>
      </w:tr>
      <w:tr w:rsidR="00110F3E" w:rsidRPr="00A80AD4" w14:paraId="2CD53DA5" w14:textId="179CFC0E" w:rsidTr="00A80AD4"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5945ED" w14:textId="4BEAFD72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u w:val="single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2:</w:t>
            </w:r>
          </w:p>
          <w:p w14:paraId="384815BC" w14:textId="187201D7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Las oficinas de PI deberían </w:t>
            </w:r>
            <w:r w:rsidR="00781F01" w:rsidRPr="00A80AD4">
              <w:rPr>
                <w:rFonts w:ascii="Segoe UI" w:hAnsi="Segoe UI"/>
                <w:sz w:val="21"/>
                <w:lang w:val="es-419"/>
              </w:rPr>
              <w:t xml:space="preserve">velar por 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que los datos y la documentación de PI estén disponibles para su publicación e intercambio con otras oficinas de PI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en formatos de texto completo legibles por máquina</w:t>
            </w:r>
            <w:r w:rsidRPr="00A80AD4">
              <w:rPr>
                <w:rFonts w:ascii="Segoe UI" w:hAnsi="Segoe UI"/>
                <w:sz w:val="21"/>
                <w:lang w:val="es-419"/>
              </w:rPr>
              <w:t>, conforme a las normas pertinentes de la OMPI. 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3A58E1" w14:textId="77777777" w:rsidR="00A1733A" w:rsidRPr="00A80AD4" w:rsidRDefault="005D39BC" w:rsidP="00694E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Segoe UI" w:hAnsi="Segoe UI"/>
                <w:sz w:val="21"/>
                <w:lang w:val="es-419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digitalizar los documentos de PI en papel o en imágenes, en formatos de texto completo legibles por máquina y, en la medida de lo posible, en formatos de datos estructurados en XML o JSON, conforme a las normas pertinentes de la OMPI.</w:t>
            </w:r>
          </w:p>
          <w:p w14:paraId="33CE123D" w14:textId="40A1B21A" w:rsidR="005D39BC" w:rsidRPr="00A80AD4" w:rsidRDefault="005D39BC" w:rsidP="00694E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Se alienta a las oficinas de PI a apoyar la digitalización de otras oficinas de PI, entre otras cosas, compartiendo sus experiencias y soluciones de digitalización.</w:t>
            </w:r>
          </w:p>
          <w:p w14:paraId="1EF7696E" w14:textId="1C934A07" w:rsidR="005D39BC" w:rsidRPr="00A80AD4" w:rsidRDefault="005D39BC" w:rsidP="005D39BC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intercambiar, publicar y difundir datos y documentos de PI en XML o JSON, conforme a las normas pertinentes de la OMPI.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7C7E68E5" w14:textId="529F1D59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R3, R4, R13, R14, R16, R17 y R32</w:t>
            </w:r>
          </w:p>
        </w:tc>
      </w:tr>
      <w:tr w:rsidR="00110F3E" w:rsidRPr="00A80AD4" w14:paraId="63DBA5AB" w14:textId="188B01CB" w:rsidTr="00A80AD4">
        <w:trPr>
          <w:trHeight w:val="807"/>
        </w:trPr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07CD50" w14:textId="724BD3D6" w:rsidR="005D39BC" w:rsidRPr="00A80AD4" w:rsidRDefault="005D39BC" w:rsidP="00781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3:</w:t>
            </w:r>
            <w:r w:rsidR="00A80AD4" w:rsidRPr="00A80AD4">
              <w:rPr>
                <w:rFonts w:ascii="Segoe UI" w:hAnsi="Segoe UI"/>
                <w:sz w:val="21"/>
                <w:u w:val="single"/>
                <w:lang w:val="es-419"/>
              </w:rPr>
              <w:t xml:space="preserve"> 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Las oficinas de PI deberían velar por que exista un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marco de gobernanza de datos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que tenga en cuenta las políticas institucionales y el marco jurídico conexo, y que se evalúe anualmente.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DFD33E" w14:textId="77777777" w:rsidR="005D39BC" w:rsidRPr="00A80AD4" w:rsidRDefault="005D39BC" w:rsidP="00694EDA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establecer y mantener un marco de gobernanza de datos que incluya una estrategia de gobernanza de datos, una política de gestión de datos y políticas y directrices de protección de datos.</w:t>
            </w:r>
          </w:p>
          <w:p w14:paraId="37F13A84" w14:textId="194ECCFB" w:rsidR="005D39BC" w:rsidRPr="00A80AD4" w:rsidRDefault="005D39BC" w:rsidP="00694E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lastRenderedPageBreak/>
              <w:t>Siempre que sea posible, las oficinas de PI deberían compartir con otras oficinas de PI su marco de gobernanza de datos o los documentos relacionados.</w:t>
            </w:r>
          </w:p>
          <w:p w14:paraId="2C103B7A" w14:textId="087B5CCB" w:rsidR="005D39BC" w:rsidRPr="00A80AD4" w:rsidRDefault="005D39BC" w:rsidP="005D39BC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compartir y difundir, sin barreras y de forma gratuita o a un costo marginal, los datos y la documentación.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27D0921A" w14:textId="31604C07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lastRenderedPageBreak/>
              <w:t>R22 y R29</w:t>
            </w:r>
          </w:p>
        </w:tc>
      </w:tr>
      <w:tr w:rsidR="00110F3E" w:rsidRPr="00A80AD4" w14:paraId="72FF4596" w14:textId="0781C29F" w:rsidTr="00A80AD4"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181B9E" w14:textId="785BBC18" w:rsidR="005D39BC" w:rsidRPr="00A80AD4" w:rsidRDefault="005D39BC" w:rsidP="00781F01">
            <w:pPr>
              <w:spacing w:before="150"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 w:eastAsia="en-AU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4:</w:t>
            </w:r>
            <w:r w:rsidR="00A80AD4" w:rsidRPr="00A80AD4">
              <w:rPr>
                <w:rFonts w:ascii="Segoe UI" w:hAnsi="Segoe UI"/>
                <w:sz w:val="21"/>
                <w:u w:val="single"/>
                <w:lang w:val="es-419"/>
              </w:rPr>
              <w:t xml:space="preserve"> 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Las oficinas de PI deberían optimizar los actuales modelos de trabajo, marcos jurídicos y procesos de flujo de trabajo para adecuarlos a la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era digital</w:t>
            </w:r>
            <w:r w:rsidRPr="00A80AD4">
              <w:rPr>
                <w:rFonts w:ascii="Segoe UI" w:hAnsi="Segoe UI"/>
                <w:sz w:val="21"/>
                <w:lang w:val="es-419"/>
              </w:rPr>
              <w:t>, colaborando, en todas las fases, con las partes interesadas del ámbito interno y externo.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A68623" w14:textId="7A5D81A1" w:rsidR="00A1733A" w:rsidRPr="00A80AD4" w:rsidRDefault="005D39BC" w:rsidP="007A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rPr>
                <w:rFonts w:ascii="Segoe UI" w:hAnsi="Segoe UI"/>
                <w:sz w:val="21"/>
                <w:lang w:val="es-419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reconocer los problemas que se plantean en sus tareas y las posibles y mejores soluciones digitales para abordarlos.</w:t>
            </w:r>
          </w:p>
          <w:p w14:paraId="731C838D" w14:textId="6AC2AE1D" w:rsidR="005D39BC" w:rsidRPr="00A80AD4" w:rsidRDefault="005D39BC" w:rsidP="007A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Las oficinas de PI deberían velar por que exista un entendimiento común general de la transformación digital en el plano institucional, incluido, eventualmente, </w:t>
            </w:r>
            <w:r w:rsidR="0097577A" w:rsidRPr="00A80AD4">
              <w:rPr>
                <w:rFonts w:ascii="Segoe UI" w:hAnsi="Segoe UI"/>
                <w:sz w:val="21"/>
                <w:lang w:val="es-419"/>
              </w:rPr>
              <w:t>el uso adecuado de las tecnologías emergentes, a partir de la apropiada determinación de cada caso y de las soluciones óptimas.</w:t>
            </w:r>
          </w:p>
          <w:p w14:paraId="27EFAA1E" w14:textId="3910DCC4" w:rsidR="005D39BC" w:rsidRPr="00A80AD4" w:rsidRDefault="005D39BC" w:rsidP="007A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velar por la aplicación de política</w:t>
            </w:r>
            <w:r w:rsidR="008A2A92" w:rsidRPr="00A80AD4">
              <w:rPr>
                <w:rFonts w:ascii="Segoe UI" w:hAnsi="Segoe UI"/>
                <w:sz w:val="21"/>
                <w:lang w:val="es-419"/>
              </w:rPr>
              <w:t>s tanto en lo relativo a la</w:t>
            </w:r>
            <w:r w:rsidR="00972F15" w:rsidRPr="00A80AD4">
              <w:rPr>
                <w:rFonts w:ascii="Segoe UI" w:hAnsi="Segoe UI"/>
                <w:sz w:val="21"/>
                <w:lang w:val="es-419"/>
              </w:rPr>
              <w:t>s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API </w:t>
            </w:r>
            <w:r w:rsidR="00972F15" w:rsidRPr="00A80AD4">
              <w:rPr>
                <w:rFonts w:ascii="Segoe UI" w:hAnsi="Segoe UI"/>
                <w:sz w:val="21"/>
                <w:lang w:val="es-419"/>
              </w:rPr>
              <w:t xml:space="preserve">como a la </w:t>
            </w:r>
            <w:r w:rsidRPr="00A80AD4">
              <w:rPr>
                <w:rFonts w:ascii="Segoe UI" w:hAnsi="Segoe UI"/>
                <w:sz w:val="21"/>
                <w:lang w:val="es-419"/>
              </w:rPr>
              <w:t>primacía de la nube, teniendo en cuenta las normas nacionales pertinentes y la política de trabajo, para la modernización, automatización y optimización de los procedimientos de trabajo, incluyendo el intercambio y la difusión de datos.</w:t>
            </w:r>
          </w:p>
          <w:p w14:paraId="4068647C" w14:textId="77777777" w:rsidR="00A1733A" w:rsidRPr="00A80AD4" w:rsidRDefault="005D39BC" w:rsidP="007A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rPr>
                <w:rFonts w:ascii="Segoe UI" w:hAnsi="Segoe UI"/>
                <w:sz w:val="21"/>
                <w:lang w:val="es-419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Las oficinas de PI deberían tomar en </w:t>
            </w:r>
            <w:r w:rsidR="00A1733A" w:rsidRPr="00A80AD4">
              <w:rPr>
                <w:rFonts w:ascii="Segoe UI" w:hAnsi="Segoe UI"/>
                <w:sz w:val="21"/>
                <w:lang w:val="es-419"/>
              </w:rPr>
              <w:t>consideración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la posibilidad de introducir cambios en las normas para respaldar la transformación digital, por ejemplo:</w:t>
            </w:r>
          </w:p>
          <w:p w14:paraId="613F3E8C" w14:textId="77777777" w:rsidR="00A1733A" w:rsidRPr="00A80AD4" w:rsidRDefault="005D39BC" w:rsidP="00694EDA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ind w:left="1080"/>
              <w:rPr>
                <w:rFonts w:ascii="Segoe UI" w:hAnsi="Segoe UI"/>
                <w:sz w:val="21"/>
                <w:lang w:val="es-419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el desarrollo de marcos automatizados de toma de decisiones</w:t>
            </w:r>
          </w:p>
          <w:p w14:paraId="305DF7F9" w14:textId="7FE3CD13" w:rsidR="005D39BC" w:rsidRPr="00A80AD4" w:rsidRDefault="005D39BC" w:rsidP="005D39BC">
            <w:pPr>
              <w:numPr>
                <w:ilvl w:val="1"/>
                <w:numId w:val="12"/>
              </w:numPr>
              <w:spacing w:before="100" w:beforeAutospacing="1" w:after="0" w:line="240" w:lineRule="auto"/>
              <w:ind w:left="1080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el uso de la firma electrónica certificada en la administración de la PI.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1813F2B4" w14:textId="1D9D4FCB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R2, R6, R16, R36 y R39</w:t>
            </w:r>
          </w:p>
        </w:tc>
      </w:tr>
      <w:tr w:rsidR="00110F3E" w:rsidRPr="00A80AD4" w14:paraId="118D801F" w14:textId="5052ABEC" w:rsidTr="00A80AD4"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8461D6" w14:textId="5E8BD98A" w:rsidR="005D39BC" w:rsidRPr="00A80AD4" w:rsidRDefault="005D39BC" w:rsidP="007C12AE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lastRenderedPageBreak/>
              <w:t>Recomendación 5: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Las oficinas de PI deberían asegurarse de que la adopción de posibles casos de uso de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la cadena de bloques y la inteligencia artificial (IA)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se base en la evaluación de los riesgos del proyecto, entre otras cosas, con respecto a las políticas y normativas institucionales pertinentes, así como a las posibles repercusiones </w:t>
            </w:r>
            <w:r w:rsidR="00972F15" w:rsidRPr="00A80AD4">
              <w:rPr>
                <w:rFonts w:ascii="Segoe UI" w:hAnsi="Segoe UI"/>
                <w:sz w:val="21"/>
                <w:lang w:val="es-419"/>
              </w:rPr>
              <w:t>que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las soluciones basadas en la cadena de bloques y la IA</w:t>
            </w:r>
            <w:r w:rsidR="00972F15" w:rsidRPr="00A80AD4">
              <w:rPr>
                <w:rFonts w:ascii="Segoe UI" w:hAnsi="Segoe UI"/>
                <w:sz w:val="21"/>
                <w:lang w:val="es-419"/>
              </w:rPr>
              <w:t xml:space="preserve"> puedan tener en los procedimientos de trabajo</w:t>
            </w:r>
            <w:r w:rsidRPr="00A80AD4">
              <w:rPr>
                <w:rFonts w:ascii="Segoe UI" w:hAnsi="Segoe UI"/>
                <w:sz w:val="21"/>
                <w:lang w:val="es-419"/>
              </w:rPr>
              <w:t>.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8ABD5A" w14:textId="543B661F" w:rsidR="00A1733A" w:rsidRPr="00A80AD4" w:rsidRDefault="005D39BC" w:rsidP="007C12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Segoe UI" w:hAnsi="Segoe UI"/>
                <w:sz w:val="21"/>
                <w:lang w:val="es-419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Las oficinas de PI deberían explorar y compartir los casos de uso </w:t>
            </w:r>
            <w:r w:rsidR="00972F15" w:rsidRPr="00A80AD4">
              <w:rPr>
                <w:rFonts w:ascii="Segoe UI" w:hAnsi="Segoe UI"/>
                <w:sz w:val="21"/>
                <w:lang w:val="es-419"/>
              </w:rPr>
              <w:t xml:space="preserve">de </w:t>
            </w:r>
            <w:r w:rsidRPr="00A80AD4">
              <w:rPr>
                <w:rFonts w:ascii="Segoe UI" w:hAnsi="Segoe UI"/>
                <w:sz w:val="21"/>
                <w:lang w:val="es-419"/>
              </w:rPr>
              <w:t>tecnología de la cadena de bloque.</w:t>
            </w:r>
          </w:p>
          <w:p w14:paraId="1C8C40D7" w14:textId="77777777" w:rsidR="00A1733A" w:rsidRPr="00A80AD4" w:rsidRDefault="005D39BC" w:rsidP="007C12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Segoe UI" w:hAnsi="Segoe UI"/>
                <w:sz w:val="21"/>
                <w:lang w:val="es-419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explorar y compartir los casos de uso de herramientas y servicios que funcionan con IA, incluidas las capacidades de gran alcance de IA generativa disponibles públicamente, a medida que vayan madurando, para funciones como la búsqueda de imágenes, la búsqueda semántica de textos, las clasificaciones de imágenes y textos, la traducción y la atención al cliente.</w:t>
            </w:r>
          </w:p>
          <w:p w14:paraId="46504C57" w14:textId="6FD42C72" w:rsidR="005D39BC" w:rsidRPr="00A80AD4" w:rsidRDefault="005D39BC" w:rsidP="007C12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 xml:space="preserve">Las oficinas de PI deberían estudiar la forma de compartir la tecnología y ponerla a disposición de las oficinas de PI más pequeñas para mejorar la calidad y la </w:t>
            </w:r>
            <w:r w:rsidR="002F39C5" w:rsidRPr="00A80AD4">
              <w:rPr>
                <w:rFonts w:ascii="Segoe UI" w:hAnsi="Segoe UI"/>
                <w:sz w:val="21"/>
                <w:lang w:val="es-419"/>
              </w:rPr>
              <w:t>eficiencia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de los proce</w:t>
            </w:r>
            <w:r w:rsidR="00972F15" w:rsidRPr="00A80AD4">
              <w:rPr>
                <w:rFonts w:ascii="Segoe UI" w:hAnsi="Segoe UI"/>
                <w:sz w:val="21"/>
                <w:lang w:val="es-419"/>
              </w:rPr>
              <w:t>dimientos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de trabajo.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0E9A4FFC" w14:textId="0C0114D2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R7, R12 y R15</w:t>
            </w:r>
          </w:p>
        </w:tc>
      </w:tr>
      <w:tr w:rsidR="00110F3E" w:rsidRPr="00A80AD4" w14:paraId="06554AFF" w14:textId="50FB2274" w:rsidTr="00A80AD4"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6DFE71" w14:textId="0982F26F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6: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Debería alentarse a las oficinas de PI a cooperar en el desarrollo y la utilización de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arquitecturas comunes de referencia de las TIC para la PI, entre ellas, soluciones y plataformas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para mejorar la calidad y la eficiencia de los proce</w:t>
            </w:r>
            <w:r w:rsidR="002F39C5" w:rsidRPr="00A80AD4">
              <w:rPr>
                <w:rFonts w:ascii="Segoe UI" w:hAnsi="Segoe UI"/>
                <w:sz w:val="21"/>
                <w:lang w:val="es-419"/>
              </w:rPr>
              <w:t>dimientos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de trabajo, y a compartir experiencias.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C73660" w14:textId="223D7DBE" w:rsidR="005D39BC" w:rsidRPr="00A80AD4" w:rsidRDefault="005D39BC" w:rsidP="00D22C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compartir sus pilas tecnológicas en uso en otras oficinas de PI, siempre que sea posible, y la Oficina Internacional debería proporcionar un foro y una plataforma para el intercambio, según sea necesario.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4D65A6EA" w14:textId="7C9CF4DC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R10, R16, R21, R25, R28, R30, R31 y R34</w:t>
            </w:r>
          </w:p>
        </w:tc>
      </w:tr>
      <w:tr w:rsidR="00110F3E" w:rsidRPr="00A80AD4" w14:paraId="651A4807" w14:textId="4FC132A1" w:rsidTr="00A80AD4"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838A9B" w14:textId="36E23933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7: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Las oficinas de PI deberían contribuir a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proyectos cooperativos multilaterales o internacionales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relativos a datos de PI, sistemas y servicios mundiales de </w:t>
            </w:r>
            <w:r w:rsidRPr="00A80AD4">
              <w:rPr>
                <w:rFonts w:ascii="Segoe UI" w:hAnsi="Segoe UI"/>
                <w:sz w:val="21"/>
                <w:lang w:val="es-419"/>
              </w:rPr>
              <w:lastRenderedPageBreak/>
              <w:t>información sobre PI, difusión de datos de PI y documentación de PI.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7C133A" w14:textId="77777777" w:rsidR="005D39BC" w:rsidRPr="00A80AD4" w:rsidRDefault="005D39BC" w:rsidP="00D22C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lastRenderedPageBreak/>
              <w:t>Las oficinas de PI deberían participar activamente en proyectos cooperativos aprobados o señalados por el CWS, como:</w:t>
            </w:r>
          </w:p>
          <w:p w14:paraId="5686B053" w14:textId="28345351" w:rsidR="005D39BC" w:rsidRPr="00A80AD4" w:rsidRDefault="005D39BC" w:rsidP="00055AA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proyecto piloto de identificador mundial</w:t>
            </w:r>
            <w:r w:rsidR="003339AE" w:rsidRPr="00A80AD4">
              <w:rPr>
                <w:rFonts w:ascii="Segoe UI" w:hAnsi="Segoe UI"/>
                <w:sz w:val="21"/>
                <w:lang w:val="es-419"/>
              </w:rPr>
              <w:t>;</w:t>
            </w:r>
          </w:p>
          <w:p w14:paraId="7F87DACB" w14:textId="71758A9A" w:rsidR="005D39BC" w:rsidRPr="00A80AD4" w:rsidRDefault="005D39BC" w:rsidP="00055AA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catálogo unificado de API; y</w:t>
            </w:r>
          </w:p>
          <w:p w14:paraId="376F72D2" w14:textId="3515727A" w:rsidR="005D39BC" w:rsidRPr="00A80AD4" w:rsidRDefault="005D39BC" w:rsidP="00055AA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lastRenderedPageBreak/>
              <w:t>suministro de ficheros de referencia de patentes con arreglo a la Norma ST.37 de la OMPI.</w:t>
            </w:r>
          </w:p>
          <w:p w14:paraId="1E69285D" w14:textId="705791D4" w:rsidR="005D39BC" w:rsidRPr="00A80AD4" w:rsidRDefault="005D39BC" w:rsidP="00A80A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 w:eastAsia="en-AU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Se alienta a las oficinas de PI a ofrecer proyectos cooperativos multilaterales y a participar en los proyectos que ofrecen otras oficinas de PI.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41C0193D" w14:textId="6B044A88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lastRenderedPageBreak/>
              <w:t>R8, R9, R11, R19, R23, R24, R35 y R40</w:t>
            </w:r>
          </w:p>
        </w:tc>
      </w:tr>
      <w:tr w:rsidR="00110F3E" w:rsidRPr="00A80AD4" w14:paraId="415CEAF4" w14:textId="01950F55" w:rsidTr="00A80AD4"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9183AD" w14:textId="57C9EE8E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8: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Las oficinas de PI deberían participar en la elaboración de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Normas técnicas de la OMPI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y aplicarlas, siempre que sea posible. 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A3C912" w14:textId="77777777" w:rsidR="005D39BC" w:rsidRPr="00A80AD4" w:rsidRDefault="005D39BC" w:rsidP="00694E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Se alienta a las oficinas de PI a designar sus propios expertos para los Equipos Técnicos del CWS.</w:t>
            </w:r>
          </w:p>
          <w:p w14:paraId="5D753C31" w14:textId="09C13052" w:rsidR="005D39BC" w:rsidRPr="00A80AD4" w:rsidRDefault="005D39BC" w:rsidP="00694E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Se alienta a las oficinas de PI a informar a la Oficina Internacional acerca de la situación de la aplicación de las normas técnicas de</w:t>
            </w:r>
            <w:r w:rsidR="00A1733A" w:rsidRPr="00A80AD4">
              <w:rPr>
                <w:rFonts w:ascii="Segoe UI" w:hAnsi="Segoe UI"/>
                <w:sz w:val="21"/>
                <w:lang w:val="es-419"/>
              </w:rPr>
              <w:t xml:space="preserve"> </w:t>
            </w:r>
            <w:r w:rsidRPr="00A80AD4">
              <w:rPr>
                <w:rFonts w:ascii="Segoe UI" w:hAnsi="Segoe UI"/>
                <w:sz w:val="21"/>
                <w:lang w:val="es-419"/>
              </w:rPr>
              <w:t>la OMPI y a participar en las encuestas del CWS.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4E79DF02" w14:textId="3E507294" w:rsidR="005D39BC" w:rsidRPr="00A80AD4" w:rsidRDefault="005D39BC" w:rsidP="006F370A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R20, R26, R16, R27 y R33</w:t>
            </w:r>
          </w:p>
        </w:tc>
      </w:tr>
      <w:tr w:rsidR="00110F3E" w:rsidRPr="00A80AD4" w14:paraId="7178D8E3" w14:textId="346D333C" w:rsidTr="00A80AD4">
        <w:trPr>
          <w:trHeight w:val="1437"/>
        </w:trPr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0FC1D76" w14:textId="0A82EA9C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9: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Las oficinas de PI deberían velar por que se aplique una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política de seguridad de la información</w:t>
            </w:r>
            <w:r w:rsidRPr="00A80AD4">
              <w:rPr>
                <w:rFonts w:ascii="Segoe UI" w:hAnsi="Segoe UI"/>
                <w:sz w:val="21"/>
                <w:lang w:val="es-419"/>
              </w:rPr>
              <w:t xml:space="preserve"> basada en las mejores prácticas y evaluada anualmente.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8AE44A" w14:textId="77777777" w:rsidR="005D39BC" w:rsidRPr="00A80AD4" w:rsidRDefault="005D39BC" w:rsidP="006043B6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establecer y mantener su política de seguridad de la información.</w:t>
            </w:r>
          </w:p>
          <w:p w14:paraId="43032BEF" w14:textId="7A6D222A" w:rsidR="005D39BC" w:rsidRPr="00A80AD4" w:rsidRDefault="005D39BC" w:rsidP="00D22CF8">
            <w:pPr>
              <w:pStyle w:val="ListParagraph"/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Se alienta a las oficinas a compartir sus políticas de seguridad de la información y sus experiencias, lo que incluye los desafíos actuales y las soluciones adoptadas para hacerles frente.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5C534C21" w14:textId="3023674C" w:rsidR="005D39BC" w:rsidRPr="00A80AD4" w:rsidRDefault="005D39BC" w:rsidP="005D39BC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R36 y R37</w:t>
            </w:r>
          </w:p>
        </w:tc>
      </w:tr>
      <w:tr w:rsidR="00110F3E" w:rsidRPr="00A80AD4" w14:paraId="3C8C94AA" w14:textId="029C64D6" w:rsidTr="00A80AD4">
        <w:tc>
          <w:tcPr>
            <w:tcW w:w="447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2FCD0B" w14:textId="583610A0" w:rsidR="005D39BC" w:rsidRPr="00A80AD4" w:rsidRDefault="005D39BC" w:rsidP="00D22CF8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u w:val="single"/>
                <w:lang w:val="es-419"/>
              </w:rPr>
              <w:t>Recomendación 10:</w:t>
            </w:r>
            <w:r w:rsidRPr="00A80AD4">
              <w:rPr>
                <w:rFonts w:ascii="Segoe UI" w:hAnsi="Segoe UI"/>
                <w:sz w:val="21"/>
                <w:lang w:val="es-419"/>
              </w:rPr>
              <w:br/>
              <w:t xml:space="preserve">Las oficinas de PI deberían compartir sus experiencias y su información sobre planificación, gestión, ejecución y evaluación de </w:t>
            </w:r>
            <w:r w:rsidRPr="00A80AD4">
              <w:rPr>
                <w:rFonts w:ascii="Segoe UI" w:hAnsi="Segoe UI"/>
                <w:b/>
                <w:bCs/>
                <w:sz w:val="21"/>
                <w:lang w:val="es-419"/>
              </w:rPr>
              <w:t>proyectos de TIC</w:t>
            </w:r>
            <w:r w:rsidRPr="00A80AD4">
              <w:rPr>
                <w:rFonts w:ascii="Segoe UI" w:hAnsi="Segoe UI"/>
                <w:sz w:val="21"/>
                <w:lang w:val="es-419"/>
              </w:rPr>
              <w:t>. </w:t>
            </w:r>
          </w:p>
        </w:tc>
        <w:tc>
          <w:tcPr>
            <w:tcW w:w="699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A317DA" w14:textId="1B58558D" w:rsidR="005D39BC" w:rsidRPr="00A80AD4" w:rsidRDefault="005D39BC" w:rsidP="00694ED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Las oficinas de PI deberían compartir sus experiencias en lo relativo a distintos modelos de ejecución de proyectos de TIC, entre otros:</w:t>
            </w:r>
          </w:p>
          <w:p w14:paraId="1CB30DBE" w14:textId="4FC009B0" w:rsidR="005D39BC" w:rsidRPr="00A80AD4" w:rsidRDefault="005D39BC" w:rsidP="00694ED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los que se aplican en el ámbito interno; y</w:t>
            </w:r>
          </w:p>
          <w:p w14:paraId="3FD9E009" w14:textId="746DB159" w:rsidR="005D39BC" w:rsidRPr="00A80AD4" w:rsidRDefault="005D39BC" w:rsidP="00694ED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los que ofrecen los proveedores externos de servicios</w:t>
            </w:r>
          </w:p>
        </w:tc>
        <w:tc>
          <w:tcPr>
            <w:tcW w:w="19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44D506DC" w14:textId="766BACCC" w:rsidR="005D39BC" w:rsidRPr="00A80AD4" w:rsidRDefault="005D39BC" w:rsidP="005D39BC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val="es-419"/>
                <w14:ligatures w14:val="none"/>
              </w:rPr>
            </w:pPr>
            <w:r w:rsidRPr="00A80AD4">
              <w:rPr>
                <w:rFonts w:ascii="Segoe UI" w:hAnsi="Segoe UI"/>
                <w:sz w:val="21"/>
                <w:lang w:val="es-419"/>
              </w:rPr>
              <w:t>No se aplica, pues es nueva.</w:t>
            </w:r>
          </w:p>
        </w:tc>
      </w:tr>
    </w:tbl>
    <w:p w14:paraId="1AB84B40" w14:textId="2B2B8921" w:rsidR="006C50B9" w:rsidRPr="00A80AD4" w:rsidRDefault="006C50B9">
      <w:pPr>
        <w:rPr>
          <w:lang w:val="es-419"/>
        </w:rPr>
      </w:pPr>
    </w:p>
    <w:p w14:paraId="40387747" w14:textId="22857848" w:rsidR="006C50B9" w:rsidRPr="00A80AD4" w:rsidRDefault="006C50B9" w:rsidP="006C50B9">
      <w:pPr>
        <w:jc w:val="right"/>
        <w:rPr>
          <w:lang w:val="es-419"/>
        </w:rPr>
      </w:pPr>
      <w:r w:rsidRPr="00A80AD4">
        <w:rPr>
          <w:lang w:val="es-419"/>
        </w:rPr>
        <w:t>[Fin del Anexo y del documento]</w:t>
      </w:r>
    </w:p>
    <w:sectPr w:rsidR="006C50B9" w:rsidRPr="00A80AD4" w:rsidSect="006C5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8FC7" w14:textId="77777777" w:rsidR="00C5552C" w:rsidRDefault="00C5552C" w:rsidP="007A6B90">
      <w:pPr>
        <w:spacing w:after="0" w:line="240" w:lineRule="auto"/>
      </w:pPr>
      <w:r>
        <w:separator/>
      </w:r>
    </w:p>
  </w:endnote>
  <w:endnote w:type="continuationSeparator" w:id="0">
    <w:p w14:paraId="775B770D" w14:textId="77777777" w:rsidR="00C5552C" w:rsidRDefault="00C5552C" w:rsidP="007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0E0E" w14:textId="77777777" w:rsidR="00A80AD4" w:rsidRDefault="00A80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0AE8" w14:textId="77777777" w:rsidR="00A80AD4" w:rsidRDefault="00A80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1956" w14:textId="77777777" w:rsidR="00A80AD4" w:rsidRDefault="00A80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E0A1" w14:textId="77777777" w:rsidR="00C5552C" w:rsidRDefault="00C5552C" w:rsidP="007A6B90">
      <w:pPr>
        <w:spacing w:after="0" w:line="240" w:lineRule="auto"/>
      </w:pPr>
      <w:r>
        <w:separator/>
      </w:r>
    </w:p>
  </w:footnote>
  <w:footnote w:type="continuationSeparator" w:id="0">
    <w:p w14:paraId="0B7862AC" w14:textId="77777777" w:rsidR="00C5552C" w:rsidRDefault="00C5552C" w:rsidP="007A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324" w14:textId="77777777" w:rsidR="00A80AD4" w:rsidRDefault="00A80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BAB7" w14:textId="7936D761" w:rsidR="006C50B9" w:rsidRPr="00A80AD4" w:rsidRDefault="006C50B9" w:rsidP="006C50B9">
    <w:pPr>
      <w:pStyle w:val="Header"/>
      <w:jc w:val="right"/>
      <w:rPr>
        <w:sz w:val="24"/>
        <w:szCs w:val="24"/>
      </w:rPr>
    </w:pPr>
    <w:r w:rsidRPr="00A80AD4">
      <w:rPr>
        <w:sz w:val="24"/>
        <w:szCs w:val="24"/>
      </w:rPr>
      <w:t>CWS/11/18</w:t>
    </w:r>
  </w:p>
  <w:p w14:paraId="47F1AE42" w14:textId="32F4C9CC" w:rsidR="006C50B9" w:rsidRPr="00A80AD4" w:rsidRDefault="006C50B9" w:rsidP="006C50B9">
    <w:pPr>
      <w:pStyle w:val="Header"/>
      <w:jc w:val="right"/>
      <w:rPr>
        <w:sz w:val="24"/>
        <w:szCs w:val="24"/>
      </w:rPr>
    </w:pPr>
    <w:r w:rsidRPr="00A80AD4">
      <w:rPr>
        <w:sz w:val="24"/>
        <w:szCs w:val="24"/>
      </w:rPr>
      <w:t xml:space="preserve">Anexo, página </w:t>
    </w:r>
    <w:r w:rsidRPr="00A80AD4">
      <w:rPr>
        <w:sz w:val="24"/>
        <w:szCs w:val="24"/>
      </w:rPr>
      <w:fldChar w:fldCharType="begin"/>
    </w:r>
    <w:r w:rsidRPr="00A80AD4">
      <w:rPr>
        <w:sz w:val="24"/>
        <w:szCs w:val="24"/>
      </w:rPr>
      <w:instrText xml:space="preserve"> PAGE   \* MERGEFORMAT </w:instrText>
    </w:r>
    <w:r w:rsidRPr="00A80AD4">
      <w:rPr>
        <w:sz w:val="24"/>
        <w:szCs w:val="24"/>
      </w:rPr>
      <w:fldChar w:fldCharType="separate"/>
    </w:r>
    <w:r w:rsidRPr="00A80AD4">
      <w:rPr>
        <w:sz w:val="24"/>
        <w:szCs w:val="24"/>
      </w:rPr>
      <w:t>1</w:t>
    </w:r>
    <w:r w:rsidRPr="00A80AD4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8307" w14:textId="77777777" w:rsidR="00A80AD4" w:rsidRDefault="00A80AD4" w:rsidP="00A80AD4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CWS/11/18</w:t>
    </w:r>
  </w:p>
  <w:p w14:paraId="0585DC5A" w14:textId="1F223755" w:rsidR="006C50B9" w:rsidRPr="005D0C36" w:rsidRDefault="006C50B9" w:rsidP="00A80AD4">
    <w:pPr>
      <w:pStyle w:val="Header"/>
      <w:jc w:val="right"/>
      <w:rPr>
        <w:sz w:val="24"/>
        <w:szCs w:val="24"/>
      </w:rPr>
    </w:pPr>
    <w:r w:rsidRPr="005D0C36">
      <w:rPr>
        <w:sz w:val="24"/>
        <w:szCs w:val="24"/>
      </w:rPr>
      <w:t>ANEXO</w:t>
    </w:r>
  </w:p>
  <w:p w14:paraId="0A98B774" w14:textId="77777777" w:rsidR="006C50B9" w:rsidRPr="00A80AD4" w:rsidRDefault="006C50B9" w:rsidP="00A80AD4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983"/>
    <w:multiLevelType w:val="multilevel"/>
    <w:tmpl w:val="9D122FAC"/>
    <w:lvl w:ilvl="0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E2AEC"/>
    <w:multiLevelType w:val="hybridMultilevel"/>
    <w:tmpl w:val="C2B0744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D7"/>
    <w:multiLevelType w:val="multilevel"/>
    <w:tmpl w:val="908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56665D"/>
    <w:multiLevelType w:val="multilevel"/>
    <w:tmpl w:val="D3C84B7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7348A"/>
    <w:multiLevelType w:val="multilevel"/>
    <w:tmpl w:val="89FE363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E66F09"/>
    <w:multiLevelType w:val="hybridMultilevel"/>
    <w:tmpl w:val="0288674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5DDE"/>
    <w:multiLevelType w:val="multilevel"/>
    <w:tmpl w:val="CAA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B62E9"/>
    <w:multiLevelType w:val="multilevel"/>
    <w:tmpl w:val="56F2E6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B37497"/>
    <w:multiLevelType w:val="hybridMultilevel"/>
    <w:tmpl w:val="2F9CF10E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05392"/>
    <w:multiLevelType w:val="multilevel"/>
    <w:tmpl w:val="7F1A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F36E07"/>
    <w:multiLevelType w:val="hybridMultilevel"/>
    <w:tmpl w:val="71E00EC2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965239"/>
    <w:multiLevelType w:val="multilevel"/>
    <w:tmpl w:val="959291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0929DD"/>
    <w:multiLevelType w:val="multilevel"/>
    <w:tmpl w:val="68C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300D26"/>
    <w:multiLevelType w:val="multilevel"/>
    <w:tmpl w:val="5D2E42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B02FB"/>
    <w:multiLevelType w:val="multilevel"/>
    <w:tmpl w:val="08922C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0810DE"/>
    <w:multiLevelType w:val="hybridMultilevel"/>
    <w:tmpl w:val="2FFE906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E8056A"/>
    <w:multiLevelType w:val="multilevel"/>
    <w:tmpl w:val="3392F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A67B45"/>
    <w:multiLevelType w:val="hybridMultilevel"/>
    <w:tmpl w:val="AE9E972A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6672E6"/>
    <w:multiLevelType w:val="multilevel"/>
    <w:tmpl w:val="CB646D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68016B"/>
    <w:multiLevelType w:val="hybridMultilevel"/>
    <w:tmpl w:val="5492E190"/>
    <w:lvl w:ilvl="0" w:tplc="886AEFB0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E32E4"/>
    <w:multiLevelType w:val="hybridMultilevel"/>
    <w:tmpl w:val="35F8CE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9E4B03"/>
    <w:multiLevelType w:val="multilevel"/>
    <w:tmpl w:val="45AE726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372767">
    <w:abstractNumId w:val="6"/>
  </w:num>
  <w:num w:numId="2" w16cid:durableId="765689432">
    <w:abstractNumId w:val="12"/>
  </w:num>
  <w:num w:numId="3" w16cid:durableId="1520657688">
    <w:abstractNumId w:val="9"/>
  </w:num>
  <w:num w:numId="4" w16cid:durableId="76362979">
    <w:abstractNumId w:val="13"/>
  </w:num>
  <w:num w:numId="5" w16cid:durableId="755517273">
    <w:abstractNumId w:val="18"/>
  </w:num>
  <w:num w:numId="6" w16cid:durableId="1915432913">
    <w:abstractNumId w:val="14"/>
  </w:num>
  <w:num w:numId="7" w16cid:durableId="441923311">
    <w:abstractNumId w:val="2"/>
  </w:num>
  <w:num w:numId="8" w16cid:durableId="384791439">
    <w:abstractNumId w:val="20"/>
  </w:num>
  <w:num w:numId="9" w16cid:durableId="1882013673">
    <w:abstractNumId w:val="16"/>
  </w:num>
  <w:num w:numId="10" w16cid:durableId="1141263398">
    <w:abstractNumId w:val="7"/>
  </w:num>
  <w:num w:numId="11" w16cid:durableId="1199052595">
    <w:abstractNumId w:val="4"/>
  </w:num>
  <w:num w:numId="12" w16cid:durableId="1273321087">
    <w:abstractNumId w:val="3"/>
  </w:num>
  <w:num w:numId="13" w16cid:durableId="500512163">
    <w:abstractNumId w:val="15"/>
  </w:num>
  <w:num w:numId="14" w16cid:durableId="650018024">
    <w:abstractNumId w:val="11"/>
  </w:num>
  <w:num w:numId="15" w16cid:durableId="1191185025">
    <w:abstractNumId w:val="1"/>
  </w:num>
  <w:num w:numId="16" w16cid:durableId="385185097">
    <w:abstractNumId w:val="19"/>
  </w:num>
  <w:num w:numId="17" w16cid:durableId="1765297384">
    <w:abstractNumId w:val="5"/>
  </w:num>
  <w:num w:numId="18" w16cid:durableId="739332065">
    <w:abstractNumId w:val="8"/>
  </w:num>
  <w:num w:numId="19" w16cid:durableId="1617372298">
    <w:abstractNumId w:val="17"/>
  </w:num>
  <w:num w:numId="20" w16cid:durableId="1591811902">
    <w:abstractNumId w:val="10"/>
  </w:num>
  <w:num w:numId="21" w16cid:durableId="2078355202">
    <w:abstractNumId w:val="21"/>
  </w:num>
  <w:num w:numId="22" w16cid:durableId="192480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8E"/>
    <w:rsid w:val="00055AA0"/>
    <w:rsid w:val="0006740F"/>
    <w:rsid w:val="000A4BB8"/>
    <w:rsid w:val="000D4D86"/>
    <w:rsid w:val="000D5DBF"/>
    <w:rsid w:val="00110F3E"/>
    <w:rsid w:val="001611C8"/>
    <w:rsid w:val="00162010"/>
    <w:rsid w:val="001B012E"/>
    <w:rsid w:val="001B176F"/>
    <w:rsid w:val="001B708E"/>
    <w:rsid w:val="001C5FED"/>
    <w:rsid w:val="001C6C05"/>
    <w:rsid w:val="00242610"/>
    <w:rsid w:val="002547E6"/>
    <w:rsid w:val="00275AF2"/>
    <w:rsid w:val="00286A63"/>
    <w:rsid w:val="002C1443"/>
    <w:rsid w:val="002C1D3F"/>
    <w:rsid w:val="002F39C5"/>
    <w:rsid w:val="0030438C"/>
    <w:rsid w:val="003339AE"/>
    <w:rsid w:val="003361C9"/>
    <w:rsid w:val="00337C38"/>
    <w:rsid w:val="00366981"/>
    <w:rsid w:val="0037449A"/>
    <w:rsid w:val="003B1671"/>
    <w:rsid w:val="00410ABB"/>
    <w:rsid w:val="00466EA5"/>
    <w:rsid w:val="004972AB"/>
    <w:rsid w:val="004A71C7"/>
    <w:rsid w:val="0052129E"/>
    <w:rsid w:val="00530743"/>
    <w:rsid w:val="00531C94"/>
    <w:rsid w:val="005A61C9"/>
    <w:rsid w:val="005C4F7A"/>
    <w:rsid w:val="005D0C36"/>
    <w:rsid w:val="005D39BC"/>
    <w:rsid w:val="005F4971"/>
    <w:rsid w:val="006043B6"/>
    <w:rsid w:val="00626B5E"/>
    <w:rsid w:val="00694EDA"/>
    <w:rsid w:val="006C1AFF"/>
    <w:rsid w:val="006C50B9"/>
    <w:rsid w:val="006F370A"/>
    <w:rsid w:val="00781F01"/>
    <w:rsid w:val="0078717A"/>
    <w:rsid w:val="00795F6F"/>
    <w:rsid w:val="007A6B90"/>
    <w:rsid w:val="007B0BA9"/>
    <w:rsid w:val="007B60A9"/>
    <w:rsid w:val="007C171E"/>
    <w:rsid w:val="0088396F"/>
    <w:rsid w:val="008A2A92"/>
    <w:rsid w:val="008A7AF2"/>
    <w:rsid w:val="00904962"/>
    <w:rsid w:val="009221C2"/>
    <w:rsid w:val="00945643"/>
    <w:rsid w:val="00972F15"/>
    <w:rsid w:val="0097577A"/>
    <w:rsid w:val="00986BF6"/>
    <w:rsid w:val="00992E9A"/>
    <w:rsid w:val="009B57E4"/>
    <w:rsid w:val="009C325B"/>
    <w:rsid w:val="009C45CB"/>
    <w:rsid w:val="00A1733A"/>
    <w:rsid w:val="00A251BE"/>
    <w:rsid w:val="00A6219A"/>
    <w:rsid w:val="00A80AD4"/>
    <w:rsid w:val="00AE4ABF"/>
    <w:rsid w:val="00B827A8"/>
    <w:rsid w:val="00B854D8"/>
    <w:rsid w:val="00BB0F61"/>
    <w:rsid w:val="00BD574A"/>
    <w:rsid w:val="00C15EC8"/>
    <w:rsid w:val="00C2580E"/>
    <w:rsid w:val="00C41F76"/>
    <w:rsid w:val="00C5552C"/>
    <w:rsid w:val="00C721B1"/>
    <w:rsid w:val="00C80D8E"/>
    <w:rsid w:val="00D06ACA"/>
    <w:rsid w:val="00D22CF8"/>
    <w:rsid w:val="00DA0122"/>
    <w:rsid w:val="00DA0C4C"/>
    <w:rsid w:val="00DE76ED"/>
    <w:rsid w:val="00DF7637"/>
    <w:rsid w:val="00E02541"/>
    <w:rsid w:val="00E262A7"/>
    <w:rsid w:val="00E615D5"/>
    <w:rsid w:val="00EC46BA"/>
    <w:rsid w:val="00EF01F6"/>
    <w:rsid w:val="00F03AD6"/>
    <w:rsid w:val="00F0617F"/>
    <w:rsid w:val="00F425D8"/>
    <w:rsid w:val="00FA099F"/>
    <w:rsid w:val="00FC00B6"/>
    <w:rsid w:val="00FC0C92"/>
    <w:rsid w:val="00F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BED1"/>
  <w15:chartTrackingRefBased/>
  <w15:docId w15:val="{8DF40653-6F57-45C3-8619-A664E30F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370A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D22CF8"/>
    <w:rPr>
      <w:b/>
      <w:bCs/>
    </w:rPr>
  </w:style>
  <w:style w:type="character" w:styleId="Emphasis">
    <w:name w:val="Emphasis"/>
    <w:basedOn w:val="DefaultParagraphFont"/>
    <w:uiPriority w:val="20"/>
    <w:qFormat/>
    <w:rsid w:val="00D22CF8"/>
    <w:rPr>
      <w:i/>
      <w:iCs/>
    </w:rPr>
  </w:style>
  <w:style w:type="paragraph" w:styleId="Revision">
    <w:name w:val="Revision"/>
    <w:hidden/>
    <w:uiPriority w:val="99"/>
    <w:semiHidden/>
    <w:rsid w:val="00D22C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7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1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6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B90"/>
  </w:style>
  <w:style w:type="paragraph" w:styleId="Footer">
    <w:name w:val="footer"/>
    <w:basedOn w:val="Normal"/>
    <w:link w:val="FooterChar"/>
    <w:uiPriority w:val="99"/>
    <w:unhideWhenUsed/>
    <w:rsid w:val="007A6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0"/>
  </w:style>
  <w:style w:type="character" w:customStyle="1" w:styleId="Heading1Char">
    <w:name w:val="Heading 1 Char"/>
    <w:basedOn w:val="DefaultParagraphFont"/>
    <w:link w:val="Heading1"/>
    <w:rsid w:val="006F370A"/>
    <w:rPr>
      <w:rFonts w:eastAsia="SimSun"/>
      <w:b/>
      <w:bCs/>
      <w:caps/>
      <w:kern w:val="32"/>
      <w:szCs w:val="3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9782-CD07-4B8F-A892-F989EE82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</dc:creator>
  <cp:keywords/>
  <dc:description/>
  <cp:lastModifiedBy>MOSTAJO Apolonia</cp:lastModifiedBy>
  <cp:revision>2</cp:revision>
  <cp:lastPrinted>2023-11-02T15:35:00Z</cp:lastPrinted>
  <dcterms:created xsi:type="dcterms:W3CDTF">2023-11-06T15:11:00Z</dcterms:created>
  <dcterms:modified xsi:type="dcterms:W3CDTF">2023-11-06T15:11:00Z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2023-10-24T08:24:38Z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e45960c8-a91f-4543-9a99-f4fafc12d32e</vt:lpwstr>
  </property>
  <property fmtid="{D5CDD505-2E9C-101B-9397-08002B2CF9AE}" pid="8" name="MSIP_Label_20773ee6-353b-4fb9-a59d-0b94c8c67bea_ContentBits">
    <vt:lpwstr>0</vt:lpwstr>
  </property>
</Properties>
</file>