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31B5" w14:textId="77777777" w:rsidR="008B2CC1" w:rsidRPr="00F53844" w:rsidRDefault="008B14EA" w:rsidP="008B14EA">
      <w:pPr>
        <w:spacing w:after="120"/>
        <w:jc w:val="right"/>
        <w:rPr>
          <w:lang w:val="es-419"/>
        </w:rPr>
      </w:pPr>
      <w:r w:rsidRPr="00F53844">
        <w:rPr>
          <w:noProof/>
          <w:lang w:val="es-419" w:eastAsia="en-US"/>
        </w:rPr>
        <w:drawing>
          <wp:inline distT="0" distB="0" distL="0" distR="0" wp14:anchorId="74F91031" wp14:editId="11EF22F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53844">
        <w:rPr>
          <w:rFonts w:ascii="Arial Black" w:hAnsi="Arial Black"/>
          <w:caps/>
          <w:noProof/>
          <w:sz w:val="15"/>
          <w:szCs w:val="15"/>
          <w:lang w:val="es-419" w:eastAsia="en-US"/>
        </w:rPr>
        <mc:AlternateContent>
          <mc:Choice Requires="wps">
            <w:drawing>
              <wp:inline distT="0" distB="0" distL="0" distR="0" wp14:anchorId="1E1DE8B4" wp14:editId="7C74FBF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C44333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C60D6C6" w14:textId="6AE39CE2" w:rsidR="008B2CC1" w:rsidRPr="00F53844" w:rsidRDefault="0066216D" w:rsidP="008B14EA">
      <w:pPr>
        <w:jc w:val="right"/>
        <w:rPr>
          <w:rFonts w:ascii="Arial Black" w:hAnsi="Arial Black"/>
          <w:caps/>
          <w:sz w:val="15"/>
          <w:lang w:val="es-419"/>
        </w:rPr>
      </w:pPr>
      <w:r w:rsidRPr="00F53844">
        <w:rPr>
          <w:rFonts w:ascii="Arial Black" w:hAnsi="Arial Black"/>
          <w:caps/>
          <w:sz w:val="15"/>
          <w:lang w:val="es-419"/>
        </w:rPr>
        <w:t>CWS/1</w:t>
      </w:r>
      <w:r w:rsidR="00CD5D91" w:rsidRPr="00F53844">
        <w:rPr>
          <w:rFonts w:ascii="Arial Black" w:hAnsi="Arial Black"/>
          <w:caps/>
          <w:sz w:val="15"/>
          <w:lang w:val="es-419"/>
        </w:rPr>
        <w:t>1</w:t>
      </w:r>
      <w:r w:rsidRPr="00F53844">
        <w:rPr>
          <w:rFonts w:ascii="Arial Black" w:hAnsi="Arial Black"/>
          <w:caps/>
          <w:sz w:val="15"/>
          <w:lang w:val="es-419"/>
        </w:rPr>
        <w:t>/</w:t>
      </w:r>
      <w:bookmarkStart w:id="0" w:name="Code"/>
      <w:bookmarkEnd w:id="0"/>
      <w:r w:rsidR="00B81D09" w:rsidRPr="00F53844">
        <w:rPr>
          <w:rFonts w:ascii="Arial Black" w:hAnsi="Arial Black"/>
          <w:caps/>
          <w:sz w:val="15"/>
          <w:lang w:val="es-419"/>
        </w:rPr>
        <w:t>24</w:t>
      </w:r>
    </w:p>
    <w:p w14:paraId="5A1C6B08" w14:textId="77777777" w:rsidR="008B2CC1" w:rsidRPr="00F53844" w:rsidRDefault="008B14EA" w:rsidP="008B14EA">
      <w:pPr>
        <w:jc w:val="right"/>
        <w:rPr>
          <w:rFonts w:ascii="Arial Black" w:hAnsi="Arial Black"/>
          <w:caps/>
          <w:sz w:val="15"/>
          <w:lang w:val="es-419"/>
        </w:rPr>
      </w:pPr>
      <w:r w:rsidRPr="00F53844">
        <w:rPr>
          <w:rFonts w:ascii="Arial Black" w:hAnsi="Arial Black"/>
          <w:caps/>
          <w:sz w:val="15"/>
          <w:lang w:val="es-419"/>
        </w:rPr>
        <w:t xml:space="preserve">ORIGINAL: </w:t>
      </w:r>
      <w:bookmarkStart w:id="1" w:name="Original"/>
      <w:r w:rsidR="00B81D09" w:rsidRPr="00F53844">
        <w:rPr>
          <w:rFonts w:ascii="Arial Black" w:hAnsi="Arial Black"/>
          <w:caps/>
          <w:sz w:val="15"/>
          <w:lang w:val="es-419"/>
        </w:rPr>
        <w:t>INGLÉS</w:t>
      </w:r>
    </w:p>
    <w:bookmarkEnd w:id="1"/>
    <w:p w14:paraId="0F42EA8D" w14:textId="77777777" w:rsidR="008B2CC1" w:rsidRPr="00F53844" w:rsidRDefault="008B14EA" w:rsidP="008B14EA">
      <w:pPr>
        <w:spacing w:after="1200"/>
        <w:jc w:val="right"/>
        <w:rPr>
          <w:rFonts w:ascii="Arial Black" w:hAnsi="Arial Black"/>
          <w:caps/>
          <w:sz w:val="15"/>
          <w:lang w:val="es-419"/>
        </w:rPr>
      </w:pPr>
      <w:r w:rsidRPr="00F53844">
        <w:rPr>
          <w:rFonts w:ascii="Arial Black" w:hAnsi="Arial Black"/>
          <w:caps/>
          <w:sz w:val="15"/>
          <w:lang w:val="es-419"/>
        </w:rPr>
        <w:t xml:space="preserve">FECHA: </w:t>
      </w:r>
      <w:bookmarkStart w:id="2" w:name="Date"/>
      <w:r w:rsidR="00B81D09" w:rsidRPr="00F53844">
        <w:rPr>
          <w:rFonts w:ascii="Arial Black" w:hAnsi="Arial Black"/>
          <w:caps/>
          <w:sz w:val="15"/>
          <w:lang w:val="es-419"/>
        </w:rPr>
        <w:t>2 DE NOVIEMBRE DE 2023</w:t>
      </w:r>
    </w:p>
    <w:bookmarkEnd w:id="2"/>
    <w:p w14:paraId="152CD221" w14:textId="77777777" w:rsidR="008B2CC1" w:rsidRPr="00F53844" w:rsidRDefault="0066216D" w:rsidP="008B14EA">
      <w:pPr>
        <w:spacing w:after="600"/>
        <w:rPr>
          <w:b/>
          <w:sz w:val="28"/>
          <w:szCs w:val="28"/>
          <w:lang w:val="es-419"/>
        </w:rPr>
      </w:pPr>
      <w:r w:rsidRPr="00F53844">
        <w:rPr>
          <w:b/>
          <w:sz w:val="28"/>
          <w:szCs w:val="28"/>
          <w:lang w:val="es-419"/>
        </w:rPr>
        <w:t>Comité de Normas Técnicas de la OMPI (CWS)</w:t>
      </w:r>
    </w:p>
    <w:p w14:paraId="73860A96" w14:textId="77777777" w:rsidR="00511D0C" w:rsidRPr="00F53844" w:rsidRDefault="00CD5D91" w:rsidP="00511D0C">
      <w:pPr>
        <w:rPr>
          <w:b/>
          <w:sz w:val="28"/>
          <w:szCs w:val="24"/>
          <w:lang w:val="es-419"/>
        </w:rPr>
      </w:pPr>
      <w:r w:rsidRPr="00F53844">
        <w:rPr>
          <w:b/>
          <w:sz w:val="24"/>
          <w:lang w:val="es-419"/>
        </w:rPr>
        <w:t>Undécima sesión</w:t>
      </w:r>
    </w:p>
    <w:p w14:paraId="78510B15" w14:textId="77777777" w:rsidR="008B2CC1" w:rsidRPr="00F53844" w:rsidRDefault="0066216D" w:rsidP="008B14EA">
      <w:pPr>
        <w:spacing w:after="720"/>
        <w:rPr>
          <w:b/>
          <w:sz w:val="28"/>
          <w:szCs w:val="24"/>
          <w:lang w:val="es-419"/>
        </w:rPr>
      </w:pPr>
      <w:r w:rsidRPr="00F53844">
        <w:rPr>
          <w:b/>
          <w:sz w:val="24"/>
          <w:lang w:val="es-419"/>
        </w:rPr>
        <w:t xml:space="preserve">Ginebra, </w:t>
      </w:r>
      <w:r w:rsidR="00CD5D91" w:rsidRPr="00F53844">
        <w:rPr>
          <w:b/>
          <w:sz w:val="24"/>
          <w:lang w:val="es-419"/>
        </w:rPr>
        <w:t>4</w:t>
      </w:r>
      <w:r w:rsidRPr="00F53844">
        <w:rPr>
          <w:b/>
          <w:sz w:val="24"/>
          <w:lang w:val="es-419"/>
        </w:rPr>
        <w:t xml:space="preserve"> </w:t>
      </w:r>
      <w:r w:rsidR="00E64585" w:rsidRPr="00F53844">
        <w:rPr>
          <w:b/>
          <w:sz w:val="24"/>
          <w:lang w:val="es-419"/>
        </w:rPr>
        <w:t>a</w:t>
      </w:r>
      <w:r w:rsidRPr="00F53844">
        <w:rPr>
          <w:b/>
          <w:sz w:val="24"/>
          <w:lang w:val="es-419"/>
        </w:rPr>
        <w:t xml:space="preserve"> </w:t>
      </w:r>
      <w:r w:rsidR="00CD5D91" w:rsidRPr="00F53844">
        <w:rPr>
          <w:b/>
          <w:sz w:val="24"/>
          <w:lang w:val="es-419"/>
        </w:rPr>
        <w:t>8</w:t>
      </w:r>
      <w:r w:rsidRPr="00F53844">
        <w:rPr>
          <w:b/>
          <w:sz w:val="24"/>
          <w:lang w:val="es-419"/>
        </w:rPr>
        <w:t xml:space="preserve"> de </w:t>
      </w:r>
      <w:r w:rsidR="00CD5D91" w:rsidRPr="00F53844">
        <w:rPr>
          <w:b/>
          <w:sz w:val="24"/>
          <w:lang w:val="es-419"/>
        </w:rPr>
        <w:t>diciembre</w:t>
      </w:r>
      <w:r w:rsidRPr="00F53844">
        <w:rPr>
          <w:b/>
          <w:sz w:val="24"/>
          <w:lang w:val="es-419"/>
        </w:rPr>
        <w:t xml:space="preserve"> de 202</w:t>
      </w:r>
      <w:r w:rsidR="00CD5D91" w:rsidRPr="00F53844">
        <w:rPr>
          <w:b/>
          <w:sz w:val="24"/>
          <w:lang w:val="es-419"/>
        </w:rPr>
        <w:t>3</w:t>
      </w:r>
    </w:p>
    <w:p w14:paraId="582328BA" w14:textId="4D6D9798" w:rsidR="008B2CC1" w:rsidRPr="00F53844" w:rsidRDefault="00B81D09" w:rsidP="008B14EA">
      <w:pPr>
        <w:spacing w:after="360"/>
        <w:rPr>
          <w:caps/>
          <w:sz w:val="24"/>
          <w:lang w:val="es-419"/>
        </w:rPr>
      </w:pPr>
      <w:bookmarkStart w:id="3" w:name="TitleOfDoc"/>
      <w:r w:rsidRPr="00F53844">
        <w:rPr>
          <w:caps/>
          <w:sz w:val="24"/>
          <w:lang w:val="es-419"/>
        </w:rPr>
        <w:t>Informe del Equipo Técnico de la Parte 7 (tarea n.° 50)</w:t>
      </w:r>
    </w:p>
    <w:p w14:paraId="57DE4A66" w14:textId="617EE90C" w:rsidR="008B2CC1" w:rsidRPr="00F53844" w:rsidRDefault="00B81D09" w:rsidP="008B14EA">
      <w:pPr>
        <w:spacing w:after="960"/>
        <w:rPr>
          <w:i/>
          <w:lang w:val="es-419"/>
        </w:rPr>
      </w:pPr>
      <w:bookmarkStart w:id="4" w:name="Prepared"/>
      <w:bookmarkEnd w:id="3"/>
      <w:r w:rsidRPr="00F53844">
        <w:rPr>
          <w:i/>
          <w:lang w:val="es-419"/>
        </w:rPr>
        <w:t>preparado por el responsable del Equipo Técnico de la Parte 7</w:t>
      </w:r>
    </w:p>
    <w:bookmarkEnd w:id="4"/>
    <w:p w14:paraId="01CD2D0D" w14:textId="77777777" w:rsidR="00B81D09" w:rsidRPr="00F53844" w:rsidRDefault="00B81D09" w:rsidP="00B81D09">
      <w:pPr>
        <w:pStyle w:val="Heading2"/>
        <w:spacing w:before="0"/>
        <w:rPr>
          <w:rFonts w:eastAsia="Malgun Gothic"/>
          <w:caps w:val="0"/>
          <w:szCs w:val="22"/>
          <w:lang w:val="es-419"/>
        </w:rPr>
      </w:pPr>
      <w:r w:rsidRPr="00F53844">
        <w:rPr>
          <w:caps w:val="0"/>
          <w:lang w:val="es-419"/>
        </w:rPr>
        <w:t>RESUMEN</w:t>
      </w:r>
    </w:p>
    <w:p w14:paraId="3745EABE" w14:textId="77777777" w:rsidR="00B81D09" w:rsidRPr="00F53844" w:rsidRDefault="00B81D09" w:rsidP="00B81D09">
      <w:pPr>
        <w:rPr>
          <w:iCs/>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El Equipo Técnico de la Parte 7, que trabaja en el marco de la tarea n.° 50, informa de sus actividades desde la última sesión del Comité de Normas Técnicas de la OMPI (CWS) y señala algunas cuestiones que han surgido: estudio de si las dos encuestas programadas para su distribución este año han dado lugar a que la encuesta sobre prácticas de citación se revise y probablemente se realice en 2024 y la encuesta sobre información bibliográfica en boletines de patentes solo se revise si el CWS desea revisar la norma ST.11 o ST.19 de la OMPI.</w:t>
      </w:r>
    </w:p>
    <w:p w14:paraId="104B5C83" w14:textId="77777777" w:rsidR="00B81D09" w:rsidRPr="00F53844" w:rsidRDefault="00B81D09" w:rsidP="00B81D09">
      <w:pPr>
        <w:rPr>
          <w:lang w:val="es-419"/>
        </w:rPr>
      </w:pPr>
    </w:p>
    <w:p w14:paraId="3628BDC5" w14:textId="77777777" w:rsidR="00B81D09" w:rsidRPr="00F53844" w:rsidRDefault="00B81D09" w:rsidP="00B81D09">
      <w:pPr>
        <w:pStyle w:val="Heading2"/>
        <w:spacing w:before="0"/>
        <w:rPr>
          <w:rFonts w:eastAsia="Malgun Gothic"/>
          <w:caps w:val="0"/>
          <w:szCs w:val="22"/>
          <w:lang w:val="es-419"/>
        </w:rPr>
      </w:pPr>
      <w:r w:rsidRPr="00F53844">
        <w:rPr>
          <w:caps w:val="0"/>
          <w:lang w:val="es-419"/>
        </w:rPr>
        <w:t>ANTECEDENTES</w:t>
      </w:r>
    </w:p>
    <w:p w14:paraId="54050089" w14:textId="77777777" w:rsidR="00B81D09" w:rsidRPr="00F53844" w:rsidRDefault="00B81D09" w:rsidP="00B81D09">
      <w:pPr>
        <w:spacing w:after="240"/>
        <w:rPr>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En su novena sesión de 2021, el CWS aprobó el plan de trabajo revisado para la actualización de la Parte 7 del Manual de la OMPI, que incluye una encuesta sobre las fechas del calendario en 2022. El CWS aprobó un proceso simplificado para actualizar la Parte 7, cuyos resultados se recopilarán y publicarán sin presentar el cuestionario ni los resultados al CWS para su aprobación. El CWS pidió al Equipo Técnico que programe una actualización de la Parte 7.9, relativa a las prácticas de citación (párrafos 110 a 114 del documento CWS/9/25).</w:t>
      </w:r>
    </w:p>
    <w:p w14:paraId="5EF27D08" w14:textId="77777777" w:rsidR="00B81D09" w:rsidRPr="00F53844" w:rsidRDefault="00B81D09" w:rsidP="00B81D09">
      <w:pPr>
        <w:spacing w:after="240"/>
        <w:rPr>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 xml:space="preserve">En su décima sesión, celebrada en 2022, se informó al CWS de que la Secretaría había emitido la circular C.CWS 162, en la que se invitaba a las Oficinas de propiedad intelectual a participar en la encuesta sobre la representación de las fechas. Además, tomó nota del análisis de las respuestas recibidas, que figuran en el documento CWS/10/18. </w:t>
      </w:r>
    </w:p>
    <w:p w14:paraId="17B38003" w14:textId="77777777" w:rsidR="00B81D09" w:rsidRPr="00F53844" w:rsidRDefault="00B81D09" w:rsidP="00B81D09">
      <w:pPr>
        <w:rPr>
          <w:lang w:val="es-419"/>
        </w:rPr>
      </w:pPr>
      <w:r w:rsidRPr="00F53844">
        <w:rPr>
          <w:lang w:val="es-419"/>
        </w:rPr>
        <w:br w:type="page"/>
      </w:r>
    </w:p>
    <w:p w14:paraId="5C42C057" w14:textId="77777777" w:rsidR="00B81D09" w:rsidRPr="00F53844" w:rsidRDefault="00B81D09" w:rsidP="00B81D09">
      <w:pPr>
        <w:spacing w:after="240"/>
        <w:rPr>
          <w:lang w:val="es-419"/>
        </w:rPr>
      </w:pPr>
      <w:r w:rsidRPr="00F53844">
        <w:rPr>
          <w:lang w:val="es-419"/>
        </w:rPr>
        <w:lastRenderedPageBreak/>
        <w:fldChar w:fldCharType="begin"/>
      </w:r>
      <w:r w:rsidRPr="00F53844">
        <w:rPr>
          <w:lang w:val="es-419"/>
        </w:rPr>
        <w:instrText xml:space="preserve"> AUTONUM  </w:instrText>
      </w:r>
      <w:r w:rsidRPr="00F53844">
        <w:rPr>
          <w:lang w:val="es-419"/>
        </w:rPr>
        <w:fldChar w:fldCharType="end"/>
      </w:r>
      <w:r w:rsidRPr="00F53844">
        <w:rPr>
          <w:lang w:val="es-419"/>
        </w:rPr>
        <w:tab/>
        <w:t>En la misma sesión de 2022, el CWS también examinó y aprobó el plan de trabajo actualizado del Equipo Técnico de la Parte 7, que se reproduce en el cuadro siguiente.</w:t>
      </w:r>
    </w:p>
    <w:tbl>
      <w:tblPr>
        <w:tblStyle w:val="TableGrid"/>
        <w:tblpPr w:leftFromText="180" w:rightFromText="180" w:vertAnchor="text" w:tblpY="1"/>
        <w:tblOverlap w:val="never"/>
        <w:tblW w:w="8995" w:type="dxa"/>
        <w:tblLayout w:type="fixed"/>
        <w:tblCellMar>
          <w:top w:w="57" w:type="dxa"/>
          <w:bottom w:w="57" w:type="dxa"/>
        </w:tblCellMar>
        <w:tblLook w:val="04A0" w:firstRow="1" w:lastRow="0" w:firstColumn="1" w:lastColumn="0" w:noHBand="0" w:noVBand="1"/>
      </w:tblPr>
      <w:tblGrid>
        <w:gridCol w:w="1555"/>
        <w:gridCol w:w="3543"/>
        <w:gridCol w:w="1467"/>
        <w:gridCol w:w="2430"/>
      </w:tblGrid>
      <w:tr w:rsidR="00B81D09" w:rsidRPr="00F53844" w14:paraId="4EE2518A" w14:textId="77777777" w:rsidTr="000648E0">
        <w:trPr>
          <w:trHeight w:val="721"/>
        </w:trPr>
        <w:tc>
          <w:tcPr>
            <w:tcW w:w="1555" w:type="dxa"/>
            <w:shd w:val="clear" w:color="auto" w:fill="D9D9D9" w:themeFill="background1" w:themeFillShade="D9"/>
            <w:vAlign w:val="center"/>
          </w:tcPr>
          <w:p w14:paraId="07D9ADDD" w14:textId="77777777" w:rsidR="00B81D09" w:rsidRPr="00F53844" w:rsidRDefault="00B81D09" w:rsidP="000648E0">
            <w:pPr>
              <w:spacing w:after="60"/>
              <w:jc w:val="center"/>
              <w:rPr>
                <w:b/>
                <w:lang w:val="es-419"/>
              </w:rPr>
            </w:pPr>
            <w:r w:rsidRPr="00F53844">
              <w:rPr>
                <w:b/>
                <w:lang w:val="es-419"/>
              </w:rPr>
              <w:t>Sección</w:t>
            </w:r>
          </w:p>
        </w:tc>
        <w:tc>
          <w:tcPr>
            <w:tcW w:w="3543" w:type="dxa"/>
            <w:shd w:val="clear" w:color="auto" w:fill="D9D9D9" w:themeFill="background1" w:themeFillShade="D9"/>
            <w:vAlign w:val="center"/>
          </w:tcPr>
          <w:p w14:paraId="44EFAC1C" w14:textId="77777777" w:rsidR="00B81D09" w:rsidRPr="00F53844" w:rsidRDefault="00B81D09" w:rsidP="000648E0">
            <w:pPr>
              <w:spacing w:after="60"/>
              <w:jc w:val="center"/>
              <w:rPr>
                <w:b/>
                <w:lang w:val="es-419"/>
              </w:rPr>
            </w:pPr>
            <w:r w:rsidRPr="00F53844">
              <w:rPr>
                <w:b/>
                <w:lang w:val="es-419"/>
              </w:rPr>
              <w:t>Tema</w:t>
            </w:r>
          </w:p>
        </w:tc>
        <w:tc>
          <w:tcPr>
            <w:tcW w:w="1467" w:type="dxa"/>
            <w:shd w:val="clear" w:color="auto" w:fill="D9D9D9" w:themeFill="background1" w:themeFillShade="D9"/>
            <w:vAlign w:val="center"/>
          </w:tcPr>
          <w:p w14:paraId="39AA8A2F" w14:textId="77777777" w:rsidR="00B81D09" w:rsidRPr="00F53844" w:rsidRDefault="00B81D09" w:rsidP="000648E0">
            <w:pPr>
              <w:spacing w:after="60"/>
              <w:jc w:val="center"/>
              <w:rPr>
                <w:b/>
                <w:lang w:val="es-419"/>
              </w:rPr>
            </w:pPr>
            <w:r w:rsidRPr="00F53844">
              <w:rPr>
                <w:b/>
                <w:lang w:val="es-419"/>
              </w:rPr>
              <w:t>Última publicación</w:t>
            </w:r>
          </w:p>
          <w:p w14:paraId="5E840902" w14:textId="77777777" w:rsidR="00B81D09" w:rsidRPr="00F53844" w:rsidRDefault="00B81D09" w:rsidP="000648E0">
            <w:pPr>
              <w:spacing w:after="60"/>
              <w:jc w:val="center"/>
              <w:rPr>
                <w:b/>
                <w:lang w:val="es-419"/>
              </w:rPr>
            </w:pPr>
          </w:p>
        </w:tc>
        <w:tc>
          <w:tcPr>
            <w:tcW w:w="2430" w:type="dxa"/>
            <w:shd w:val="clear" w:color="auto" w:fill="D9D9D9" w:themeFill="background1" w:themeFillShade="D9"/>
            <w:vAlign w:val="center"/>
          </w:tcPr>
          <w:p w14:paraId="0A5A8D10" w14:textId="77777777" w:rsidR="00B81D09" w:rsidRPr="00F53844" w:rsidRDefault="00B81D09" w:rsidP="000648E0">
            <w:pPr>
              <w:spacing w:after="60"/>
              <w:jc w:val="center"/>
              <w:rPr>
                <w:b/>
                <w:lang w:val="es-419"/>
              </w:rPr>
            </w:pPr>
            <w:r w:rsidRPr="00F53844">
              <w:rPr>
                <w:b/>
                <w:lang w:val="es-419"/>
              </w:rPr>
              <w:t>Estado</w:t>
            </w:r>
          </w:p>
        </w:tc>
      </w:tr>
      <w:tr w:rsidR="00B81D09" w:rsidRPr="00F53844" w14:paraId="7D9DDE72" w14:textId="77777777" w:rsidTr="000648E0">
        <w:tc>
          <w:tcPr>
            <w:tcW w:w="1555" w:type="dxa"/>
            <w:tcBorders>
              <w:top w:val="single" w:sz="4" w:space="0" w:color="auto"/>
              <w:bottom w:val="single" w:sz="4" w:space="0" w:color="auto"/>
            </w:tcBorders>
            <w:shd w:val="clear" w:color="auto" w:fill="auto"/>
          </w:tcPr>
          <w:p w14:paraId="5B5EF3D9" w14:textId="77777777" w:rsidR="00B81D09" w:rsidRPr="00F53844" w:rsidRDefault="00B81D09" w:rsidP="000648E0">
            <w:pPr>
              <w:spacing w:after="60"/>
              <w:rPr>
                <w:lang w:val="es-419"/>
              </w:rPr>
            </w:pPr>
            <w:r w:rsidRPr="00F53844">
              <w:rPr>
                <w:lang w:val="es-419"/>
              </w:rPr>
              <w:t>Parte 7.9</w:t>
            </w:r>
          </w:p>
        </w:tc>
        <w:tc>
          <w:tcPr>
            <w:tcW w:w="3543" w:type="dxa"/>
          </w:tcPr>
          <w:p w14:paraId="64BDA811" w14:textId="77777777" w:rsidR="00B81D09" w:rsidRPr="00F53844" w:rsidRDefault="00B81D09" w:rsidP="000648E0">
            <w:pPr>
              <w:spacing w:after="60"/>
              <w:rPr>
                <w:lang w:val="es-419"/>
              </w:rPr>
            </w:pPr>
            <w:r w:rsidRPr="00F53844">
              <w:rPr>
                <w:lang w:val="es-419"/>
              </w:rPr>
              <w:t>Prácticas de citación</w:t>
            </w:r>
          </w:p>
        </w:tc>
        <w:tc>
          <w:tcPr>
            <w:tcW w:w="1467" w:type="dxa"/>
            <w:shd w:val="clear" w:color="auto" w:fill="auto"/>
          </w:tcPr>
          <w:p w14:paraId="5AE58504" w14:textId="77777777" w:rsidR="00B81D09" w:rsidRPr="00F53844" w:rsidRDefault="00B81D09" w:rsidP="000648E0">
            <w:pPr>
              <w:spacing w:after="60"/>
              <w:jc w:val="center"/>
              <w:rPr>
                <w:lang w:val="es-419"/>
              </w:rPr>
            </w:pPr>
            <w:r w:rsidRPr="00F53844">
              <w:rPr>
                <w:lang w:val="es-419"/>
              </w:rPr>
              <w:t>2008</w:t>
            </w:r>
          </w:p>
        </w:tc>
        <w:tc>
          <w:tcPr>
            <w:tcW w:w="2430" w:type="dxa"/>
          </w:tcPr>
          <w:p w14:paraId="322CD96C" w14:textId="77777777" w:rsidR="00B81D09" w:rsidRPr="00F53844" w:rsidRDefault="00B81D09" w:rsidP="000648E0">
            <w:pPr>
              <w:spacing w:after="60"/>
              <w:jc w:val="center"/>
              <w:rPr>
                <w:lang w:val="es-419"/>
              </w:rPr>
            </w:pPr>
            <w:r w:rsidRPr="00F53844">
              <w:rPr>
                <w:lang w:val="es-419"/>
              </w:rPr>
              <w:t>Actualización en 2023</w:t>
            </w:r>
          </w:p>
        </w:tc>
      </w:tr>
      <w:tr w:rsidR="00B81D09" w:rsidRPr="00F53844" w14:paraId="48CE1F54" w14:textId="77777777" w:rsidTr="000648E0">
        <w:tc>
          <w:tcPr>
            <w:tcW w:w="1555" w:type="dxa"/>
            <w:tcBorders>
              <w:top w:val="single" w:sz="4" w:space="0" w:color="auto"/>
              <w:bottom w:val="single" w:sz="4" w:space="0" w:color="auto"/>
            </w:tcBorders>
            <w:shd w:val="clear" w:color="auto" w:fill="auto"/>
          </w:tcPr>
          <w:p w14:paraId="2C6BAFEE" w14:textId="77777777" w:rsidR="00B81D09" w:rsidRPr="00F53844" w:rsidRDefault="00B81D09" w:rsidP="000648E0">
            <w:pPr>
              <w:spacing w:after="60"/>
              <w:rPr>
                <w:lang w:val="es-419"/>
              </w:rPr>
            </w:pPr>
            <w:r w:rsidRPr="00F53844">
              <w:rPr>
                <w:lang w:val="es-419"/>
              </w:rPr>
              <w:t>Parte 7.6</w:t>
            </w:r>
          </w:p>
        </w:tc>
        <w:tc>
          <w:tcPr>
            <w:tcW w:w="3543" w:type="dxa"/>
          </w:tcPr>
          <w:p w14:paraId="3A490252" w14:textId="77777777" w:rsidR="00B81D09" w:rsidRPr="00F53844" w:rsidRDefault="00B81D09" w:rsidP="000648E0">
            <w:pPr>
              <w:spacing w:after="60"/>
              <w:rPr>
                <w:lang w:val="es-419"/>
              </w:rPr>
            </w:pPr>
            <w:r w:rsidRPr="00F53844">
              <w:rPr>
                <w:lang w:val="es-419"/>
              </w:rPr>
              <w:t>Información bibliográfica en boletines de patentes</w:t>
            </w:r>
          </w:p>
        </w:tc>
        <w:tc>
          <w:tcPr>
            <w:tcW w:w="1467" w:type="dxa"/>
            <w:shd w:val="clear" w:color="auto" w:fill="auto"/>
          </w:tcPr>
          <w:p w14:paraId="1DEADADC" w14:textId="77777777" w:rsidR="00B81D09" w:rsidRPr="00F53844" w:rsidRDefault="00B81D09" w:rsidP="000648E0">
            <w:pPr>
              <w:spacing w:after="60"/>
              <w:jc w:val="center"/>
              <w:rPr>
                <w:lang w:val="es-419"/>
              </w:rPr>
            </w:pPr>
            <w:r w:rsidRPr="00F53844">
              <w:rPr>
                <w:lang w:val="es-419"/>
              </w:rPr>
              <w:t>1990</w:t>
            </w:r>
          </w:p>
        </w:tc>
        <w:tc>
          <w:tcPr>
            <w:tcW w:w="2430" w:type="dxa"/>
          </w:tcPr>
          <w:p w14:paraId="55DADFF2" w14:textId="77777777" w:rsidR="00B81D09" w:rsidRPr="00F53844" w:rsidRDefault="00B81D09" w:rsidP="000648E0">
            <w:pPr>
              <w:spacing w:after="60"/>
              <w:jc w:val="center"/>
              <w:rPr>
                <w:lang w:val="es-419"/>
              </w:rPr>
            </w:pPr>
            <w:r w:rsidRPr="00F53844">
              <w:rPr>
                <w:lang w:val="es-419"/>
              </w:rPr>
              <w:t>Actualización en 2023</w:t>
            </w:r>
          </w:p>
        </w:tc>
      </w:tr>
      <w:tr w:rsidR="00B81D09" w:rsidRPr="00F53844" w14:paraId="704BC828" w14:textId="77777777" w:rsidTr="000648E0">
        <w:tc>
          <w:tcPr>
            <w:tcW w:w="1555" w:type="dxa"/>
            <w:shd w:val="clear" w:color="auto" w:fill="auto"/>
          </w:tcPr>
          <w:p w14:paraId="2694C03F" w14:textId="77777777" w:rsidR="00B81D09" w:rsidRPr="00F53844" w:rsidRDefault="00B81D09" w:rsidP="000648E0">
            <w:pPr>
              <w:spacing w:after="60"/>
              <w:rPr>
                <w:lang w:val="es-419"/>
              </w:rPr>
            </w:pPr>
            <w:r w:rsidRPr="00F53844">
              <w:rPr>
                <w:lang w:val="es-419"/>
              </w:rPr>
              <w:t>Parte 7.2.6 y</w:t>
            </w:r>
          </w:p>
          <w:p w14:paraId="339FE57D" w14:textId="77777777" w:rsidR="00B81D09" w:rsidRPr="00F53844" w:rsidRDefault="00B81D09" w:rsidP="000648E0">
            <w:pPr>
              <w:spacing w:after="60"/>
              <w:rPr>
                <w:lang w:val="es-419"/>
              </w:rPr>
            </w:pPr>
            <w:r w:rsidRPr="00F53844">
              <w:rPr>
                <w:lang w:val="es-419"/>
              </w:rPr>
              <w:t>Parte 7.2.7</w:t>
            </w:r>
          </w:p>
        </w:tc>
        <w:tc>
          <w:tcPr>
            <w:tcW w:w="3543" w:type="dxa"/>
          </w:tcPr>
          <w:p w14:paraId="1833B385" w14:textId="77777777" w:rsidR="00B81D09" w:rsidRPr="00F53844" w:rsidRDefault="00B81D09" w:rsidP="000648E0">
            <w:pPr>
              <w:spacing w:after="60"/>
              <w:rPr>
                <w:lang w:val="es-419"/>
              </w:rPr>
            </w:pPr>
            <w:r w:rsidRPr="00F53844">
              <w:rPr>
                <w:lang w:val="es-419"/>
              </w:rPr>
              <w:t>Numeración de solicitudes: prácticas vigentes y anteriores</w:t>
            </w:r>
          </w:p>
        </w:tc>
        <w:tc>
          <w:tcPr>
            <w:tcW w:w="1467" w:type="dxa"/>
            <w:shd w:val="clear" w:color="auto" w:fill="auto"/>
          </w:tcPr>
          <w:p w14:paraId="127AB742" w14:textId="77777777" w:rsidR="00B81D09" w:rsidRPr="00F53844" w:rsidRDefault="00B81D09" w:rsidP="000648E0">
            <w:pPr>
              <w:spacing w:after="60"/>
              <w:jc w:val="center"/>
              <w:rPr>
                <w:lang w:val="es-419"/>
              </w:rPr>
            </w:pPr>
            <w:r w:rsidRPr="00F53844">
              <w:rPr>
                <w:lang w:val="es-419"/>
              </w:rPr>
              <w:t>2017</w:t>
            </w:r>
          </w:p>
        </w:tc>
        <w:tc>
          <w:tcPr>
            <w:tcW w:w="2430" w:type="dxa"/>
          </w:tcPr>
          <w:p w14:paraId="08D50C76" w14:textId="77777777" w:rsidR="00B81D09" w:rsidRPr="00F53844" w:rsidRDefault="00B81D09" w:rsidP="000648E0">
            <w:pPr>
              <w:spacing w:after="60"/>
              <w:jc w:val="center"/>
              <w:rPr>
                <w:lang w:val="es-419"/>
              </w:rPr>
            </w:pPr>
            <w:r w:rsidRPr="00F53844">
              <w:rPr>
                <w:lang w:val="es-419"/>
              </w:rPr>
              <w:t>Actualización en 2024</w:t>
            </w:r>
          </w:p>
        </w:tc>
      </w:tr>
      <w:tr w:rsidR="00B81D09" w:rsidRPr="00F53844" w14:paraId="3AB4596C" w14:textId="77777777" w:rsidTr="000648E0">
        <w:tc>
          <w:tcPr>
            <w:tcW w:w="1555" w:type="dxa"/>
            <w:shd w:val="clear" w:color="auto" w:fill="auto"/>
          </w:tcPr>
          <w:p w14:paraId="264A96B3" w14:textId="77777777" w:rsidR="00B81D09" w:rsidRPr="00F53844" w:rsidRDefault="00B81D09" w:rsidP="000648E0">
            <w:pPr>
              <w:spacing w:after="60"/>
              <w:rPr>
                <w:lang w:val="es-419"/>
              </w:rPr>
            </w:pPr>
            <w:r w:rsidRPr="00F53844">
              <w:rPr>
                <w:lang w:val="es-419"/>
              </w:rPr>
              <w:t>Parte 7.3</w:t>
            </w:r>
          </w:p>
        </w:tc>
        <w:tc>
          <w:tcPr>
            <w:tcW w:w="3543" w:type="dxa"/>
          </w:tcPr>
          <w:p w14:paraId="168427B9" w14:textId="77777777" w:rsidR="00B81D09" w:rsidRPr="00F53844" w:rsidRDefault="00B81D09" w:rsidP="000648E0">
            <w:pPr>
              <w:spacing w:after="60"/>
              <w:rPr>
                <w:lang w:val="es-419"/>
              </w:rPr>
            </w:pPr>
            <w:r w:rsidRPr="00F53844">
              <w:rPr>
                <w:lang w:val="es-419"/>
              </w:rPr>
              <w:t>Ejemplos y tipos de documentos de patente</w:t>
            </w:r>
          </w:p>
        </w:tc>
        <w:tc>
          <w:tcPr>
            <w:tcW w:w="1467" w:type="dxa"/>
            <w:shd w:val="clear" w:color="auto" w:fill="auto"/>
          </w:tcPr>
          <w:p w14:paraId="66F49DC0" w14:textId="77777777" w:rsidR="00B81D09" w:rsidRPr="00F53844" w:rsidRDefault="00B81D09" w:rsidP="000648E0">
            <w:pPr>
              <w:spacing w:after="60"/>
              <w:jc w:val="center"/>
              <w:rPr>
                <w:lang w:val="es-419"/>
              </w:rPr>
            </w:pPr>
            <w:r w:rsidRPr="00F53844">
              <w:rPr>
                <w:lang w:val="es-419"/>
              </w:rPr>
              <w:t>2016</w:t>
            </w:r>
          </w:p>
        </w:tc>
        <w:tc>
          <w:tcPr>
            <w:tcW w:w="2430" w:type="dxa"/>
          </w:tcPr>
          <w:p w14:paraId="5154BBC5" w14:textId="77777777" w:rsidR="00B81D09" w:rsidRPr="00F53844" w:rsidRDefault="00B81D09" w:rsidP="000648E0">
            <w:pPr>
              <w:spacing w:after="60"/>
              <w:jc w:val="center"/>
              <w:rPr>
                <w:lang w:val="es-419"/>
              </w:rPr>
            </w:pPr>
            <w:r w:rsidRPr="00F53844">
              <w:rPr>
                <w:lang w:val="es-419"/>
              </w:rPr>
              <w:t>Actualización en 2025</w:t>
            </w:r>
          </w:p>
        </w:tc>
      </w:tr>
    </w:tbl>
    <w:p w14:paraId="33D74A71" w14:textId="2CDF5FD4" w:rsidR="00B81D09" w:rsidRPr="00F53844" w:rsidRDefault="00B81D09" w:rsidP="003636A4">
      <w:pPr>
        <w:spacing w:before="240" w:after="240"/>
        <w:rPr>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El CWS tomó nota de que las dos encuestas previstas para actualizar la Parte 7.6 y la Parte 7.9 se llevarían a cabo mediante el proceso simplificado aprobado en la novena sesión: recopilar y publicar los resultados sin presentar el cuestionario ni los resultados al CWS para su aprobación, sino presentando el análisis de las encuestas realizadas para su examen y aprobación por el CWS (párrafo 114 del documento CWS/9/25). Los resultados publicados se notificarán al CWS en la siguiente sesión.</w:t>
      </w:r>
    </w:p>
    <w:p w14:paraId="654FB275" w14:textId="77777777" w:rsidR="00B81D09" w:rsidRPr="00F53844" w:rsidRDefault="00B81D09" w:rsidP="00B81D09">
      <w:pPr>
        <w:pStyle w:val="Heading2"/>
        <w:spacing w:before="0"/>
        <w:rPr>
          <w:lang w:val="es-419"/>
        </w:rPr>
      </w:pPr>
      <w:r w:rsidRPr="00F53844">
        <w:rPr>
          <w:lang w:val="es-419"/>
        </w:rPr>
        <w:t>Informe de situación sobre la tarea n.° 50</w:t>
      </w:r>
    </w:p>
    <w:p w14:paraId="3D7E1170" w14:textId="77777777" w:rsidR="00B81D09" w:rsidRPr="00F53844" w:rsidRDefault="00B81D09" w:rsidP="00B81D09">
      <w:pPr>
        <w:pStyle w:val="Heading3"/>
        <w:spacing w:before="0" w:after="0"/>
        <w:rPr>
          <w:lang w:val="es-419"/>
        </w:rPr>
      </w:pPr>
      <w:r w:rsidRPr="00F53844">
        <w:rPr>
          <w:lang w:val="es-419"/>
        </w:rPr>
        <w:t>Objetivos</w:t>
      </w:r>
    </w:p>
    <w:p w14:paraId="286FD4D9" w14:textId="77777777" w:rsidR="00B81D09" w:rsidRPr="00F53844" w:rsidRDefault="00B81D09" w:rsidP="00B81D09">
      <w:pPr>
        <w:pStyle w:val="ONUMFS"/>
        <w:numPr>
          <w:ilvl w:val="0"/>
          <w:numId w:val="0"/>
        </w:numPr>
        <w:spacing w:after="0"/>
        <w:rPr>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 xml:space="preserve">Según su descripción, el objetivo de la tarea n.° 50 es velar por el mantenimiento y la actualización necesarios de las encuestas publicadas en la Parte 7 del Manual de la OMPI sobre Información y Documentación en materia de Propiedad Industrial. </w:t>
      </w:r>
    </w:p>
    <w:p w14:paraId="65455688" w14:textId="77777777" w:rsidR="00B81D09" w:rsidRPr="00F53844" w:rsidRDefault="00B81D09" w:rsidP="00B81D09">
      <w:pPr>
        <w:pStyle w:val="ONUMFS"/>
        <w:numPr>
          <w:ilvl w:val="0"/>
          <w:numId w:val="0"/>
        </w:numPr>
        <w:spacing w:after="0"/>
        <w:rPr>
          <w:lang w:val="es-419" w:eastAsia="en-US"/>
        </w:rPr>
      </w:pPr>
    </w:p>
    <w:p w14:paraId="3015871C" w14:textId="77777777" w:rsidR="00B81D09" w:rsidRPr="00F53844" w:rsidRDefault="00B81D09" w:rsidP="00B81D09">
      <w:pPr>
        <w:pStyle w:val="Heading3"/>
        <w:spacing w:before="0" w:after="0"/>
        <w:rPr>
          <w:lang w:val="es-419"/>
        </w:rPr>
      </w:pPr>
      <w:r w:rsidRPr="00F53844">
        <w:rPr>
          <w:lang w:val="es-419"/>
        </w:rPr>
        <w:t>Acciones correspondientes a 2023</w:t>
      </w:r>
    </w:p>
    <w:p w14:paraId="44ECFFA2" w14:textId="77777777" w:rsidR="00B81D09" w:rsidRPr="00F53844" w:rsidRDefault="00B81D09" w:rsidP="00B81D09">
      <w:pPr>
        <w:spacing w:after="240"/>
        <w:rPr>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 xml:space="preserve">La Secretaría actualizó la Parte 7.1 del Manual de la OMPI con los resultados de la encuesta sobre la representación de las fechas, de la que se informó a la décima sesión del CWS, en enero de 2023. </w:t>
      </w:r>
    </w:p>
    <w:p w14:paraId="5317C81C" w14:textId="77777777" w:rsidR="00B81D09" w:rsidRPr="00F53844" w:rsidRDefault="00B81D09" w:rsidP="00B81D09">
      <w:pPr>
        <w:spacing w:after="240"/>
        <w:rPr>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 xml:space="preserve">El Equipo Técnico estudió la manera de llevar a cabo las dos encuestas, previstas para 2023, pero señaló algunos problemas. Respecto a la encuesta para actualizar la Parte 7.6 del Manual de la OMPI (Información bibliográfica en boletines de patentes), se realizó la siguiente encuesta por última vez mediante la circular 1246/08.2 del Comité Permanente de Información sobre Propiedad Industrial (PCIPI), de 18 de agosto de 1989: </w:t>
      </w:r>
    </w:p>
    <w:p w14:paraId="5264C757" w14:textId="77777777" w:rsidR="00B81D09" w:rsidRPr="00F53844" w:rsidRDefault="00B81D09" w:rsidP="00B81D09">
      <w:pPr>
        <w:spacing w:after="240"/>
        <w:ind w:left="567"/>
        <w:rPr>
          <w:lang w:val="es-419"/>
        </w:rPr>
      </w:pPr>
      <w:r w:rsidRPr="00F53844">
        <w:rPr>
          <w:lang w:val="es-419"/>
        </w:rPr>
        <w:t>"</w:t>
      </w:r>
      <w:r w:rsidRPr="00F53844">
        <w:rPr>
          <w:i/>
          <w:iCs/>
          <w:lang w:val="es-419"/>
        </w:rPr>
        <w:t>Encuesta sobre la información bibliográfica contenida en los boletines de patentes y en los índices actuales insertados en los boletines de patentes o publicados por separado en asociación con los boletines de patentes</w:t>
      </w:r>
      <w:r w:rsidRPr="00F53844">
        <w:rPr>
          <w:lang w:val="es-419"/>
        </w:rPr>
        <w:t xml:space="preserve">" </w:t>
      </w:r>
    </w:p>
    <w:p w14:paraId="7F404764" w14:textId="77777777" w:rsidR="00B81D09" w:rsidRPr="00F53844" w:rsidRDefault="00B81D09" w:rsidP="00B81D09">
      <w:pPr>
        <w:spacing w:after="240"/>
        <w:rPr>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Tras analizar detenidamente el historial de esta encuesta de 1989, la Oficina Internacional observa que su principal objetivo era revisar las normas ST.11 y ST.19, como había solicitado el antiguo Grupo de Trabajo del PCIPI, que no se han revisado desde 1990. Por consiguiente, el Equipo Técnico pide al CWS que considere y decida si esas normas deben ser revisadas antes de realizar la encuesta. Si el CWS decide actualizar estas dos normas, la encuesta debería realizarse en 2024.</w:t>
      </w:r>
    </w:p>
    <w:p w14:paraId="5FFFD205" w14:textId="77777777" w:rsidR="00B81D09" w:rsidRPr="00F53844" w:rsidRDefault="00B81D09" w:rsidP="00B81D09">
      <w:pPr>
        <w:rPr>
          <w:iCs/>
          <w:lang w:val="es-419"/>
        </w:rPr>
      </w:pPr>
      <w:r w:rsidRPr="00F53844">
        <w:rPr>
          <w:lang w:val="es-419"/>
        </w:rPr>
        <w:br w:type="page"/>
      </w:r>
    </w:p>
    <w:p w14:paraId="7428EC0B" w14:textId="77777777" w:rsidR="00B81D09" w:rsidRPr="00F53844" w:rsidRDefault="00B81D09" w:rsidP="00B81D09">
      <w:pPr>
        <w:pStyle w:val="ONUMFS"/>
        <w:numPr>
          <w:ilvl w:val="0"/>
          <w:numId w:val="0"/>
        </w:numPr>
        <w:spacing w:after="0"/>
        <w:rPr>
          <w:lang w:val="es-419"/>
        </w:rPr>
      </w:pPr>
      <w:r w:rsidRPr="00F53844">
        <w:rPr>
          <w:lang w:val="es-419"/>
        </w:rPr>
        <w:lastRenderedPageBreak/>
        <w:fldChar w:fldCharType="begin"/>
      </w:r>
      <w:r w:rsidRPr="00F53844">
        <w:rPr>
          <w:lang w:val="es-419"/>
        </w:rPr>
        <w:instrText xml:space="preserve"> AUTONUM  </w:instrText>
      </w:r>
      <w:r w:rsidRPr="00F53844">
        <w:rPr>
          <w:lang w:val="es-419"/>
        </w:rPr>
        <w:fldChar w:fldCharType="end"/>
      </w:r>
      <w:r w:rsidRPr="00F53844">
        <w:rPr>
          <w:lang w:val="es-419"/>
        </w:rPr>
        <w:tab/>
        <w:t>Con respecto a la encuesta para actualizar la Parte 7.9 del Manual de la OMPI (Prácticas de citación), el Equipo Técnico examinó el cuestionario que se envió por última vez en 2008 (Anexo del presente documento) y debatió si el contenido sigue siendo válido para recabar información de las Oficinas de PI sobre sus prácticas actuales de citación. El Equipo Técnico acordó que el cuestionario de la encuesta debería actualizarse antes de iniciar una nueva encuesta a la luz de los nuevos tipos de citas, tales como las referencias a vídeos, nuevos formatos de datos y plataformas, entre otras razones. La Oficina Internacional, como responsable del Equipo técnico, ha estado preparando un cuestionario revisado para que sea examinado en esta sesión del CWS, en colaboración con los miembros del Equipo técnico, pero necesita más tiempo para finalizarlo. Una vez que el CWS lo apruebe, el Equipo Técnico de la Parte 7 preparará el cuestionario actualizado sobre las prácticas de citación y lo presentará en la próxima sesión del CWS, en 2024, para su examen y aprobación.</w:t>
      </w:r>
    </w:p>
    <w:p w14:paraId="60F46738" w14:textId="77777777" w:rsidR="00B81D09" w:rsidRPr="00F53844" w:rsidRDefault="00B81D09" w:rsidP="00B81D09">
      <w:pPr>
        <w:pStyle w:val="ONUMFS"/>
        <w:numPr>
          <w:ilvl w:val="0"/>
          <w:numId w:val="0"/>
        </w:numPr>
        <w:spacing w:after="0"/>
        <w:rPr>
          <w:lang w:val="es-419"/>
        </w:rPr>
      </w:pPr>
    </w:p>
    <w:p w14:paraId="1B28A7B0" w14:textId="77777777" w:rsidR="00B81D09" w:rsidRPr="00F53844" w:rsidRDefault="00B81D09" w:rsidP="00B81D09">
      <w:pPr>
        <w:pStyle w:val="ONUMFS"/>
        <w:numPr>
          <w:ilvl w:val="0"/>
          <w:numId w:val="0"/>
        </w:numPr>
        <w:spacing w:after="0"/>
        <w:rPr>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 xml:space="preserve">Una Oficina del Equipo Técnico también sugirió que el propósito específico de la encuesta y el uso previsto de la información recopilada deberían aclararse antes de llevarla a cabo, habida cuenta de que se requieren considerables recursos de personal. Por consiguiente, el Equipo Técnico de la Parte 7 aclarará quiénes son esos consumidores o usuarios finales de la información obtenida en la encuesta para sacarle así el máximo partido. </w:t>
      </w:r>
    </w:p>
    <w:p w14:paraId="01B5C456" w14:textId="77777777" w:rsidR="00B81D09" w:rsidRPr="00F53844" w:rsidRDefault="00B81D09" w:rsidP="00B81D09">
      <w:pPr>
        <w:pStyle w:val="ONUMFS"/>
        <w:numPr>
          <w:ilvl w:val="0"/>
          <w:numId w:val="0"/>
        </w:numPr>
        <w:spacing w:after="0"/>
        <w:rPr>
          <w:szCs w:val="26"/>
          <w:u w:val="single"/>
          <w:lang w:val="es-419"/>
        </w:rPr>
      </w:pPr>
    </w:p>
    <w:p w14:paraId="3539CFF7" w14:textId="77777777" w:rsidR="00B81D09" w:rsidRPr="00F53844" w:rsidRDefault="00B81D09" w:rsidP="00B81D09">
      <w:pPr>
        <w:pStyle w:val="Heading3"/>
        <w:spacing w:before="0" w:after="0"/>
        <w:rPr>
          <w:lang w:val="es-419"/>
        </w:rPr>
      </w:pPr>
      <w:r w:rsidRPr="00F53844">
        <w:rPr>
          <w:lang w:val="es-419"/>
        </w:rPr>
        <w:t>Posibles retos o dependencias</w:t>
      </w:r>
    </w:p>
    <w:p w14:paraId="05EBFD78" w14:textId="77777777" w:rsidR="00B81D09" w:rsidRPr="00F53844" w:rsidRDefault="00B81D09" w:rsidP="00B81D09">
      <w:pPr>
        <w:pStyle w:val="ONUMFS"/>
        <w:numPr>
          <w:ilvl w:val="0"/>
          <w:numId w:val="0"/>
        </w:numPr>
        <w:rPr>
          <w:iCs/>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El Equipo Técnico ha determinado varios retos o dependencias a la hora de llevar a cabo su labor:</w:t>
      </w:r>
    </w:p>
    <w:p w14:paraId="49679AB1" w14:textId="77777777" w:rsidR="00B81D09" w:rsidRPr="00F53844" w:rsidRDefault="00B81D09" w:rsidP="00B81D09">
      <w:pPr>
        <w:pStyle w:val="ONUMFS"/>
        <w:numPr>
          <w:ilvl w:val="0"/>
          <w:numId w:val="7"/>
        </w:numPr>
        <w:rPr>
          <w:iCs/>
          <w:lang w:val="es-419"/>
        </w:rPr>
      </w:pPr>
      <w:r w:rsidRPr="00F53844">
        <w:rPr>
          <w:lang w:val="es-419"/>
        </w:rPr>
        <w:t>La Oficina Internacional dirige varias tareas y equipos técnicos del CWS, y está experimentando problemas de dotación de personal para apoyar y dirigir las actividades realizadas en el marco de la tarea n.° 50; y</w:t>
      </w:r>
    </w:p>
    <w:p w14:paraId="26A657B0" w14:textId="77777777" w:rsidR="00B81D09" w:rsidRPr="00F53844" w:rsidRDefault="00B81D09" w:rsidP="00B81D09">
      <w:pPr>
        <w:pStyle w:val="ONUMFS"/>
        <w:numPr>
          <w:ilvl w:val="0"/>
          <w:numId w:val="7"/>
        </w:numPr>
        <w:rPr>
          <w:iCs/>
          <w:lang w:val="es-419"/>
        </w:rPr>
      </w:pPr>
      <w:r w:rsidRPr="00F53844">
        <w:rPr>
          <w:lang w:val="es-419"/>
        </w:rPr>
        <w:t>No hay una participación activa en esta tarea, ya que es posible que no sea una prioridad para algunas Oficinas de PI.</w:t>
      </w:r>
    </w:p>
    <w:p w14:paraId="567EB72E" w14:textId="2DA4F74E" w:rsidR="00B81D09" w:rsidRPr="00F53844" w:rsidRDefault="00B81D09" w:rsidP="00B81D09">
      <w:pPr>
        <w:pStyle w:val="ONUMFS"/>
        <w:numPr>
          <w:ilvl w:val="0"/>
          <w:numId w:val="0"/>
        </w:numPr>
        <w:ind w:left="360"/>
        <w:rPr>
          <w:iCs/>
          <w:lang w:val="es-419"/>
        </w:rPr>
      </w:pPr>
      <w:r w:rsidRPr="00F53844">
        <w:rPr>
          <w:lang w:val="es-419"/>
        </w:rPr>
        <w:t xml:space="preserve">Antes de realizar las dos encuestas, el CWS debería examinar las cuestiones señaladas e indicar la manera de proceder. </w:t>
      </w:r>
    </w:p>
    <w:p w14:paraId="56463B0C" w14:textId="77777777" w:rsidR="00B81D09" w:rsidRPr="00F53844" w:rsidRDefault="00B81D09" w:rsidP="00B81D09">
      <w:pPr>
        <w:pStyle w:val="Heading3"/>
        <w:spacing w:before="0" w:after="0"/>
        <w:rPr>
          <w:lang w:val="es-419"/>
        </w:rPr>
      </w:pPr>
      <w:r w:rsidRPr="00F53844">
        <w:rPr>
          <w:lang w:val="es-419"/>
        </w:rPr>
        <w:t>Evaluación de los avances</w:t>
      </w:r>
    </w:p>
    <w:p w14:paraId="5F54254E" w14:textId="77777777" w:rsidR="00B81D09" w:rsidRPr="00F53844" w:rsidRDefault="00B81D09" w:rsidP="00B81D09">
      <w:pPr>
        <w:pStyle w:val="ONUMFS"/>
        <w:numPr>
          <w:ilvl w:val="0"/>
          <w:numId w:val="0"/>
        </w:numPr>
        <w:spacing w:after="0"/>
        <w:rPr>
          <w:iCs/>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 xml:space="preserve">Habida cuenta de los retos y dependencias indicados anteriormente, el Equipo Técnico no ha avanzado mucho desde la última sesión del CWS. Los resultados de las encuestas publicadas en la Parte 7 del Manual de la OMPI son útiles para comprender las prácticas de las Oficinas de PI, pero actualmente el Equipo Técnico está ocupado y no puede realizar grandes avances. </w:t>
      </w:r>
    </w:p>
    <w:p w14:paraId="3A281B65" w14:textId="77777777" w:rsidR="00B81D09" w:rsidRPr="00F53844" w:rsidRDefault="00B81D09" w:rsidP="00B81D09">
      <w:pPr>
        <w:pStyle w:val="ONUMFS"/>
        <w:numPr>
          <w:ilvl w:val="0"/>
          <w:numId w:val="0"/>
        </w:numPr>
        <w:spacing w:after="0"/>
        <w:rPr>
          <w:iCs/>
          <w:lang w:val="es-419"/>
        </w:rPr>
      </w:pPr>
    </w:p>
    <w:p w14:paraId="2FAFC769" w14:textId="77777777" w:rsidR="00B81D09" w:rsidRPr="00F53844" w:rsidRDefault="00B81D09" w:rsidP="00B81D09">
      <w:pPr>
        <w:pStyle w:val="ONUMFS"/>
        <w:numPr>
          <w:ilvl w:val="0"/>
          <w:numId w:val="0"/>
        </w:numPr>
        <w:spacing w:after="0"/>
        <w:rPr>
          <w:iCs/>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 xml:space="preserve">La Oficina Internacional propone sustituir la palabra "industrial" por "intelectual" en la descripción de la tarea n.° 50, ya que se ha modificado el título del Manual de la OMPI. La descripción revisada sería "Velar por el mantenimiento y la actualización necesarios de las encuestas publicadas en la Parte 7 del Manual de la OMPI sobre Información y Documentación en materia de Propiedad Intelectual". </w:t>
      </w:r>
    </w:p>
    <w:p w14:paraId="0581D932" w14:textId="77777777" w:rsidR="00B81D09" w:rsidRPr="00F53844" w:rsidRDefault="00B81D09" w:rsidP="00B81D09">
      <w:pPr>
        <w:pStyle w:val="Heading2"/>
        <w:spacing w:before="0"/>
        <w:rPr>
          <w:lang w:val="es-419"/>
        </w:rPr>
      </w:pPr>
    </w:p>
    <w:p w14:paraId="617602AB" w14:textId="77777777" w:rsidR="00B81D09" w:rsidRPr="00F53844" w:rsidRDefault="00B81D09" w:rsidP="00B81D09">
      <w:pPr>
        <w:rPr>
          <w:bCs/>
          <w:iCs/>
          <w:caps/>
          <w:szCs w:val="28"/>
          <w:lang w:val="es-419"/>
        </w:rPr>
      </w:pPr>
      <w:r w:rsidRPr="00F53844">
        <w:rPr>
          <w:lang w:val="es-419"/>
        </w:rPr>
        <w:br w:type="page"/>
      </w:r>
    </w:p>
    <w:p w14:paraId="07513A1C" w14:textId="77777777" w:rsidR="00B81D09" w:rsidRPr="00F53844" w:rsidRDefault="00B81D09" w:rsidP="00B81D09">
      <w:pPr>
        <w:pStyle w:val="Heading2"/>
        <w:spacing w:before="0"/>
        <w:rPr>
          <w:lang w:val="es-419"/>
        </w:rPr>
      </w:pPr>
      <w:r w:rsidRPr="00F53844">
        <w:rPr>
          <w:lang w:val="es-419"/>
        </w:rPr>
        <w:lastRenderedPageBreak/>
        <w:t>PLAN DE TRABAJO</w:t>
      </w:r>
    </w:p>
    <w:p w14:paraId="522EEB6F" w14:textId="54C2F0D4" w:rsidR="00B81D09" w:rsidRPr="00F53844" w:rsidRDefault="00B81D09" w:rsidP="00B81D09">
      <w:pPr>
        <w:rPr>
          <w:lang w:val="es-419"/>
        </w:rPr>
      </w:pPr>
      <w:r w:rsidRPr="00F53844">
        <w:rPr>
          <w:lang w:val="es-419"/>
        </w:rPr>
        <w:fldChar w:fldCharType="begin"/>
      </w:r>
      <w:r w:rsidRPr="00F53844">
        <w:rPr>
          <w:lang w:val="es-419"/>
        </w:rPr>
        <w:instrText xml:space="preserve"> AUTONUM  </w:instrText>
      </w:r>
      <w:r w:rsidRPr="00F53844">
        <w:rPr>
          <w:lang w:val="es-419"/>
        </w:rPr>
        <w:fldChar w:fldCharType="end"/>
      </w:r>
      <w:r w:rsidRPr="00F53844">
        <w:rPr>
          <w:lang w:val="es-419"/>
        </w:rPr>
        <w:tab/>
        <w:t>El plan de trabajo propuesto, que incorpora las consideraciones y los puntos de decisión anteriores, es el siguiente:</w:t>
      </w:r>
    </w:p>
    <w:p w14:paraId="559DE136" w14:textId="77777777" w:rsidR="003636A4" w:rsidRPr="00F53844" w:rsidRDefault="003636A4" w:rsidP="00B81D09">
      <w:pPr>
        <w:rPr>
          <w:lang w:val="es-419"/>
        </w:rPr>
      </w:pPr>
    </w:p>
    <w:tbl>
      <w:tblPr>
        <w:tblStyle w:val="TableGrid"/>
        <w:tblpPr w:leftFromText="180" w:rightFromText="180" w:vertAnchor="text" w:tblpY="1"/>
        <w:tblOverlap w:val="never"/>
        <w:tblW w:w="9209" w:type="dxa"/>
        <w:tblLayout w:type="fixed"/>
        <w:tblCellMar>
          <w:top w:w="57" w:type="dxa"/>
          <w:bottom w:w="57" w:type="dxa"/>
        </w:tblCellMar>
        <w:tblLook w:val="04A0" w:firstRow="1" w:lastRow="0" w:firstColumn="1" w:lastColumn="0" w:noHBand="0" w:noVBand="1"/>
      </w:tblPr>
      <w:tblGrid>
        <w:gridCol w:w="1555"/>
        <w:gridCol w:w="3300"/>
        <w:gridCol w:w="1519"/>
        <w:gridCol w:w="2835"/>
      </w:tblGrid>
      <w:tr w:rsidR="00B81D09" w:rsidRPr="00F53844" w14:paraId="75461E6D" w14:textId="77777777" w:rsidTr="003636A4">
        <w:trPr>
          <w:trHeight w:val="721"/>
        </w:trPr>
        <w:tc>
          <w:tcPr>
            <w:tcW w:w="1555" w:type="dxa"/>
            <w:shd w:val="clear" w:color="auto" w:fill="D9D9D9" w:themeFill="background1" w:themeFillShade="D9"/>
            <w:vAlign w:val="center"/>
          </w:tcPr>
          <w:p w14:paraId="6D0AE20E" w14:textId="77777777" w:rsidR="00B81D09" w:rsidRPr="00F53844" w:rsidRDefault="00B81D09" w:rsidP="000648E0">
            <w:pPr>
              <w:spacing w:after="60"/>
              <w:jc w:val="center"/>
              <w:rPr>
                <w:b/>
                <w:lang w:val="es-419"/>
              </w:rPr>
            </w:pPr>
            <w:r w:rsidRPr="00F53844">
              <w:rPr>
                <w:b/>
                <w:lang w:val="es-419"/>
              </w:rPr>
              <w:t>Sección</w:t>
            </w:r>
          </w:p>
        </w:tc>
        <w:tc>
          <w:tcPr>
            <w:tcW w:w="3300" w:type="dxa"/>
            <w:shd w:val="clear" w:color="auto" w:fill="D9D9D9" w:themeFill="background1" w:themeFillShade="D9"/>
            <w:vAlign w:val="center"/>
          </w:tcPr>
          <w:p w14:paraId="558F2008" w14:textId="77777777" w:rsidR="00B81D09" w:rsidRPr="00F53844" w:rsidRDefault="00B81D09" w:rsidP="000648E0">
            <w:pPr>
              <w:spacing w:after="60"/>
              <w:jc w:val="center"/>
              <w:rPr>
                <w:b/>
                <w:lang w:val="es-419"/>
              </w:rPr>
            </w:pPr>
            <w:r w:rsidRPr="00F53844">
              <w:rPr>
                <w:b/>
                <w:lang w:val="es-419"/>
              </w:rPr>
              <w:t>Tema</w:t>
            </w:r>
          </w:p>
        </w:tc>
        <w:tc>
          <w:tcPr>
            <w:tcW w:w="1519" w:type="dxa"/>
            <w:shd w:val="clear" w:color="auto" w:fill="D9D9D9" w:themeFill="background1" w:themeFillShade="D9"/>
            <w:vAlign w:val="center"/>
          </w:tcPr>
          <w:p w14:paraId="6ECCB0F0" w14:textId="77777777" w:rsidR="00B81D09" w:rsidRPr="00F53844" w:rsidRDefault="00B81D09" w:rsidP="000648E0">
            <w:pPr>
              <w:spacing w:after="60"/>
              <w:jc w:val="center"/>
              <w:rPr>
                <w:b/>
                <w:lang w:val="es-419"/>
              </w:rPr>
            </w:pPr>
            <w:r w:rsidRPr="00F53844">
              <w:rPr>
                <w:b/>
                <w:lang w:val="es-419"/>
              </w:rPr>
              <w:t>Última publicación</w:t>
            </w:r>
          </w:p>
          <w:p w14:paraId="3DACE5D1" w14:textId="77777777" w:rsidR="00B81D09" w:rsidRPr="00F53844" w:rsidRDefault="00B81D09" w:rsidP="000648E0">
            <w:pPr>
              <w:spacing w:after="60"/>
              <w:jc w:val="center"/>
              <w:rPr>
                <w:b/>
                <w:lang w:val="es-419"/>
              </w:rPr>
            </w:pPr>
          </w:p>
        </w:tc>
        <w:tc>
          <w:tcPr>
            <w:tcW w:w="2835" w:type="dxa"/>
            <w:shd w:val="clear" w:color="auto" w:fill="D9D9D9" w:themeFill="background1" w:themeFillShade="D9"/>
            <w:vAlign w:val="center"/>
          </w:tcPr>
          <w:p w14:paraId="2CF95BDE" w14:textId="77777777" w:rsidR="00B81D09" w:rsidRPr="00F53844" w:rsidRDefault="00B81D09" w:rsidP="000648E0">
            <w:pPr>
              <w:spacing w:after="60"/>
              <w:jc w:val="center"/>
              <w:rPr>
                <w:b/>
                <w:lang w:val="es-419"/>
              </w:rPr>
            </w:pPr>
            <w:r w:rsidRPr="00F53844">
              <w:rPr>
                <w:b/>
                <w:lang w:val="es-419"/>
              </w:rPr>
              <w:t>Estado</w:t>
            </w:r>
          </w:p>
        </w:tc>
      </w:tr>
      <w:tr w:rsidR="00B81D09" w:rsidRPr="00F53844" w14:paraId="4BB3A5BC" w14:textId="77777777" w:rsidTr="003636A4">
        <w:tc>
          <w:tcPr>
            <w:tcW w:w="1555" w:type="dxa"/>
            <w:tcBorders>
              <w:top w:val="single" w:sz="4" w:space="0" w:color="auto"/>
              <w:bottom w:val="single" w:sz="4" w:space="0" w:color="auto"/>
            </w:tcBorders>
            <w:shd w:val="clear" w:color="auto" w:fill="auto"/>
          </w:tcPr>
          <w:p w14:paraId="1E0A2014" w14:textId="77777777" w:rsidR="00B81D09" w:rsidRPr="00F53844" w:rsidRDefault="00B81D09" w:rsidP="000648E0">
            <w:pPr>
              <w:spacing w:after="60"/>
              <w:rPr>
                <w:lang w:val="es-419"/>
              </w:rPr>
            </w:pPr>
            <w:r w:rsidRPr="00F53844">
              <w:rPr>
                <w:lang w:val="es-419"/>
              </w:rPr>
              <w:t>Parte 7.9</w:t>
            </w:r>
          </w:p>
        </w:tc>
        <w:tc>
          <w:tcPr>
            <w:tcW w:w="3300" w:type="dxa"/>
          </w:tcPr>
          <w:p w14:paraId="057D6913" w14:textId="77777777" w:rsidR="00B81D09" w:rsidRPr="00F53844" w:rsidRDefault="00B81D09" w:rsidP="000648E0">
            <w:pPr>
              <w:spacing w:after="60"/>
              <w:rPr>
                <w:lang w:val="es-419"/>
              </w:rPr>
            </w:pPr>
            <w:r w:rsidRPr="00F53844">
              <w:rPr>
                <w:lang w:val="es-419"/>
              </w:rPr>
              <w:t>Prácticas de citación</w:t>
            </w:r>
          </w:p>
        </w:tc>
        <w:tc>
          <w:tcPr>
            <w:tcW w:w="1519" w:type="dxa"/>
            <w:shd w:val="clear" w:color="auto" w:fill="auto"/>
          </w:tcPr>
          <w:p w14:paraId="3734AE28" w14:textId="77777777" w:rsidR="00B81D09" w:rsidRPr="00F53844" w:rsidRDefault="00B81D09" w:rsidP="000648E0">
            <w:pPr>
              <w:spacing w:after="60"/>
              <w:jc w:val="center"/>
              <w:rPr>
                <w:lang w:val="es-419"/>
              </w:rPr>
            </w:pPr>
            <w:r w:rsidRPr="00F53844">
              <w:rPr>
                <w:lang w:val="es-419"/>
              </w:rPr>
              <w:t>2008</w:t>
            </w:r>
          </w:p>
        </w:tc>
        <w:tc>
          <w:tcPr>
            <w:tcW w:w="2835" w:type="dxa"/>
          </w:tcPr>
          <w:p w14:paraId="7B0A0D78" w14:textId="2CDDA79E" w:rsidR="00B81D09" w:rsidRPr="00F53844" w:rsidRDefault="00B81D09" w:rsidP="000648E0">
            <w:pPr>
              <w:spacing w:after="60"/>
              <w:jc w:val="center"/>
              <w:rPr>
                <w:lang w:val="es-419"/>
              </w:rPr>
            </w:pPr>
            <w:r w:rsidRPr="00F53844">
              <w:rPr>
                <w:lang w:val="es-419"/>
              </w:rPr>
              <w:t>Preparar una encuesta en</w:t>
            </w:r>
            <w:r w:rsidR="003636A4" w:rsidRPr="00F53844">
              <w:rPr>
                <w:lang w:val="es-419"/>
              </w:rPr>
              <w:t> </w:t>
            </w:r>
            <w:r w:rsidRPr="00F53844">
              <w:rPr>
                <w:lang w:val="es-419"/>
              </w:rPr>
              <w:t>2024 y actualizarla en</w:t>
            </w:r>
            <w:r w:rsidR="003636A4" w:rsidRPr="00F53844">
              <w:rPr>
                <w:lang w:val="es-419"/>
              </w:rPr>
              <w:t> </w:t>
            </w:r>
            <w:r w:rsidRPr="00F53844">
              <w:rPr>
                <w:lang w:val="es-419"/>
              </w:rPr>
              <w:t>2025 tras la decisión del CWS en su undécima sesión</w:t>
            </w:r>
          </w:p>
        </w:tc>
      </w:tr>
      <w:tr w:rsidR="00B81D09" w:rsidRPr="00F53844" w14:paraId="4F1F4C68" w14:textId="77777777" w:rsidTr="003636A4">
        <w:tc>
          <w:tcPr>
            <w:tcW w:w="1555" w:type="dxa"/>
            <w:tcBorders>
              <w:top w:val="single" w:sz="4" w:space="0" w:color="auto"/>
              <w:bottom w:val="single" w:sz="4" w:space="0" w:color="auto"/>
            </w:tcBorders>
            <w:shd w:val="clear" w:color="auto" w:fill="auto"/>
          </w:tcPr>
          <w:p w14:paraId="45EA01ED" w14:textId="77777777" w:rsidR="00B81D09" w:rsidRPr="00F53844" w:rsidRDefault="00B81D09" w:rsidP="000648E0">
            <w:pPr>
              <w:spacing w:after="60"/>
              <w:rPr>
                <w:lang w:val="es-419"/>
              </w:rPr>
            </w:pPr>
            <w:r w:rsidRPr="00F53844">
              <w:rPr>
                <w:lang w:val="es-419"/>
              </w:rPr>
              <w:t>Parte 7.6</w:t>
            </w:r>
          </w:p>
        </w:tc>
        <w:tc>
          <w:tcPr>
            <w:tcW w:w="3300" w:type="dxa"/>
          </w:tcPr>
          <w:p w14:paraId="3D58B8C4" w14:textId="77777777" w:rsidR="00B81D09" w:rsidRPr="00F53844" w:rsidRDefault="00B81D09" w:rsidP="000648E0">
            <w:pPr>
              <w:spacing w:after="60"/>
              <w:rPr>
                <w:lang w:val="es-419"/>
              </w:rPr>
            </w:pPr>
            <w:r w:rsidRPr="00F53844">
              <w:rPr>
                <w:lang w:val="es-419"/>
              </w:rPr>
              <w:t>Información bibliográfica en boletines de patentes</w:t>
            </w:r>
          </w:p>
        </w:tc>
        <w:tc>
          <w:tcPr>
            <w:tcW w:w="1519" w:type="dxa"/>
            <w:shd w:val="clear" w:color="auto" w:fill="auto"/>
          </w:tcPr>
          <w:p w14:paraId="0FB4FE9D" w14:textId="77777777" w:rsidR="00B81D09" w:rsidRPr="00F53844" w:rsidRDefault="00B81D09" w:rsidP="000648E0">
            <w:pPr>
              <w:spacing w:after="60"/>
              <w:jc w:val="center"/>
              <w:rPr>
                <w:lang w:val="es-419"/>
              </w:rPr>
            </w:pPr>
            <w:r w:rsidRPr="00F53844">
              <w:rPr>
                <w:lang w:val="es-419"/>
              </w:rPr>
              <w:t>1990</w:t>
            </w:r>
          </w:p>
        </w:tc>
        <w:tc>
          <w:tcPr>
            <w:tcW w:w="2835" w:type="dxa"/>
          </w:tcPr>
          <w:p w14:paraId="2D98847C" w14:textId="77777777" w:rsidR="00B81D09" w:rsidRPr="00F53844" w:rsidRDefault="00B81D09" w:rsidP="000648E0">
            <w:pPr>
              <w:spacing w:after="60"/>
              <w:jc w:val="center"/>
              <w:rPr>
                <w:lang w:val="es-419"/>
              </w:rPr>
            </w:pPr>
            <w:r w:rsidRPr="00F53844">
              <w:rPr>
                <w:lang w:val="es-419"/>
              </w:rPr>
              <w:t>2024 tras la decisión del CWS en su undécima sesión</w:t>
            </w:r>
          </w:p>
        </w:tc>
      </w:tr>
      <w:tr w:rsidR="00B81D09" w:rsidRPr="00F53844" w14:paraId="71264247" w14:textId="77777777" w:rsidTr="003636A4">
        <w:tc>
          <w:tcPr>
            <w:tcW w:w="1555" w:type="dxa"/>
            <w:shd w:val="clear" w:color="auto" w:fill="auto"/>
          </w:tcPr>
          <w:p w14:paraId="7EC316EE" w14:textId="77777777" w:rsidR="00B81D09" w:rsidRPr="00F53844" w:rsidRDefault="00B81D09" w:rsidP="000648E0">
            <w:pPr>
              <w:spacing w:after="60"/>
              <w:rPr>
                <w:lang w:val="es-419"/>
              </w:rPr>
            </w:pPr>
            <w:r w:rsidRPr="00F53844">
              <w:rPr>
                <w:lang w:val="es-419"/>
              </w:rPr>
              <w:t>Parte 7.2.6 y</w:t>
            </w:r>
          </w:p>
          <w:p w14:paraId="1D53B0E8" w14:textId="77777777" w:rsidR="00B81D09" w:rsidRPr="00F53844" w:rsidRDefault="00B81D09" w:rsidP="000648E0">
            <w:pPr>
              <w:spacing w:after="60"/>
              <w:rPr>
                <w:lang w:val="es-419"/>
              </w:rPr>
            </w:pPr>
            <w:r w:rsidRPr="00F53844">
              <w:rPr>
                <w:lang w:val="es-419"/>
              </w:rPr>
              <w:t>Parte 7.2.7</w:t>
            </w:r>
          </w:p>
        </w:tc>
        <w:tc>
          <w:tcPr>
            <w:tcW w:w="3300" w:type="dxa"/>
          </w:tcPr>
          <w:p w14:paraId="2EB68548" w14:textId="77777777" w:rsidR="00B81D09" w:rsidRPr="00F53844" w:rsidRDefault="00B81D09" w:rsidP="000648E0">
            <w:pPr>
              <w:spacing w:after="60"/>
              <w:rPr>
                <w:lang w:val="es-419"/>
              </w:rPr>
            </w:pPr>
            <w:r w:rsidRPr="00F53844">
              <w:rPr>
                <w:lang w:val="es-419"/>
              </w:rPr>
              <w:t>Numeración de solicitudes: prácticas vigentes y anteriores</w:t>
            </w:r>
          </w:p>
        </w:tc>
        <w:tc>
          <w:tcPr>
            <w:tcW w:w="1519" w:type="dxa"/>
            <w:shd w:val="clear" w:color="auto" w:fill="auto"/>
          </w:tcPr>
          <w:p w14:paraId="2B23DC32" w14:textId="77777777" w:rsidR="00B81D09" w:rsidRPr="00F53844" w:rsidRDefault="00B81D09" w:rsidP="000648E0">
            <w:pPr>
              <w:spacing w:after="60"/>
              <w:jc w:val="center"/>
              <w:rPr>
                <w:lang w:val="es-419"/>
              </w:rPr>
            </w:pPr>
            <w:r w:rsidRPr="00F53844">
              <w:rPr>
                <w:lang w:val="es-419"/>
              </w:rPr>
              <w:t>2017</w:t>
            </w:r>
          </w:p>
        </w:tc>
        <w:tc>
          <w:tcPr>
            <w:tcW w:w="2835" w:type="dxa"/>
          </w:tcPr>
          <w:p w14:paraId="19C3371E" w14:textId="77777777" w:rsidR="00B81D09" w:rsidRPr="00F53844" w:rsidRDefault="00B81D09" w:rsidP="000648E0">
            <w:pPr>
              <w:spacing w:after="60"/>
              <w:jc w:val="center"/>
              <w:rPr>
                <w:lang w:val="es-419"/>
              </w:rPr>
            </w:pPr>
            <w:r w:rsidRPr="00F53844">
              <w:rPr>
                <w:lang w:val="es-419"/>
              </w:rPr>
              <w:t>Actualización en 2025</w:t>
            </w:r>
          </w:p>
        </w:tc>
      </w:tr>
      <w:tr w:rsidR="00B81D09" w:rsidRPr="00F53844" w14:paraId="4905B1FB" w14:textId="77777777" w:rsidTr="003636A4">
        <w:tc>
          <w:tcPr>
            <w:tcW w:w="1555" w:type="dxa"/>
            <w:shd w:val="clear" w:color="auto" w:fill="auto"/>
          </w:tcPr>
          <w:p w14:paraId="63C98977" w14:textId="77777777" w:rsidR="00B81D09" w:rsidRPr="00F53844" w:rsidRDefault="00B81D09" w:rsidP="000648E0">
            <w:pPr>
              <w:spacing w:after="60"/>
              <w:rPr>
                <w:lang w:val="es-419"/>
              </w:rPr>
            </w:pPr>
            <w:r w:rsidRPr="00F53844">
              <w:rPr>
                <w:lang w:val="es-419"/>
              </w:rPr>
              <w:t>Parte 7.3</w:t>
            </w:r>
          </w:p>
        </w:tc>
        <w:tc>
          <w:tcPr>
            <w:tcW w:w="3300" w:type="dxa"/>
          </w:tcPr>
          <w:p w14:paraId="45AB74D2" w14:textId="77777777" w:rsidR="00B81D09" w:rsidRPr="00F53844" w:rsidRDefault="00B81D09" w:rsidP="000648E0">
            <w:pPr>
              <w:spacing w:after="60"/>
              <w:rPr>
                <w:lang w:val="es-419"/>
              </w:rPr>
            </w:pPr>
            <w:r w:rsidRPr="00F53844">
              <w:rPr>
                <w:lang w:val="es-419"/>
              </w:rPr>
              <w:t>Ejemplos y tipos de documentos de patente</w:t>
            </w:r>
          </w:p>
        </w:tc>
        <w:tc>
          <w:tcPr>
            <w:tcW w:w="1519" w:type="dxa"/>
            <w:shd w:val="clear" w:color="auto" w:fill="auto"/>
          </w:tcPr>
          <w:p w14:paraId="5DAD66EB" w14:textId="77777777" w:rsidR="00B81D09" w:rsidRPr="00F53844" w:rsidRDefault="00B81D09" w:rsidP="000648E0">
            <w:pPr>
              <w:spacing w:after="60"/>
              <w:jc w:val="center"/>
              <w:rPr>
                <w:lang w:val="es-419"/>
              </w:rPr>
            </w:pPr>
            <w:r w:rsidRPr="00F53844">
              <w:rPr>
                <w:lang w:val="es-419"/>
              </w:rPr>
              <w:t>2016</w:t>
            </w:r>
          </w:p>
        </w:tc>
        <w:tc>
          <w:tcPr>
            <w:tcW w:w="2835" w:type="dxa"/>
          </w:tcPr>
          <w:p w14:paraId="60521BE9" w14:textId="77777777" w:rsidR="00B81D09" w:rsidRPr="00F53844" w:rsidRDefault="00B81D09" w:rsidP="000648E0">
            <w:pPr>
              <w:spacing w:after="60"/>
              <w:jc w:val="center"/>
              <w:rPr>
                <w:lang w:val="es-419"/>
              </w:rPr>
            </w:pPr>
            <w:r w:rsidRPr="00F53844">
              <w:rPr>
                <w:lang w:val="es-419"/>
              </w:rPr>
              <w:t>Actualización en 2026</w:t>
            </w:r>
          </w:p>
        </w:tc>
      </w:tr>
    </w:tbl>
    <w:p w14:paraId="108E3EBC" w14:textId="77777777" w:rsidR="00B81D09" w:rsidRPr="00F53844" w:rsidRDefault="00B81D09" w:rsidP="00B81D09">
      <w:pPr>
        <w:rPr>
          <w:lang w:val="es-419" w:eastAsia="en-US"/>
        </w:rPr>
      </w:pPr>
    </w:p>
    <w:p w14:paraId="3C097F8C" w14:textId="77777777" w:rsidR="00B81D09" w:rsidRPr="00F53844" w:rsidRDefault="00B81D09" w:rsidP="003636A4">
      <w:pPr>
        <w:pStyle w:val="ONUMFS"/>
        <w:numPr>
          <w:ilvl w:val="0"/>
          <w:numId w:val="0"/>
        </w:numPr>
        <w:spacing w:after="120"/>
        <w:ind w:left="5534"/>
        <w:rPr>
          <w:i/>
          <w:lang w:val="es-419"/>
        </w:rPr>
      </w:pPr>
      <w:r w:rsidRPr="00F53844">
        <w:rPr>
          <w:i/>
          <w:lang w:val="es-419"/>
        </w:rPr>
        <w:fldChar w:fldCharType="begin"/>
      </w:r>
      <w:r w:rsidRPr="00F53844">
        <w:rPr>
          <w:i/>
          <w:lang w:val="es-419"/>
        </w:rPr>
        <w:instrText xml:space="preserve"> AUTONUM  </w:instrText>
      </w:r>
      <w:r w:rsidRPr="00F53844">
        <w:rPr>
          <w:i/>
          <w:lang w:val="es-419"/>
        </w:rPr>
        <w:fldChar w:fldCharType="end"/>
      </w:r>
      <w:r w:rsidRPr="00F53844">
        <w:rPr>
          <w:lang w:val="es-419"/>
        </w:rPr>
        <w:tab/>
      </w:r>
      <w:r w:rsidRPr="00F53844">
        <w:rPr>
          <w:i/>
          <w:iCs/>
          <w:lang w:val="es-419"/>
        </w:rPr>
        <w:t>Se invita al CWS a:</w:t>
      </w:r>
      <w:r w:rsidRPr="00F53844">
        <w:rPr>
          <w:i/>
          <w:lang w:val="es-419"/>
        </w:rPr>
        <w:t xml:space="preserve"> </w:t>
      </w:r>
    </w:p>
    <w:p w14:paraId="536F021D" w14:textId="43818150" w:rsidR="00B81D09" w:rsidRPr="00F53844" w:rsidRDefault="00B81D09" w:rsidP="003636A4">
      <w:pPr>
        <w:pStyle w:val="BodyText"/>
        <w:tabs>
          <w:tab w:val="left" w:pos="6804"/>
        </w:tabs>
        <w:ind w:left="5534" w:firstLine="703"/>
        <w:rPr>
          <w:i/>
          <w:lang w:val="es-419"/>
        </w:rPr>
      </w:pPr>
      <w:r w:rsidRPr="00F53844">
        <w:rPr>
          <w:i/>
          <w:lang w:val="es-419"/>
        </w:rPr>
        <w:t>a)</w:t>
      </w:r>
      <w:r w:rsidR="003636A4" w:rsidRPr="00F53844">
        <w:rPr>
          <w:i/>
          <w:lang w:val="es-419"/>
        </w:rPr>
        <w:tab/>
      </w:r>
      <w:r w:rsidRPr="00F53844">
        <w:rPr>
          <w:i/>
          <w:lang w:val="es-419"/>
        </w:rPr>
        <w:t>tomar nota del contenido del presente documento y de su Anexo; y</w:t>
      </w:r>
    </w:p>
    <w:p w14:paraId="64B0EDB9" w14:textId="680ABC96" w:rsidR="00B81D09" w:rsidRPr="00F53844" w:rsidRDefault="00B81D09" w:rsidP="003636A4">
      <w:pPr>
        <w:pStyle w:val="BodyText"/>
        <w:tabs>
          <w:tab w:val="left" w:pos="6804"/>
        </w:tabs>
        <w:ind w:left="5534" w:firstLine="703"/>
        <w:rPr>
          <w:i/>
          <w:lang w:val="es-419"/>
        </w:rPr>
      </w:pPr>
      <w:r w:rsidRPr="00F53844">
        <w:rPr>
          <w:i/>
          <w:lang w:val="es-419"/>
        </w:rPr>
        <w:t>b)</w:t>
      </w:r>
      <w:r w:rsidR="003636A4" w:rsidRPr="00F53844">
        <w:rPr>
          <w:i/>
          <w:lang w:val="es-419"/>
        </w:rPr>
        <w:tab/>
      </w:r>
      <w:r w:rsidRPr="00F53844">
        <w:rPr>
          <w:i/>
          <w:lang w:val="es-419"/>
        </w:rPr>
        <w:t xml:space="preserve">examinar y decidir la necesidad de revisar las normas ST.11 y ST.19 de la OMPI, y por consiguiente la encuesta para actualizar la Parte 7.6 del Manual de la OMPI (Información bibliográfica en los boletines de patentes), como se indica en los párrafos 8 y 9; </w:t>
      </w:r>
    </w:p>
    <w:p w14:paraId="729CAE37" w14:textId="18895891" w:rsidR="00B81D09" w:rsidRPr="00F53844" w:rsidRDefault="00B81D09" w:rsidP="003636A4">
      <w:pPr>
        <w:pStyle w:val="BodyText"/>
        <w:tabs>
          <w:tab w:val="left" w:pos="6804"/>
        </w:tabs>
        <w:ind w:left="5534" w:firstLine="703"/>
        <w:rPr>
          <w:i/>
          <w:lang w:val="es-419"/>
        </w:rPr>
      </w:pPr>
      <w:r w:rsidRPr="00F53844">
        <w:rPr>
          <w:i/>
          <w:lang w:val="es-419"/>
        </w:rPr>
        <w:t>c)</w:t>
      </w:r>
      <w:r w:rsidR="003636A4" w:rsidRPr="00F53844">
        <w:rPr>
          <w:i/>
          <w:lang w:val="es-419"/>
        </w:rPr>
        <w:tab/>
      </w:r>
      <w:r w:rsidRPr="00F53844">
        <w:rPr>
          <w:i/>
          <w:lang w:val="es-419"/>
        </w:rPr>
        <w:t>indicar la finalidad específica de la encuesta sobre las prácticas de citación y el uso previsto de la información recopilada, así como los consumidores de esa información, como se menciona en el párrafo 11;</w:t>
      </w:r>
    </w:p>
    <w:p w14:paraId="7FD47647" w14:textId="68E407BA" w:rsidR="00B81D09" w:rsidRPr="00F53844" w:rsidRDefault="00B81D09" w:rsidP="003636A4">
      <w:pPr>
        <w:pStyle w:val="BodyText"/>
        <w:tabs>
          <w:tab w:val="left" w:pos="6804"/>
        </w:tabs>
        <w:ind w:left="5534" w:firstLine="703"/>
        <w:rPr>
          <w:i/>
          <w:lang w:val="es-419"/>
        </w:rPr>
      </w:pPr>
      <w:r w:rsidRPr="00F53844">
        <w:rPr>
          <w:i/>
          <w:lang w:val="es-419"/>
        </w:rPr>
        <w:t>d)</w:t>
      </w:r>
      <w:r w:rsidR="003636A4" w:rsidRPr="00F53844">
        <w:rPr>
          <w:i/>
          <w:lang w:val="es-419"/>
        </w:rPr>
        <w:tab/>
      </w:r>
      <w:r w:rsidRPr="00F53844">
        <w:rPr>
          <w:i/>
          <w:lang w:val="es-419"/>
        </w:rPr>
        <w:t xml:space="preserve">decidir que el cuestionario de la encuesta sobre las prácticas de citación debe actualizarse y pedir al Equipo Técnico de la Parte 7 que presente un nuevo cuestionario en su duodécima sesión, como se señala en el párrafo 10; </w:t>
      </w:r>
    </w:p>
    <w:p w14:paraId="14CA7D34" w14:textId="1F72BDE1" w:rsidR="00B81D09" w:rsidRPr="00F53844" w:rsidRDefault="00B81D09" w:rsidP="003636A4">
      <w:pPr>
        <w:pStyle w:val="BodyText"/>
        <w:tabs>
          <w:tab w:val="left" w:pos="6804"/>
        </w:tabs>
        <w:ind w:left="5534" w:firstLine="703"/>
        <w:rPr>
          <w:i/>
          <w:lang w:val="es-419"/>
        </w:rPr>
      </w:pPr>
      <w:r w:rsidRPr="00F53844">
        <w:rPr>
          <w:i/>
          <w:lang w:val="es-419"/>
        </w:rPr>
        <w:lastRenderedPageBreak/>
        <w:t>e)</w:t>
      </w:r>
      <w:r w:rsidR="003636A4" w:rsidRPr="00F53844">
        <w:rPr>
          <w:i/>
          <w:lang w:val="es-419"/>
        </w:rPr>
        <w:tab/>
      </w:r>
      <w:r w:rsidRPr="00F53844">
        <w:rPr>
          <w:i/>
          <w:lang w:val="es-419"/>
        </w:rPr>
        <w:t xml:space="preserve">aprobar la modificación de la descripción de la tarea n.° 50, como se indica en el párrafo 14; y </w:t>
      </w:r>
    </w:p>
    <w:p w14:paraId="3731EDA9" w14:textId="1B2FB91B" w:rsidR="00B81D09" w:rsidRPr="00F53844" w:rsidRDefault="00B81D09" w:rsidP="003636A4">
      <w:pPr>
        <w:pStyle w:val="BodyText"/>
        <w:tabs>
          <w:tab w:val="left" w:pos="6804"/>
        </w:tabs>
        <w:ind w:left="5534" w:firstLine="703"/>
        <w:rPr>
          <w:szCs w:val="22"/>
          <w:lang w:val="es-419"/>
        </w:rPr>
      </w:pPr>
      <w:r w:rsidRPr="00F53844">
        <w:rPr>
          <w:i/>
          <w:lang w:val="es-419"/>
        </w:rPr>
        <w:t>f)</w:t>
      </w:r>
      <w:r w:rsidR="003636A4" w:rsidRPr="00F53844">
        <w:rPr>
          <w:i/>
          <w:lang w:val="es-419"/>
        </w:rPr>
        <w:tab/>
      </w:r>
      <w:r w:rsidRPr="00F53844">
        <w:rPr>
          <w:i/>
          <w:lang w:val="es-419"/>
        </w:rPr>
        <w:t xml:space="preserve">examinar y aprobar el plan de trabajo actualizado, como se indica en el párrafo 15. </w:t>
      </w:r>
    </w:p>
    <w:p w14:paraId="05D91B4D" w14:textId="10DD012D" w:rsidR="00152CEA" w:rsidRPr="00F53844" w:rsidRDefault="00B81D09" w:rsidP="003636A4">
      <w:pPr>
        <w:pStyle w:val="Endofdocument"/>
        <w:spacing w:before="720" w:line="240" w:lineRule="auto"/>
        <w:rPr>
          <w:lang w:val="es-419"/>
        </w:rPr>
      </w:pPr>
      <w:r w:rsidRPr="00F53844">
        <w:rPr>
          <w:sz w:val="22"/>
          <w:lang w:val="es-419"/>
        </w:rPr>
        <w:t>[Sigue el Anexo]</w:t>
      </w:r>
    </w:p>
    <w:sectPr w:rsidR="00152CEA" w:rsidRPr="00F53844" w:rsidSect="00B81D09">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25E7" w14:textId="77777777" w:rsidR="00B81D09" w:rsidRDefault="00B81D09">
      <w:r>
        <w:separator/>
      </w:r>
    </w:p>
  </w:endnote>
  <w:endnote w:type="continuationSeparator" w:id="0">
    <w:p w14:paraId="1C86F016" w14:textId="77777777" w:rsidR="00B81D09" w:rsidRPr="009D30E6" w:rsidRDefault="00B81D09" w:rsidP="007E663E">
      <w:pPr>
        <w:rPr>
          <w:sz w:val="17"/>
          <w:szCs w:val="17"/>
        </w:rPr>
      </w:pPr>
      <w:r w:rsidRPr="009D30E6">
        <w:rPr>
          <w:sz w:val="17"/>
          <w:szCs w:val="17"/>
        </w:rPr>
        <w:separator/>
      </w:r>
    </w:p>
    <w:p w14:paraId="7FB54977" w14:textId="77777777" w:rsidR="00B81D09" w:rsidRPr="007E663E" w:rsidRDefault="00B81D09" w:rsidP="007E663E">
      <w:pPr>
        <w:spacing w:after="60"/>
        <w:rPr>
          <w:sz w:val="17"/>
          <w:szCs w:val="17"/>
        </w:rPr>
      </w:pPr>
      <w:r>
        <w:rPr>
          <w:sz w:val="17"/>
        </w:rPr>
        <w:t>[Continuación de la nota de la página anterior]</w:t>
      </w:r>
    </w:p>
  </w:endnote>
  <w:endnote w:type="continuationNotice" w:id="1">
    <w:p w14:paraId="1B1BF23B" w14:textId="77777777" w:rsidR="00B81D09" w:rsidRPr="007E663E" w:rsidRDefault="00B81D0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BF7C" w14:textId="77777777" w:rsidR="003636A4" w:rsidRDefault="00363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68B" w14:textId="5A95A670" w:rsidR="001C55D5" w:rsidRDefault="001C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4846" w14:textId="7AF9C208" w:rsidR="001C55D5" w:rsidRDefault="001C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A7E7" w14:textId="77777777" w:rsidR="00B81D09" w:rsidRDefault="00B81D09">
      <w:r>
        <w:separator/>
      </w:r>
    </w:p>
  </w:footnote>
  <w:footnote w:type="continuationSeparator" w:id="0">
    <w:p w14:paraId="439B2975" w14:textId="77777777" w:rsidR="00B81D09" w:rsidRPr="009D30E6" w:rsidRDefault="00B81D09" w:rsidP="007E663E">
      <w:pPr>
        <w:rPr>
          <w:sz w:val="17"/>
          <w:szCs w:val="17"/>
        </w:rPr>
      </w:pPr>
      <w:r w:rsidRPr="009D30E6">
        <w:rPr>
          <w:sz w:val="17"/>
          <w:szCs w:val="17"/>
        </w:rPr>
        <w:separator/>
      </w:r>
    </w:p>
    <w:p w14:paraId="32923FB4" w14:textId="77777777" w:rsidR="00B81D09" w:rsidRPr="007E663E" w:rsidRDefault="00B81D09" w:rsidP="007E663E">
      <w:pPr>
        <w:spacing w:after="60"/>
        <w:rPr>
          <w:sz w:val="17"/>
          <w:szCs w:val="17"/>
        </w:rPr>
      </w:pPr>
      <w:r>
        <w:rPr>
          <w:sz w:val="17"/>
        </w:rPr>
        <w:t>[Continuación de la nota de la página anterior]</w:t>
      </w:r>
    </w:p>
  </w:footnote>
  <w:footnote w:type="continuationNotice" w:id="1">
    <w:p w14:paraId="0BF45820" w14:textId="77777777" w:rsidR="00B81D09" w:rsidRPr="007E663E" w:rsidRDefault="00B81D0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31A0" w14:textId="77777777" w:rsidR="003636A4" w:rsidRDefault="00363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AE9A" w14:textId="119625CB" w:rsidR="00F84474" w:rsidRDefault="00B81D09" w:rsidP="00477D6B">
    <w:pPr>
      <w:jc w:val="right"/>
    </w:pPr>
    <w:bookmarkStart w:id="5" w:name="Code2"/>
    <w:bookmarkEnd w:id="5"/>
    <w:r>
      <w:t>CWS/11/24</w:t>
    </w:r>
  </w:p>
  <w:p w14:paraId="086E07D7"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002F77EF" w14:textId="77777777" w:rsidR="00F84474" w:rsidRDefault="00F84474" w:rsidP="00477D6B">
    <w:pPr>
      <w:jc w:val="right"/>
    </w:pPr>
  </w:p>
  <w:p w14:paraId="3818C179"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E8B0" w14:textId="77777777" w:rsidR="003636A4" w:rsidRDefault="00363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5502466">
    <w:abstractNumId w:val="2"/>
  </w:num>
  <w:num w:numId="2" w16cid:durableId="1937712389">
    <w:abstractNumId w:val="5"/>
  </w:num>
  <w:num w:numId="3" w16cid:durableId="565072390">
    <w:abstractNumId w:val="0"/>
  </w:num>
  <w:num w:numId="4" w16cid:durableId="1708800138">
    <w:abstractNumId w:val="6"/>
  </w:num>
  <w:num w:numId="5" w16cid:durableId="886911872">
    <w:abstractNumId w:val="1"/>
  </w:num>
  <w:num w:numId="6" w16cid:durableId="771170778">
    <w:abstractNumId w:val="3"/>
  </w:num>
  <w:num w:numId="7" w16cid:durableId="537817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09"/>
    <w:rsid w:val="000E3BB3"/>
    <w:rsid w:val="000F5E56"/>
    <w:rsid w:val="00110D0F"/>
    <w:rsid w:val="001362EE"/>
    <w:rsid w:val="00152CEA"/>
    <w:rsid w:val="001832A6"/>
    <w:rsid w:val="001C4DD3"/>
    <w:rsid w:val="001C55D5"/>
    <w:rsid w:val="001D50D1"/>
    <w:rsid w:val="002634C4"/>
    <w:rsid w:val="002F4E68"/>
    <w:rsid w:val="00307787"/>
    <w:rsid w:val="00354647"/>
    <w:rsid w:val="003636A4"/>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7B0B33"/>
    <w:rsid w:val="007E63AC"/>
    <w:rsid w:val="007E663E"/>
    <w:rsid w:val="00815082"/>
    <w:rsid w:val="00843582"/>
    <w:rsid w:val="00884791"/>
    <w:rsid w:val="008B14EA"/>
    <w:rsid w:val="008B2CC1"/>
    <w:rsid w:val="0090731E"/>
    <w:rsid w:val="00966A22"/>
    <w:rsid w:val="00972F03"/>
    <w:rsid w:val="009A0C8B"/>
    <w:rsid w:val="009B6241"/>
    <w:rsid w:val="00A16FC0"/>
    <w:rsid w:val="00A32C9E"/>
    <w:rsid w:val="00A7453D"/>
    <w:rsid w:val="00AB613D"/>
    <w:rsid w:val="00B65A0A"/>
    <w:rsid w:val="00B72D36"/>
    <w:rsid w:val="00B81D09"/>
    <w:rsid w:val="00BA063E"/>
    <w:rsid w:val="00BC4164"/>
    <w:rsid w:val="00BD2DCC"/>
    <w:rsid w:val="00BE1A8C"/>
    <w:rsid w:val="00C06472"/>
    <w:rsid w:val="00C659D4"/>
    <w:rsid w:val="00C90559"/>
    <w:rsid w:val="00CD5D91"/>
    <w:rsid w:val="00D36B79"/>
    <w:rsid w:val="00D40CF0"/>
    <w:rsid w:val="00D56C7C"/>
    <w:rsid w:val="00D71B4D"/>
    <w:rsid w:val="00D90289"/>
    <w:rsid w:val="00D93D55"/>
    <w:rsid w:val="00E45C84"/>
    <w:rsid w:val="00E504E5"/>
    <w:rsid w:val="00E64585"/>
    <w:rsid w:val="00E73ABF"/>
    <w:rsid w:val="00EB7A3E"/>
    <w:rsid w:val="00EC401A"/>
    <w:rsid w:val="00EF530A"/>
    <w:rsid w:val="00EF6622"/>
    <w:rsid w:val="00F53844"/>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19A40"/>
  <w15:docId w15:val="{50555F2B-EFC3-4FF0-9691-3BCF6DD0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B81D0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B81D09"/>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B81D09"/>
    <w:rPr>
      <w:rFonts w:ascii="Arial" w:eastAsia="SimSun" w:hAnsi="Arial" w:cs="Arial"/>
      <w:sz w:val="22"/>
      <w:lang w:val="es-ES" w:eastAsia="zh-CN"/>
    </w:rPr>
  </w:style>
  <w:style w:type="paragraph" w:customStyle="1" w:styleId="Endofdocument">
    <w:name w:val="End of document"/>
    <w:basedOn w:val="Normal"/>
    <w:rsid w:val="00B81D09"/>
    <w:pPr>
      <w:spacing w:line="260" w:lineRule="atLeast"/>
      <w:ind w:left="5534"/>
    </w:pPr>
    <w:rPr>
      <w:rFonts w:eastAsia="Times New Roman" w:cs="Times New Roman"/>
      <w:sz w:val="20"/>
      <w:lang w:eastAsia="en-US"/>
    </w:rPr>
  </w:style>
  <w:style w:type="table" w:styleId="TableGrid">
    <w:name w:val="Table Grid"/>
    <w:basedOn w:val="TableNormal"/>
    <w:rsid w:val="00B81D09"/>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2</TotalTime>
  <Pages>5</Pages>
  <Words>1505</Words>
  <Characters>7666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CWS/11/24</dc:title>
  <dc:subject>Comité de Normas Técnicas de la OMPI (CWS), undécima sesión</dc:subject>
  <dc:creator>WIPO</dc:creator>
  <cp:keywords>CWS/11, Spanish version</cp:keywords>
  <cp:lastModifiedBy>SEILER Joséphine</cp:lastModifiedBy>
  <cp:revision>2</cp:revision>
  <dcterms:created xsi:type="dcterms:W3CDTF">2023-11-07T09:45:00Z</dcterms:created>
  <dcterms:modified xsi:type="dcterms:W3CDTF">2023-11-07T09:45:00Z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2023-11-07T08:40:48Z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1e941771-6453-45ab-8a77-6e83bc0cb1a0</vt:lpwstr>
  </property>
  <property fmtid="{D5CDD505-2E9C-101B-9397-08002B2CF9AE}" pid="14" name="MSIP_Label_20773ee6-353b-4fb9-a59d-0b94c8c67bea_ContentBits">
    <vt:lpwstr>0</vt:lpwstr>
  </property>
</Properties>
</file>