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E86C" w14:textId="16B3BDD1" w:rsidR="008B2CC1" w:rsidRPr="008B2CC1" w:rsidRDefault="007B6518" w:rsidP="00F11D94">
      <w:pPr>
        <w:spacing w:after="120"/>
        <w:jc w:val="right"/>
      </w:pPr>
      <w:bookmarkStart w:id="0" w:name="_GoBack"/>
      <w:bookmarkEnd w:id="0"/>
      <w:r>
        <w:rPr>
          <w:noProof/>
          <w:lang w:val="en-US" w:eastAsia="en-US"/>
        </w:rPr>
        <w:drawing>
          <wp:inline distT="0" distB="0" distL="0" distR="0" wp14:anchorId="0885C46F" wp14:editId="0ECD9112">
            <wp:extent cx="3147729" cy="1353054"/>
            <wp:effectExtent l="0" t="0" r="0" b="0"/>
            <wp:docPr id="5" name="Picture 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57E8586C" wp14:editId="5D656A81">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A1089F"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38404A" w14:textId="6240B8E7"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1" w:name="Code"/>
      <w:bookmarkEnd w:id="1"/>
      <w:r>
        <w:rPr>
          <w:rFonts w:ascii="Arial Black" w:hAnsi="Arial Black"/>
          <w:caps/>
          <w:sz w:val="15"/>
        </w:rPr>
        <w:t>/9</w:t>
      </w:r>
    </w:p>
    <w:p w14:paraId="7807348A"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ORIGINAL: </w:t>
      </w:r>
      <w:bookmarkStart w:id="2" w:name="Original"/>
      <w:r>
        <w:rPr>
          <w:rFonts w:ascii="Arial Black" w:hAnsi="Arial Black"/>
          <w:caps/>
          <w:sz w:val="15"/>
        </w:rPr>
        <w:t>INGLÉS</w:t>
      </w:r>
    </w:p>
    <w:bookmarkEnd w:id="2"/>
    <w:p w14:paraId="47779448" w14:textId="18BC1F15"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FECHA: </w:t>
      </w:r>
      <w:bookmarkStart w:id="3" w:name="Date"/>
      <w:r>
        <w:rPr>
          <w:rFonts w:ascii="Arial Black" w:hAnsi="Arial Black"/>
          <w:caps/>
          <w:sz w:val="15"/>
        </w:rPr>
        <w:t>5 de octubre de 2023</w:t>
      </w:r>
    </w:p>
    <w:bookmarkEnd w:id="3"/>
    <w:p w14:paraId="51807BA0" w14:textId="77777777" w:rsidR="008B2CC1" w:rsidRPr="000817DB" w:rsidRDefault="000817DB" w:rsidP="00CE65D4">
      <w:pPr>
        <w:spacing w:after="600"/>
        <w:rPr>
          <w:b/>
          <w:sz w:val="28"/>
          <w:szCs w:val="28"/>
        </w:rPr>
      </w:pPr>
      <w:r>
        <w:rPr>
          <w:b/>
          <w:sz w:val="28"/>
        </w:rPr>
        <w:t>Comité de Normas Técnicas de la OMPI (CWS)</w:t>
      </w:r>
    </w:p>
    <w:p w14:paraId="4913916D" w14:textId="77777777" w:rsidR="008B2CC1" w:rsidRPr="000817DB" w:rsidRDefault="00F65686" w:rsidP="008B2CC1">
      <w:pPr>
        <w:rPr>
          <w:b/>
          <w:sz w:val="28"/>
          <w:szCs w:val="24"/>
        </w:rPr>
      </w:pPr>
      <w:r>
        <w:rPr>
          <w:b/>
          <w:sz w:val="24"/>
        </w:rPr>
        <w:t>Undécima sesión</w:t>
      </w:r>
    </w:p>
    <w:p w14:paraId="0EBED672" w14:textId="77777777" w:rsidR="008B2CC1" w:rsidRPr="000817DB" w:rsidRDefault="000817DB" w:rsidP="00CE65D4">
      <w:pPr>
        <w:spacing w:after="720"/>
        <w:rPr>
          <w:sz w:val="24"/>
        </w:rPr>
      </w:pPr>
      <w:r>
        <w:rPr>
          <w:b/>
          <w:sz w:val="24"/>
        </w:rPr>
        <w:t>Ginebra, 4 a 8 de diciembre de 2023</w:t>
      </w:r>
    </w:p>
    <w:p w14:paraId="4A3590B5" w14:textId="77777777" w:rsidR="008B2CC1" w:rsidRPr="009F3BF9" w:rsidRDefault="00A67EF3" w:rsidP="00CE65D4">
      <w:pPr>
        <w:spacing w:after="360"/>
        <w:rPr>
          <w:caps/>
          <w:sz w:val="24"/>
        </w:rPr>
      </w:pPr>
      <w:bookmarkStart w:id="4" w:name="TitleOfDoc"/>
      <w:r>
        <w:rPr>
          <w:caps/>
          <w:sz w:val="24"/>
        </w:rPr>
        <w:t>Propuesta de revisión de la Norma ST.61</w:t>
      </w:r>
    </w:p>
    <w:p w14:paraId="03FD3990" w14:textId="77777777" w:rsidR="008B2CC1" w:rsidRPr="004D39C4" w:rsidRDefault="00A67EF3" w:rsidP="00CE65D4">
      <w:pPr>
        <w:spacing w:after="960"/>
        <w:rPr>
          <w:i/>
        </w:rPr>
      </w:pPr>
      <w:bookmarkStart w:id="5" w:name="Prepared"/>
      <w:bookmarkEnd w:id="4"/>
      <w:r>
        <w:rPr>
          <w:i/>
        </w:rPr>
        <w:t>Documento preparado por la Oficina Internacional</w:t>
      </w:r>
    </w:p>
    <w:bookmarkEnd w:id="5"/>
    <w:p w14:paraId="28B8C8BF" w14:textId="77777777" w:rsidR="00A67EF3" w:rsidRDefault="00A67EF3" w:rsidP="00CB27FD">
      <w:pPr>
        <w:pStyle w:val="Heading2"/>
        <w:spacing w:before="0" w:after="120"/>
      </w:pPr>
      <w:r>
        <w:t>Antecedentes</w:t>
      </w:r>
    </w:p>
    <w:p w14:paraId="53FA1709" w14:textId="011E5CE7" w:rsidR="00F6297A" w:rsidRDefault="00A67EF3" w:rsidP="00CB27FD">
      <w:pPr>
        <w:spacing w:after="240"/>
      </w:pPr>
      <w:r>
        <w:fldChar w:fldCharType="begin"/>
      </w:r>
      <w:r>
        <w:instrText xml:space="preserve"> AUTONUM  </w:instrText>
      </w:r>
      <w:r>
        <w:fldChar w:fldCharType="end"/>
      </w:r>
      <w:r>
        <w:tab/>
        <w:t>En la octava sesión del Comité de Normas Técnicas de la OMPI (CWS), se aprobó la Norma ST.61 (párrafo 28 del documento CWS/8/24).</w:t>
      </w:r>
      <w:r w:rsidR="00CB27FD">
        <w:t xml:space="preserve"> </w:t>
      </w:r>
      <w:r>
        <w:t xml:space="preserve">Esta norma proporciona un modelo que permite describir </w:t>
      </w:r>
      <w:r w:rsidR="007B6518">
        <w:t>la situación</w:t>
      </w:r>
      <w:r>
        <w:t xml:space="preserve"> jurídic</w:t>
      </w:r>
      <w:r w:rsidR="007B6518">
        <w:t>a</w:t>
      </w:r>
      <w:r>
        <w:t xml:space="preserve"> de una solicitud de registro de marca durante su tramitación en un sistema de registro o bien de una marca registrada.</w:t>
      </w:r>
    </w:p>
    <w:p w14:paraId="3C529155" w14:textId="53C8C177" w:rsidR="00A67EF3" w:rsidRDefault="00F6297A" w:rsidP="00CB27FD">
      <w:pPr>
        <w:spacing w:after="240"/>
      </w:pPr>
      <w:r>
        <w:fldChar w:fldCharType="begin"/>
      </w:r>
      <w:r>
        <w:instrText xml:space="preserve"> AUTONUM  </w:instrText>
      </w:r>
      <w:r>
        <w:fldChar w:fldCharType="end"/>
      </w:r>
      <w:r>
        <w:tab/>
        <w:t>En la misma sesión, se pidió a las Oficinas de propiedad intelectual que proporcionasen tablas de correspondencias entre sus estados relativos a la situación jurídica y los estados definidos en la Norma ST.61, así como un plan de aplicación (párrafo 30 del documento CWS/8/24).</w:t>
      </w:r>
      <w:r w:rsidR="00CB27FD">
        <w:t xml:space="preserve"> </w:t>
      </w:r>
      <w:r>
        <w:t xml:space="preserve">Esas tablas de correspondencias se publican en la parte 7.13.3 del Manual de la OMPI, disponible en </w:t>
      </w:r>
      <w:hyperlink r:id="rId9" w:history="1">
        <w:r>
          <w:rPr>
            <w:rStyle w:val="Hyperlink"/>
            <w:color w:val="000000" w:themeColor="text1"/>
          </w:rPr>
          <w:t>https://www.wipo.int/standards/es/part_07.html</w:t>
        </w:r>
      </w:hyperlink>
      <w:r>
        <w:t xml:space="preserve">. </w:t>
      </w:r>
    </w:p>
    <w:p w14:paraId="3E489628" w14:textId="07FC2A10" w:rsidR="00A67EF3" w:rsidRDefault="00216BFF" w:rsidP="00CB27FD">
      <w:pPr>
        <w:spacing w:after="240"/>
      </w:pPr>
      <w:r>
        <w:fldChar w:fldCharType="begin"/>
      </w:r>
      <w:r>
        <w:instrText xml:space="preserve"> AUTONUM  </w:instrText>
      </w:r>
      <w:r>
        <w:fldChar w:fldCharType="end"/>
      </w:r>
      <w:r>
        <w:tab/>
        <w:t>Las actualizaciones de la Norma ST.61 de la OMPI se llevan a cabo en el marco de la tarea n.° 47, cuya descripción es la siguiente:</w:t>
      </w:r>
    </w:p>
    <w:p w14:paraId="01B55ADF" w14:textId="669008E5" w:rsidR="00216BFF" w:rsidRDefault="00CB27FD" w:rsidP="00CB27FD">
      <w:pPr>
        <w:spacing w:after="240"/>
      </w:pPr>
      <w:r>
        <w:t>“</w:t>
      </w:r>
      <w:r w:rsidR="00216BFF">
        <w:rPr>
          <w:i/>
        </w:rPr>
        <w:t>Garantizar las necesarias revisiones y actualizaciones de las Normas ST.27, ST.87 y ST.61 de la OMPI; preparar material de apoyo que complemente el uso de esas normas en la comunidad de la PI; y prestar apoyo al Equipo Técnico XML4IP para que desarrolle componentes para los datos sobre la situación jurídica</w:t>
      </w:r>
      <w:r>
        <w:rPr>
          <w:i/>
        </w:rPr>
        <w:t>.”</w:t>
      </w:r>
      <w:r w:rsidR="005B35AE">
        <w:rPr>
          <w:i/>
        </w:rPr>
        <w:br/>
      </w:r>
      <w:r w:rsidR="005B35AE">
        <w:rPr>
          <w:i/>
        </w:rPr>
        <w:br/>
      </w:r>
      <w:r w:rsidR="005B35AE">
        <w:rPr>
          <w:i/>
        </w:rPr>
        <w:br/>
      </w:r>
      <w:r w:rsidR="005B35AE">
        <w:rPr>
          <w:i/>
        </w:rPr>
        <w:br/>
      </w:r>
    </w:p>
    <w:p w14:paraId="71C820AC" w14:textId="612142E8" w:rsidR="00B82D95" w:rsidRDefault="00C3025C" w:rsidP="00CB27FD">
      <w:pPr>
        <w:spacing w:after="240"/>
      </w:pPr>
      <w:r w:rsidRPr="00AB2CFC">
        <w:lastRenderedPageBreak/>
        <w:fldChar w:fldCharType="begin"/>
      </w:r>
      <w:r w:rsidRPr="00AB2CFC">
        <w:instrText xml:space="preserve"> AUTONUM  </w:instrText>
      </w:r>
      <w:r w:rsidRPr="00AB2CFC">
        <w:fldChar w:fldCharType="end"/>
      </w:r>
      <w:r>
        <w:tab/>
        <w:t xml:space="preserve">Una de las prioridades del Equipo Técnico de la Situación Jurídica desde la última sesión del CWS ha sido colaborar con el Equipo Técnico XML4IP para desarrollar componentes en lenguaje XML (lenguaje de marcado extensible) </w:t>
      </w:r>
      <w:r w:rsidR="00A120E1">
        <w:t xml:space="preserve">a fin de </w:t>
      </w:r>
      <w:r>
        <w:t>reflejar la situación jurídica de las marcas con arreglo a la Norma ST.61 de la OMPI.</w:t>
      </w:r>
      <w:r w:rsidR="00CB27FD">
        <w:t xml:space="preserve"> </w:t>
      </w:r>
      <w:r>
        <w:t>En particular, su labor consistió en examinar el contenido del Anexo II, que incluye los datos suplementarios que pueden registrarse en cada categoría de la Norma ST.61.</w:t>
      </w:r>
      <w:r w:rsidR="00CB27FD">
        <w:t xml:space="preserve"> </w:t>
      </w:r>
    </w:p>
    <w:p w14:paraId="7462069F" w14:textId="20FB31A3" w:rsidR="00C3025C" w:rsidRDefault="00B82D95" w:rsidP="00CB27FD">
      <w:pPr>
        <w:spacing w:after="480"/>
      </w:pPr>
      <w:r>
        <w:fldChar w:fldCharType="begin"/>
      </w:r>
      <w:r>
        <w:instrText xml:space="preserve"> AUTONUM  </w:instrText>
      </w:r>
      <w:r>
        <w:fldChar w:fldCharType="end"/>
      </w:r>
      <w:r>
        <w:tab/>
        <w:t>Se invitó a expertos designados por las Oficinas de ambos equipos técnicos a que propusieran los elementos que podrían faltar en cada categoría.</w:t>
      </w:r>
      <w:r w:rsidR="00CB27FD">
        <w:t xml:space="preserve"> </w:t>
      </w:r>
      <w:r>
        <w:t xml:space="preserve">En agosto de 2023 se celebró una reunión en línea de esos expertos para analizar las aportaciones de los dos equipos técnicos y preparar una propuesta de revisión del Anexo II de la Norma ST.61. </w:t>
      </w:r>
    </w:p>
    <w:p w14:paraId="6FA4FDB1" w14:textId="77777777" w:rsidR="00C3025C" w:rsidRDefault="005857F0" w:rsidP="00CB27FD">
      <w:pPr>
        <w:pStyle w:val="Heading2"/>
        <w:spacing w:after="120"/>
      </w:pPr>
      <w:r>
        <w:t>Propuesta de revisión de la Norma ST.61 de la OMPI</w:t>
      </w:r>
    </w:p>
    <w:p w14:paraId="27A559ED" w14:textId="5FC46680" w:rsidR="001D7E0A" w:rsidRDefault="005857F0" w:rsidP="00CB27FD">
      <w:pPr>
        <w:spacing w:after="240"/>
      </w:pPr>
      <w:r>
        <w:fldChar w:fldCharType="begin"/>
      </w:r>
      <w:r>
        <w:instrText xml:space="preserve"> AUTONUM  </w:instrText>
      </w:r>
      <w:r>
        <w:fldChar w:fldCharType="end"/>
      </w:r>
      <w:r>
        <w:tab/>
        <w:t>En el marco de la tarea n.° 47, el Equipo Técnico de la Situación Jurídica propone revisar la Norma ST.61 de la OMPI, Anexo II.</w:t>
      </w:r>
      <w:r w:rsidR="00CB27FD">
        <w:t xml:space="preserve"> </w:t>
      </w:r>
      <w:r>
        <w:t>La propuesta de revisión del Anexo II de la Norma ST.61 de la OMPI figura en el Anexo del presente documento. El Anexo incluye solo el Anexo II y el cuerpo principal de la Norma ST.61, pero no los demás anexos.</w:t>
      </w:r>
      <w:r w:rsidR="00CB27FD">
        <w:t xml:space="preserve"> </w:t>
      </w:r>
      <w:r>
        <w:t>Las revisiones se señalan con control de cambios, de modo que el texto tachado debe ser eliminado y el texto subrayado debe ser añadido.</w:t>
      </w:r>
      <w:r w:rsidR="00CB27FD">
        <w:t xml:space="preserve"> </w:t>
      </w:r>
    </w:p>
    <w:p w14:paraId="0D779EDC" w14:textId="24839660" w:rsidR="005857F0" w:rsidRDefault="001D7E0A" w:rsidP="00CB27FD">
      <w:pPr>
        <w:spacing w:after="240"/>
      </w:pPr>
      <w:r>
        <w:fldChar w:fldCharType="begin"/>
      </w:r>
      <w:r>
        <w:instrText xml:space="preserve"> AUTONUM  </w:instrText>
      </w:r>
      <w:r>
        <w:fldChar w:fldCharType="end"/>
      </w:r>
      <w:r>
        <w:tab/>
        <w:t>Las modificaciones propuestas al Anexo II de la Norma ST.61 pueden resumirse del siguiente modo:</w:t>
      </w:r>
    </w:p>
    <w:tbl>
      <w:tblPr>
        <w:tblStyle w:val="TableGrid"/>
        <w:tblW w:w="0" w:type="auto"/>
        <w:tblLook w:val="04A0" w:firstRow="1" w:lastRow="0" w:firstColumn="1" w:lastColumn="0" w:noHBand="0" w:noVBand="1"/>
      </w:tblPr>
      <w:tblGrid>
        <w:gridCol w:w="1555"/>
        <w:gridCol w:w="2268"/>
        <w:gridCol w:w="5522"/>
      </w:tblGrid>
      <w:tr w:rsidR="00A75A4F" w14:paraId="00A6D245" w14:textId="77777777" w:rsidTr="00A75A4F">
        <w:tc>
          <w:tcPr>
            <w:tcW w:w="1555" w:type="dxa"/>
            <w:shd w:val="pct10" w:color="auto" w:fill="auto"/>
          </w:tcPr>
          <w:p w14:paraId="0744609E" w14:textId="77777777" w:rsidR="00A75A4F" w:rsidRDefault="00A75A4F" w:rsidP="00B82D95">
            <w:pPr>
              <w:jc w:val="center"/>
            </w:pPr>
            <w:r>
              <w:t>Categoría</w:t>
            </w:r>
          </w:p>
        </w:tc>
        <w:tc>
          <w:tcPr>
            <w:tcW w:w="2268" w:type="dxa"/>
            <w:shd w:val="pct10" w:color="auto" w:fill="auto"/>
          </w:tcPr>
          <w:p w14:paraId="653B43F2" w14:textId="77777777" w:rsidR="00A75A4F" w:rsidRDefault="00A75A4F" w:rsidP="00B82D95">
            <w:pPr>
              <w:jc w:val="center"/>
            </w:pPr>
            <w:r>
              <w:t>Estado</w:t>
            </w:r>
          </w:p>
        </w:tc>
        <w:tc>
          <w:tcPr>
            <w:tcW w:w="5522" w:type="dxa"/>
            <w:shd w:val="pct10" w:color="auto" w:fill="auto"/>
          </w:tcPr>
          <w:p w14:paraId="2DAA7DBF" w14:textId="77777777" w:rsidR="00A75A4F" w:rsidRDefault="00A75A4F" w:rsidP="00B82D95">
            <w:pPr>
              <w:jc w:val="center"/>
            </w:pPr>
            <w:r>
              <w:t>Adición propuesta</w:t>
            </w:r>
          </w:p>
        </w:tc>
      </w:tr>
      <w:tr w:rsidR="00A75A4F" w14:paraId="658E3FC7" w14:textId="77777777" w:rsidTr="00A75A4F">
        <w:tc>
          <w:tcPr>
            <w:tcW w:w="1555" w:type="dxa"/>
          </w:tcPr>
          <w:p w14:paraId="1ADD584B" w14:textId="77777777" w:rsidR="00A75A4F" w:rsidRDefault="00A75A4F" w:rsidP="00B82D95">
            <w:pPr>
              <w:spacing w:after="240"/>
              <w:jc w:val="center"/>
            </w:pPr>
            <w:r>
              <w:t>A</w:t>
            </w:r>
          </w:p>
        </w:tc>
        <w:tc>
          <w:tcPr>
            <w:tcW w:w="2268" w:type="dxa"/>
          </w:tcPr>
          <w:p w14:paraId="3890E3B4" w14:textId="77777777" w:rsidR="00A75A4F" w:rsidRDefault="00A75A4F" w:rsidP="00661D4D">
            <w:pPr>
              <w:spacing w:after="240"/>
            </w:pPr>
            <w:r>
              <w:t>Presentación de la solicitud</w:t>
            </w:r>
          </w:p>
        </w:tc>
        <w:tc>
          <w:tcPr>
            <w:tcW w:w="5522" w:type="dxa"/>
          </w:tcPr>
          <w:p w14:paraId="297C470C" w14:textId="77777777" w:rsidR="00A75A4F" w:rsidRDefault="00A75A4F" w:rsidP="00661D4D">
            <w:pPr>
              <w:pStyle w:val="ListParagraph"/>
              <w:numPr>
                <w:ilvl w:val="0"/>
                <w:numId w:val="9"/>
              </w:numPr>
              <w:spacing w:after="240"/>
            </w:pPr>
            <w:r>
              <w:t>Clase de marca (por ejemplo, marca colectiva)</w:t>
            </w:r>
          </w:p>
          <w:p w14:paraId="1FBE60A4" w14:textId="77777777" w:rsidR="00A75A4F" w:rsidRDefault="00A75A4F" w:rsidP="00661D4D">
            <w:pPr>
              <w:pStyle w:val="ListParagraph"/>
              <w:numPr>
                <w:ilvl w:val="0"/>
                <w:numId w:val="9"/>
              </w:numPr>
              <w:spacing w:after="240"/>
            </w:pPr>
            <w:r>
              <w:t>Tipo de marca (por ejemplo, marca figurativa)</w:t>
            </w:r>
          </w:p>
        </w:tc>
      </w:tr>
      <w:tr w:rsidR="00A75A4F" w14:paraId="7F2E72E4" w14:textId="77777777" w:rsidTr="00A75A4F">
        <w:tc>
          <w:tcPr>
            <w:tcW w:w="1555" w:type="dxa"/>
          </w:tcPr>
          <w:p w14:paraId="1D31AB15" w14:textId="77777777" w:rsidR="00A75A4F" w:rsidRDefault="00A75A4F" w:rsidP="00B82D95">
            <w:pPr>
              <w:spacing w:after="240"/>
              <w:jc w:val="center"/>
            </w:pPr>
            <w:r>
              <w:t>B</w:t>
            </w:r>
          </w:p>
        </w:tc>
        <w:tc>
          <w:tcPr>
            <w:tcW w:w="2268" w:type="dxa"/>
          </w:tcPr>
          <w:p w14:paraId="157D0CCA" w14:textId="77777777" w:rsidR="00A75A4F" w:rsidRDefault="00A75A4F" w:rsidP="00661D4D">
            <w:pPr>
              <w:spacing w:after="240"/>
            </w:pPr>
            <w:r>
              <w:t>Suspensión de la solicitud</w:t>
            </w:r>
          </w:p>
        </w:tc>
        <w:tc>
          <w:tcPr>
            <w:tcW w:w="5522" w:type="dxa"/>
          </w:tcPr>
          <w:p w14:paraId="796051C9" w14:textId="672CB5D7" w:rsidR="00A75A4F" w:rsidRDefault="00A75A4F" w:rsidP="00661D4D">
            <w:pPr>
              <w:pStyle w:val="ListParagraph"/>
              <w:numPr>
                <w:ilvl w:val="0"/>
                <w:numId w:val="10"/>
              </w:numPr>
              <w:spacing w:after="240"/>
            </w:pPr>
            <w:r>
              <w:t>Información judicial</w:t>
            </w:r>
          </w:p>
        </w:tc>
      </w:tr>
      <w:tr w:rsidR="00A75A4F" w14:paraId="5C96179B" w14:textId="77777777" w:rsidTr="00A75A4F">
        <w:tc>
          <w:tcPr>
            <w:tcW w:w="1555" w:type="dxa"/>
          </w:tcPr>
          <w:p w14:paraId="33FAA42B" w14:textId="77777777" w:rsidR="00A75A4F" w:rsidRDefault="00A75A4F" w:rsidP="00B82D95">
            <w:pPr>
              <w:spacing w:after="240"/>
              <w:jc w:val="center"/>
            </w:pPr>
            <w:r>
              <w:t>C</w:t>
            </w:r>
          </w:p>
        </w:tc>
        <w:tc>
          <w:tcPr>
            <w:tcW w:w="2268" w:type="dxa"/>
          </w:tcPr>
          <w:p w14:paraId="3178CB88" w14:textId="77777777" w:rsidR="00A75A4F" w:rsidRDefault="00A75A4F" w:rsidP="00661D4D">
            <w:pPr>
              <w:spacing w:after="240"/>
            </w:pPr>
            <w:r>
              <w:t>Reactivación de la solicitud</w:t>
            </w:r>
          </w:p>
        </w:tc>
        <w:tc>
          <w:tcPr>
            <w:tcW w:w="5522" w:type="dxa"/>
          </w:tcPr>
          <w:p w14:paraId="0224E5F2" w14:textId="77777777" w:rsidR="00A75A4F" w:rsidRDefault="00A75A4F" w:rsidP="00661D4D">
            <w:pPr>
              <w:pStyle w:val="ListParagraph"/>
              <w:numPr>
                <w:ilvl w:val="0"/>
                <w:numId w:val="10"/>
              </w:numPr>
              <w:spacing w:after="240"/>
            </w:pPr>
            <w:r>
              <w:t>Motivo de la reactivación</w:t>
            </w:r>
          </w:p>
        </w:tc>
      </w:tr>
      <w:tr w:rsidR="00A75A4F" w14:paraId="1242C797" w14:textId="77777777" w:rsidTr="00A75A4F">
        <w:tc>
          <w:tcPr>
            <w:tcW w:w="1555" w:type="dxa"/>
          </w:tcPr>
          <w:p w14:paraId="051472FA" w14:textId="77777777" w:rsidR="00A75A4F" w:rsidRDefault="00A75A4F" w:rsidP="00B82D95">
            <w:pPr>
              <w:spacing w:after="240"/>
              <w:jc w:val="center"/>
            </w:pPr>
            <w:r>
              <w:t>D</w:t>
            </w:r>
          </w:p>
        </w:tc>
        <w:tc>
          <w:tcPr>
            <w:tcW w:w="2268" w:type="dxa"/>
          </w:tcPr>
          <w:p w14:paraId="7C8B86E1" w14:textId="77777777" w:rsidR="00A75A4F" w:rsidRDefault="00A75A4F" w:rsidP="00661D4D">
            <w:pPr>
              <w:spacing w:after="240"/>
            </w:pPr>
            <w:r>
              <w:t>Búsqueda y examen</w:t>
            </w:r>
          </w:p>
        </w:tc>
        <w:tc>
          <w:tcPr>
            <w:tcW w:w="5522" w:type="dxa"/>
          </w:tcPr>
          <w:p w14:paraId="0FC2706F" w14:textId="77777777" w:rsidR="00A75A4F" w:rsidRDefault="0085479C" w:rsidP="00661D4D">
            <w:pPr>
              <w:pStyle w:val="ListParagraph"/>
              <w:numPr>
                <w:ilvl w:val="0"/>
                <w:numId w:val="10"/>
              </w:numPr>
              <w:spacing w:after="240"/>
            </w:pPr>
            <w:r>
              <w:t>Tipo de examen (por ejemplo, sustantivo)</w:t>
            </w:r>
          </w:p>
          <w:p w14:paraId="31600E31" w14:textId="77777777" w:rsidR="0085479C" w:rsidRDefault="0085479C" w:rsidP="00661D4D">
            <w:pPr>
              <w:pStyle w:val="ListParagraph"/>
              <w:numPr>
                <w:ilvl w:val="0"/>
                <w:numId w:val="10"/>
              </w:numPr>
              <w:spacing w:after="240"/>
            </w:pPr>
            <w:r>
              <w:t>Datos del informe de examen</w:t>
            </w:r>
          </w:p>
          <w:p w14:paraId="4D0D4CA9" w14:textId="77777777" w:rsidR="0085479C" w:rsidRDefault="0085479C" w:rsidP="00661D4D">
            <w:pPr>
              <w:pStyle w:val="ListParagraph"/>
              <w:numPr>
                <w:ilvl w:val="0"/>
                <w:numId w:val="10"/>
              </w:numPr>
              <w:spacing w:after="240"/>
            </w:pPr>
            <w:r>
              <w:t>Datos del informe de búsqueda</w:t>
            </w:r>
          </w:p>
        </w:tc>
      </w:tr>
      <w:tr w:rsidR="00A75A4F" w14:paraId="003CEBB6" w14:textId="77777777" w:rsidTr="00A75A4F">
        <w:tc>
          <w:tcPr>
            <w:tcW w:w="1555" w:type="dxa"/>
          </w:tcPr>
          <w:p w14:paraId="26EF9751" w14:textId="77777777" w:rsidR="00A75A4F" w:rsidRDefault="0085479C" w:rsidP="00B82D95">
            <w:pPr>
              <w:spacing w:after="240"/>
              <w:jc w:val="center"/>
            </w:pPr>
            <w:r>
              <w:t>F</w:t>
            </w:r>
          </w:p>
        </w:tc>
        <w:tc>
          <w:tcPr>
            <w:tcW w:w="2268" w:type="dxa"/>
          </w:tcPr>
          <w:p w14:paraId="508CBF63" w14:textId="77777777" w:rsidR="00A75A4F" w:rsidRDefault="0085479C" w:rsidP="00661D4D">
            <w:pPr>
              <w:spacing w:after="240"/>
            </w:pPr>
            <w:r>
              <w:t>Registro de marca</w:t>
            </w:r>
          </w:p>
        </w:tc>
        <w:tc>
          <w:tcPr>
            <w:tcW w:w="5522" w:type="dxa"/>
          </w:tcPr>
          <w:p w14:paraId="42972550" w14:textId="77777777" w:rsidR="0085479C" w:rsidRDefault="0085479C" w:rsidP="00661D4D">
            <w:pPr>
              <w:pStyle w:val="ListParagraph"/>
              <w:numPr>
                <w:ilvl w:val="0"/>
                <w:numId w:val="11"/>
              </w:numPr>
              <w:spacing w:after="240"/>
            </w:pPr>
            <w:r>
              <w:t>Clase de marca (por ejemplo, marca colectiva)</w:t>
            </w:r>
          </w:p>
          <w:p w14:paraId="3B7F3A91" w14:textId="77777777" w:rsidR="00A75A4F" w:rsidRDefault="0085479C" w:rsidP="00661D4D">
            <w:pPr>
              <w:pStyle w:val="ListParagraph"/>
              <w:numPr>
                <w:ilvl w:val="0"/>
                <w:numId w:val="11"/>
              </w:numPr>
              <w:spacing w:after="240"/>
            </w:pPr>
            <w:r>
              <w:t>Tipo de marca (por ejemplo, marca figurativa)</w:t>
            </w:r>
          </w:p>
          <w:p w14:paraId="1AF6919D" w14:textId="77777777" w:rsidR="0085479C" w:rsidRDefault="0085479C" w:rsidP="00661D4D">
            <w:pPr>
              <w:pStyle w:val="ListParagraph"/>
              <w:spacing w:after="240"/>
            </w:pPr>
          </w:p>
        </w:tc>
      </w:tr>
      <w:tr w:rsidR="00A75A4F" w14:paraId="426A097B" w14:textId="77777777" w:rsidTr="00A75A4F">
        <w:tc>
          <w:tcPr>
            <w:tcW w:w="1555" w:type="dxa"/>
          </w:tcPr>
          <w:p w14:paraId="3C2B5705" w14:textId="77777777" w:rsidR="00A75A4F" w:rsidRDefault="0085479C" w:rsidP="00B82D95">
            <w:pPr>
              <w:spacing w:after="240"/>
              <w:jc w:val="center"/>
            </w:pPr>
            <w:r>
              <w:t>H</w:t>
            </w:r>
          </w:p>
        </w:tc>
        <w:tc>
          <w:tcPr>
            <w:tcW w:w="2268" w:type="dxa"/>
          </w:tcPr>
          <w:p w14:paraId="65B6339B" w14:textId="77777777" w:rsidR="00A75A4F" w:rsidRDefault="0085479C" w:rsidP="00661D4D">
            <w:pPr>
              <w:spacing w:after="240"/>
            </w:pPr>
            <w:r>
              <w:t>Cese del derecho de PI</w:t>
            </w:r>
          </w:p>
        </w:tc>
        <w:tc>
          <w:tcPr>
            <w:tcW w:w="5522" w:type="dxa"/>
          </w:tcPr>
          <w:p w14:paraId="19E6B2E7" w14:textId="3948F88F" w:rsidR="00A75A4F" w:rsidRDefault="009E0A8F" w:rsidP="00661D4D">
            <w:pPr>
              <w:pStyle w:val="ListParagraph"/>
              <w:numPr>
                <w:ilvl w:val="0"/>
                <w:numId w:val="12"/>
              </w:numPr>
              <w:spacing w:after="240"/>
            </w:pPr>
            <w:r>
              <w:t>Información judicial</w:t>
            </w:r>
          </w:p>
        </w:tc>
      </w:tr>
      <w:tr w:rsidR="00A75A4F" w14:paraId="72413865" w14:textId="77777777" w:rsidTr="00A75A4F">
        <w:tc>
          <w:tcPr>
            <w:tcW w:w="1555" w:type="dxa"/>
          </w:tcPr>
          <w:p w14:paraId="78FA8B0C" w14:textId="77777777" w:rsidR="00A75A4F" w:rsidRDefault="009E0A8F" w:rsidP="00B82D95">
            <w:pPr>
              <w:spacing w:after="240"/>
              <w:jc w:val="center"/>
            </w:pPr>
            <w:r>
              <w:t>L</w:t>
            </w:r>
          </w:p>
        </w:tc>
        <w:tc>
          <w:tcPr>
            <w:tcW w:w="2268" w:type="dxa"/>
          </w:tcPr>
          <w:p w14:paraId="3EB5439F" w14:textId="77777777" w:rsidR="00A75A4F" w:rsidRDefault="009E0A8F" w:rsidP="00661D4D">
            <w:pPr>
              <w:spacing w:after="240"/>
            </w:pPr>
            <w:r>
              <w:t>Petición de revisión del derecho de PI</w:t>
            </w:r>
          </w:p>
        </w:tc>
        <w:tc>
          <w:tcPr>
            <w:tcW w:w="5522" w:type="dxa"/>
          </w:tcPr>
          <w:p w14:paraId="4AEFF2C4" w14:textId="77777777" w:rsidR="00A75A4F" w:rsidRDefault="009E0A8F" w:rsidP="00661D4D">
            <w:pPr>
              <w:pStyle w:val="ListParagraph"/>
              <w:numPr>
                <w:ilvl w:val="0"/>
                <w:numId w:val="12"/>
              </w:numPr>
              <w:spacing w:after="240"/>
            </w:pPr>
            <w:r>
              <w:t>Motivo de la petición de revisión del derecho</w:t>
            </w:r>
          </w:p>
        </w:tc>
      </w:tr>
      <w:tr w:rsidR="00A75A4F" w14:paraId="5AD185BB" w14:textId="77777777" w:rsidTr="00A75A4F">
        <w:tc>
          <w:tcPr>
            <w:tcW w:w="1555" w:type="dxa"/>
          </w:tcPr>
          <w:p w14:paraId="4B1D69CF" w14:textId="77777777" w:rsidR="00A75A4F" w:rsidRDefault="009E0A8F" w:rsidP="00B82D95">
            <w:pPr>
              <w:spacing w:after="240"/>
              <w:jc w:val="center"/>
            </w:pPr>
            <w:r>
              <w:t>R</w:t>
            </w:r>
          </w:p>
        </w:tc>
        <w:tc>
          <w:tcPr>
            <w:tcW w:w="2268" w:type="dxa"/>
          </w:tcPr>
          <w:p w14:paraId="4271126D" w14:textId="77777777" w:rsidR="00A75A4F" w:rsidRDefault="00661D4D" w:rsidP="00661D4D">
            <w:pPr>
              <w:spacing w:after="240"/>
            </w:pPr>
            <w:r>
              <w:t>Cambio de datos de las partes</w:t>
            </w:r>
          </w:p>
        </w:tc>
        <w:tc>
          <w:tcPr>
            <w:tcW w:w="5522" w:type="dxa"/>
          </w:tcPr>
          <w:p w14:paraId="06DCAC7A" w14:textId="77777777" w:rsidR="00A75A4F" w:rsidRDefault="009E0A8F" w:rsidP="00661D4D">
            <w:pPr>
              <w:pStyle w:val="ListParagraph"/>
              <w:numPr>
                <w:ilvl w:val="0"/>
                <w:numId w:val="12"/>
              </w:numPr>
              <w:spacing w:after="240"/>
            </w:pPr>
            <w:r>
              <w:t>Productos/servicios transferidos</w:t>
            </w:r>
          </w:p>
        </w:tc>
      </w:tr>
    </w:tbl>
    <w:p w14:paraId="7472384C" w14:textId="4CB68699" w:rsidR="008A4139" w:rsidRDefault="008A4139">
      <w:r>
        <w:br w:type="page"/>
      </w:r>
    </w:p>
    <w:p w14:paraId="5CE6AAE0" w14:textId="264D4E02" w:rsidR="001D7E0A" w:rsidRPr="001121D5" w:rsidRDefault="001D7E0A" w:rsidP="001121D5">
      <w:pPr>
        <w:pStyle w:val="ListParagraph"/>
        <w:numPr>
          <w:ilvl w:val="0"/>
          <w:numId w:val="13"/>
        </w:numPr>
        <w:tabs>
          <w:tab w:val="left" w:pos="5580"/>
        </w:tabs>
        <w:spacing w:before="93" w:after="220"/>
        <w:ind w:left="5573" w:firstLine="7"/>
        <w:rPr>
          <w:i/>
        </w:rPr>
      </w:pPr>
      <w:r>
        <w:rPr>
          <w:i/>
        </w:rPr>
        <w:lastRenderedPageBreak/>
        <w:t>Se invita al CWS a:</w:t>
      </w:r>
    </w:p>
    <w:p w14:paraId="75AFF7C4" w14:textId="3DFE7D82" w:rsidR="00A75A4F" w:rsidRPr="00CB27FD" w:rsidRDefault="00A75A4F" w:rsidP="00CB27FD">
      <w:pPr>
        <w:pStyle w:val="ListParagraph"/>
        <w:widowControl w:val="0"/>
        <w:numPr>
          <w:ilvl w:val="0"/>
          <w:numId w:val="8"/>
        </w:numPr>
        <w:tabs>
          <w:tab w:val="left" w:pos="6785"/>
          <w:tab w:val="left" w:pos="6786"/>
        </w:tabs>
        <w:autoSpaceDE w:val="0"/>
        <w:autoSpaceDN w:val="0"/>
        <w:spacing w:after="120"/>
        <w:ind w:left="5517" w:right="278" w:firstLine="697"/>
        <w:contextualSpacing w:val="0"/>
        <w:rPr>
          <w:i/>
          <w:szCs w:val="22"/>
        </w:rPr>
      </w:pPr>
      <w:r>
        <w:rPr>
          <w:i/>
        </w:rPr>
        <w:t>tomar nota del contenido del presente documento y de su Anexo; y</w:t>
      </w:r>
    </w:p>
    <w:p w14:paraId="7AC102BA" w14:textId="2B0C309C" w:rsidR="001D7E0A" w:rsidRPr="001121D5" w:rsidRDefault="00A75A4F" w:rsidP="00CB27FD">
      <w:pPr>
        <w:pStyle w:val="ListParagraph"/>
        <w:widowControl w:val="0"/>
        <w:numPr>
          <w:ilvl w:val="0"/>
          <w:numId w:val="8"/>
        </w:numPr>
        <w:tabs>
          <w:tab w:val="left" w:pos="6785"/>
          <w:tab w:val="left" w:pos="6786"/>
        </w:tabs>
        <w:autoSpaceDE w:val="0"/>
        <w:autoSpaceDN w:val="0"/>
        <w:spacing w:after="600"/>
        <w:ind w:left="5517" w:right="278" w:firstLine="697"/>
        <w:contextualSpacing w:val="0"/>
        <w:rPr>
          <w:i/>
          <w:szCs w:val="22"/>
        </w:rPr>
      </w:pPr>
      <w:r>
        <w:rPr>
          <w:i/>
        </w:rPr>
        <w:t>examinar y aprobar la propuesta de revisión de la Norma ST.61 de la OMPI expuesta en los párrafos 6 y 7 y reproducida en el Anexo del presente documento.</w:t>
      </w:r>
    </w:p>
    <w:p w14:paraId="64A13B06" w14:textId="77777777" w:rsidR="001D7E0A" w:rsidRPr="001D7E0A" w:rsidRDefault="001D7E0A" w:rsidP="00CB27FD">
      <w:pPr>
        <w:pStyle w:val="Endofdocument-Annex"/>
      </w:pPr>
      <w:r>
        <w:t>[Sigue el Anexo]</w:t>
      </w:r>
    </w:p>
    <w:sectPr w:rsidR="001D7E0A" w:rsidRPr="001D7E0A" w:rsidSect="00F6568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134BA" w14:textId="77777777" w:rsidR="009F200A" w:rsidRDefault="009F200A">
      <w:r>
        <w:separator/>
      </w:r>
    </w:p>
  </w:endnote>
  <w:endnote w:type="continuationSeparator" w:id="0">
    <w:p w14:paraId="43A7142C" w14:textId="77777777" w:rsidR="009F200A" w:rsidRDefault="009F200A" w:rsidP="003B38C1">
      <w:r>
        <w:separator/>
      </w:r>
    </w:p>
    <w:p w14:paraId="7BBDC422" w14:textId="77777777" w:rsidR="009F200A" w:rsidRPr="00CB27FD" w:rsidRDefault="009F200A" w:rsidP="003B38C1">
      <w:pPr>
        <w:spacing w:after="60"/>
        <w:rPr>
          <w:sz w:val="17"/>
          <w:lang w:val="en-US"/>
        </w:rPr>
      </w:pPr>
      <w:r w:rsidRPr="00CB27FD">
        <w:rPr>
          <w:sz w:val="17"/>
          <w:lang w:val="en-US"/>
        </w:rPr>
        <w:t>[Endnote continued from previous page]</w:t>
      </w:r>
    </w:p>
  </w:endnote>
  <w:endnote w:type="continuationNotice" w:id="1">
    <w:p w14:paraId="1AFB17BC" w14:textId="77777777" w:rsidR="009F200A" w:rsidRPr="00CB27FD" w:rsidRDefault="009F200A" w:rsidP="003B38C1">
      <w:pPr>
        <w:spacing w:before="60"/>
        <w:jc w:val="right"/>
        <w:rPr>
          <w:sz w:val="17"/>
          <w:szCs w:val="17"/>
          <w:lang w:val="en-US"/>
        </w:rPr>
      </w:pPr>
      <w:r w:rsidRPr="00CB27F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3A75" w14:textId="77777777" w:rsidR="00A25FC6" w:rsidRDefault="00A2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10C1" w14:textId="4C9FEFF6" w:rsidR="00237381" w:rsidRDefault="0023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2F58" w14:textId="4E2E5851" w:rsidR="00237381" w:rsidRDefault="0023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6D889" w14:textId="77777777" w:rsidR="009F200A" w:rsidRDefault="009F200A">
      <w:r>
        <w:separator/>
      </w:r>
    </w:p>
  </w:footnote>
  <w:footnote w:type="continuationSeparator" w:id="0">
    <w:p w14:paraId="007FA81C" w14:textId="77777777" w:rsidR="009F200A" w:rsidRDefault="009F200A" w:rsidP="008B60B2">
      <w:r>
        <w:separator/>
      </w:r>
    </w:p>
    <w:p w14:paraId="3C60D8F8" w14:textId="77777777" w:rsidR="009F200A" w:rsidRPr="00CB27FD" w:rsidRDefault="009F200A" w:rsidP="008B60B2">
      <w:pPr>
        <w:spacing w:after="60"/>
        <w:rPr>
          <w:sz w:val="17"/>
          <w:szCs w:val="17"/>
          <w:lang w:val="en-US"/>
        </w:rPr>
      </w:pPr>
      <w:r w:rsidRPr="00CB27FD">
        <w:rPr>
          <w:sz w:val="17"/>
          <w:szCs w:val="17"/>
          <w:lang w:val="en-US"/>
        </w:rPr>
        <w:t>[Footnote continued from previous page]</w:t>
      </w:r>
    </w:p>
  </w:footnote>
  <w:footnote w:type="continuationNotice" w:id="1">
    <w:p w14:paraId="765293D9" w14:textId="77777777" w:rsidR="009F200A" w:rsidRPr="00CB27FD" w:rsidRDefault="009F200A" w:rsidP="008B60B2">
      <w:pPr>
        <w:spacing w:before="60"/>
        <w:jc w:val="right"/>
        <w:rPr>
          <w:sz w:val="17"/>
          <w:szCs w:val="17"/>
          <w:lang w:val="en-US"/>
        </w:rPr>
      </w:pPr>
      <w:r w:rsidRPr="00CB27F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129C" w14:textId="77777777" w:rsidR="00A25FC6" w:rsidRDefault="00A2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C6ED" w14:textId="4532136A" w:rsidR="00EC4E49" w:rsidRDefault="00F65686" w:rsidP="00477D6B">
    <w:pPr>
      <w:jc w:val="right"/>
    </w:pPr>
    <w:bookmarkStart w:id="6" w:name="Code2"/>
    <w:bookmarkEnd w:id="6"/>
    <w:r>
      <w:t>CWS/11/9</w:t>
    </w:r>
  </w:p>
  <w:p w14:paraId="66C82B44" w14:textId="65D21F39" w:rsidR="00EC4E49" w:rsidRDefault="00EC4E49" w:rsidP="00CB27FD">
    <w:pPr>
      <w:spacing w:after="600"/>
      <w:jc w:val="right"/>
    </w:pPr>
    <w:r>
      <w:t xml:space="preserve">página </w:t>
    </w:r>
    <w:r>
      <w:fldChar w:fldCharType="begin"/>
    </w:r>
    <w:r>
      <w:instrText xml:space="preserve"> PAGE  \* MERGEFORMAT </w:instrText>
    </w:r>
    <w:r>
      <w:fldChar w:fldCharType="separate"/>
    </w:r>
    <w:r w:rsidR="00A25FC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6E3B" w14:textId="77777777" w:rsidR="00A25FC6" w:rsidRDefault="00A2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67985"/>
    <w:multiLevelType w:val="hybridMultilevel"/>
    <w:tmpl w:val="0FEE667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4D36C9"/>
    <w:multiLevelType w:val="hybridMultilevel"/>
    <w:tmpl w:val="E44AA23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D71C09"/>
    <w:multiLevelType w:val="hybridMultilevel"/>
    <w:tmpl w:val="4366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DB2931"/>
    <w:multiLevelType w:val="hybridMultilevel"/>
    <w:tmpl w:val="D092FBA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52C1"/>
    <w:multiLevelType w:val="hybridMultilevel"/>
    <w:tmpl w:val="9D6243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240E1"/>
    <w:multiLevelType w:val="hybridMultilevel"/>
    <w:tmpl w:val="4366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E11257"/>
    <w:multiLevelType w:val="hybridMultilevel"/>
    <w:tmpl w:val="4A62DFDE"/>
    <w:lvl w:ilvl="0" w:tplc="BFE65F60">
      <w:start w:val="8"/>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6"/>
  </w:num>
  <w:num w:numId="8">
    <w:abstractNumId w:val="11"/>
  </w:num>
  <w:num w:numId="9">
    <w:abstractNumId w:val="9"/>
  </w:num>
  <w:num w:numId="10">
    <w:abstractNumId w:val="2"/>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F3"/>
    <w:rsid w:val="000004D4"/>
    <w:rsid w:val="0001647B"/>
    <w:rsid w:val="00043CAA"/>
    <w:rsid w:val="0006713A"/>
    <w:rsid w:val="00075432"/>
    <w:rsid w:val="000817DB"/>
    <w:rsid w:val="00092172"/>
    <w:rsid w:val="000968ED"/>
    <w:rsid w:val="000D4431"/>
    <w:rsid w:val="000D51BE"/>
    <w:rsid w:val="000F5E56"/>
    <w:rsid w:val="001024FE"/>
    <w:rsid w:val="001121D5"/>
    <w:rsid w:val="00122D8F"/>
    <w:rsid w:val="001362EE"/>
    <w:rsid w:val="00136ED8"/>
    <w:rsid w:val="00142868"/>
    <w:rsid w:val="00142C0B"/>
    <w:rsid w:val="001832A6"/>
    <w:rsid w:val="001C069E"/>
    <w:rsid w:val="001C6808"/>
    <w:rsid w:val="001D3B9E"/>
    <w:rsid w:val="001D7E0A"/>
    <w:rsid w:val="002052DB"/>
    <w:rsid w:val="002121FA"/>
    <w:rsid w:val="00216BFF"/>
    <w:rsid w:val="00237381"/>
    <w:rsid w:val="002634C4"/>
    <w:rsid w:val="002928D3"/>
    <w:rsid w:val="002F1FE6"/>
    <w:rsid w:val="002F4E68"/>
    <w:rsid w:val="003004E4"/>
    <w:rsid w:val="00312F7F"/>
    <w:rsid w:val="003228B7"/>
    <w:rsid w:val="003508A3"/>
    <w:rsid w:val="003673CF"/>
    <w:rsid w:val="003845C1"/>
    <w:rsid w:val="003A6F89"/>
    <w:rsid w:val="003B38C1"/>
    <w:rsid w:val="003D352A"/>
    <w:rsid w:val="00403D0F"/>
    <w:rsid w:val="00423E3E"/>
    <w:rsid w:val="00427AF4"/>
    <w:rsid w:val="004400E2"/>
    <w:rsid w:val="00461632"/>
    <w:rsid w:val="004647DA"/>
    <w:rsid w:val="00474062"/>
    <w:rsid w:val="00477D6B"/>
    <w:rsid w:val="004D39C4"/>
    <w:rsid w:val="0053057A"/>
    <w:rsid w:val="00560A29"/>
    <w:rsid w:val="005637F9"/>
    <w:rsid w:val="005857F0"/>
    <w:rsid w:val="00594D27"/>
    <w:rsid w:val="005A5C84"/>
    <w:rsid w:val="005B1F8E"/>
    <w:rsid w:val="005B35AE"/>
    <w:rsid w:val="005E64D8"/>
    <w:rsid w:val="00601760"/>
    <w:rsid w:val="00605827"/>
    <w:rsid w:val="0061106C"/>
    <w:rsid w:val="00646050"/>
    <w:rsid w:val="00661D4D"/>
    <w:rsid w:val="006713CA"/>
    <w:rsid w:val="00676C5C"/>
    <w:rsid w:val="00695558"/>
    <w:rsid w:val="006D5E0F"/>
    <w:rsid w:val="007058FB"/>
    <w:rsid w:val="007B6518"/>
    <w:rsid w:val="007B6A58"/>
    <w:rsid w:val="007D1613"/>
    <w:rsid w:val="007D584F"/>
    <w:rsid w:val="00812D01"/>
    <w:rsid w:val="0085479C"/>
    <w:rsid w:val="00873EE5"/>
    <w:rsid w:val="008A4139"/>
    <w:rsid w:val="008B2CC1"/>
    <w:rsid w:val="008B4B5E"/>
    <w:rsid w:val="008B60B2"/>
    <w:rsid w:val="008C57C1"/>
    <w:rsid w:val="0090731E"/>
    <w:rsid w:val="00916EE2"/>
    <w:rsid w:val="0093093A"/>
    <w:rsid w:val="00966A22"/>
    <w:rsid w:val="0096722F"/>
    <w:rsid w:val="00980843"/>
    <w:rsid w:val="009E0A8F"/>
    <w:rsid w:val="009E2791"/>
    <w:rsid w:val="009E3F6F"/>
    <w:rsid w:val="009F200A"/>
    <w:rsid w:val="009F3BF9"/>
    <w:rsid w:val="009F499F"/>
    <w:rsid w:val="00A120E1"/>
    <w:rsid w:val="00A25FC6"/>
    <w:rsid w:val="00A42DAF"/>
    <w:rsid w:val="00A42FB8"/>
    <w:rsid w:val="00A45BD8"/>
    <w:rsid w:val="00A6558C"/>
    <w:rsid w:val="00A67EF3"/>
    <w:rsid w:val="00A72B0E"/>
    <w:rsid w:val="00A75A4F"/>
    <w:rsid w:val="00A778BF"/>
    <w:rsid w:val="00A85B8E"/>
    <w:rsid w:val="00AB2CFC"/>
    <w:rsid w:val="00AC205C"/>
    <w:rsid w:val="00AF5624"/>
    <w:rsid w:val="00AF5C73"/>
    <w:rsid w:val="00B05A69"/>
    <w:rsid w:val="00B40598"/>
    <w:rsid w:val="00B50B99"/>
    <w:rsid w:val="00B62CD9"/>
    <w:rsid w:val="00B82D95"/>
    <w:rsid w:val="00B9734B"/>
    <w:rsid w:val="00BC1161"/>
    <w:rsid w:val="00BC524C"/>
    <w:rsid w:val="00C11BFE"/>
    <w:rsid w:val="00C3025C"/>
    <w:rsid w:val="00C94629"/>
    <w:rsid w:val="00CB27FD"/>
    <w:rsid w:val="00CE65D4"/>
    <w:rsid w:val="00D02330"/>
    <w:rsid w:val="00D45252"/>
    <w:rsid w:val="00D71B4D"/>
    <w:rsid w:val="00D93D55"/>
    <w:rsid w:val="00E161A2"/>
    <w:rsid w:val="00E335FE"/>
    <w:rsid w:val="00E5021F"/>
    <w:rsid w:val="00E671A6"/>
    <w:rsid w:val="00EB05A1"/>
    <w:rsid w:val="00EC4E49"/>
    <w:rsid w:val="00ED384F"/>
    <w:rsid w:val="00ED77FB"/>
    <w:rsid w:val="00EF3AB1"/>
    <w:rsid w:val="00F021A6"/>
    <w:rsid w:val="00F11D94"/>
    <w:rsid w:val="00F6297A"/>
    <w:rsid w:val="00F6568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04FA5"/>
  <w15:docId w15:val="{3C1EDA4E-AAE6-419E-947E-5844BCA9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16BFF"/>
    <w:rPr>
      <w:color w:val="0000FF" w:themeColor="hyperlink"/>
      <w:u w:val="single"/>
    </w:rPr>
  </w:style>
  <w:style w:type="paragraph" w:styleId="ListParagraph">
    <w:name w:val="List Paragraph"/>
    <w:basedOn w:val="Normal"/>
    <w:uiPriority w:val="1"/>
    <w:qFormat/>
    <w:rsid w:val="001D7E0A"/>
    <w:pPr>
      <w:ind w:left="720"/>
      <w:contextualSpacing/>
    </w:pPr>
  </w:style>
  <w:style w:type="table" w:styleId="TableGrid">
    <w:name w:val="Table Grid"/>
    <w:basedOn w:val="TableNormal"/>
    <w:rsid w:val="00A7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713A"/>
    <w:rPr>
      <w:rFonts w:ascii="Arial" w:eastAsia="SimSun" w:hAnsi="Arial" w:cs="Arial"/>
      <w:sz w:val="22"/>
      <w:lang w:eastAsia="zh-CN"/>
    </w:rPr>
  </w:style>
  <w:style w:type="character" w:styleId="CommentReference">
    <w:name w:val="annotation reference"/>
    <w:basedOn w:val="DefaultParagraphFont"/>
    <w:semiHidden/>
    <w:unhideWhenUsed/>
    <w:rsid w:val="00EF3AB1"/>
    <w:rPr>
      <w:sz w:val="16"/>
      <w:szCs w:val="16"/>
    </w:rPr>
  </w:style>
  <w:style w:type="paragraph" w:styleId="CommentSubject">
    <w:name w:val="annotation subject"/>
    <w:basedOn w:val="CommentText"/>
    <w:next w:val="CommentText"/>
    <w:link w:val="CommentSubjectChar"/>
    <w:semiHidden/>
    <w:unhideWhenUsed/>
    <w:rsid w:val="00EF3AB1"/>
    <w:rPr>
      <w:b/>
      <w:bCs/>
      <w:sz w:val="20"/>
    </w:rPr>
  </w:style>
  <w:style w:type="character" w:customStyle="1" w:styleId="CommentTextChar">
    <w:name w:val="Comment Text Char"/>
    <w:basedOn w:val="DefaultParagraphFont"/>
    <w:link w:val="CommentText"/>
    <w:semiHidden/>
    <w:rsid w:val="00EF3AB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EF3AB1"/>
    <w:rPr>
      <w:rFonts w:ascii="Arial" w:eastAsia="SimSun" w:hAnsi="Arial" w:cs="Arial"/>
      <w:b/>
      <w:bCs/>
      <w:sz w:val="18"/>
      <w:lang w:val="es-ES" w:eastAsia="zh-CN"/>
    </w:rPr>
  </w:style>
  <w:style w:type="paragraph" w:styleId="BalloonText">
    <w:name w:val="Balloon Text"/>
    <w:basedOn w:val="Normal"/>
    <w:link w:val="BalloonTextChar"/>
    <w:semiHidden/>
    <w:unhideWhenUsed/>
    <w:rsid w:val="008C57C1"/>
    <w:rPr>
      <w:rFonts w:ascii="Segoe UI" w:hAnsi="Segoe UI" w:cs="Segoe UI"/>
      <w:sz w:val="18"/>
      <w:szCs w:val="18"/>
    </w:rPr>
  </w:style>
  <w:style w:type="character" w:customStyle="1" w:styleId="BalloonTextChar">
    <w:name w:val="Balloon Text Char"/>
    <w:basedOn w:val="DefaultParagraphFont"/>
    <w:link w:val="BalloonText"/>
    <w:semiHidden/>
    <w:rsid w:val="008C57C1"/>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s/part_07.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A991-C349-4A49-8D69-18344536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(1).dotm</Template>
  <TotalTime>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CWS/11/9</vt:lpstr>
    </vt:vector>
  </TitlesOfParts>
  <Company>WIPO</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CWS/11/9</dc:title>
  <dc:subject>11th Session Committee on WIPO Standards</dc:subject>
  <dc:creator>WIPO</dc:creator>
  <cp:keywords>CWS/11</cp:keywords>
  <cp:lastModifiedBy>SEILER Joséphine</cp:lastModifiedBy>
  <cp:revision>4</cp:revision>
  <cp:lastPrinted>2023-10-09T12:01:00Z</cp:lastPrinted>
  <dcterms:created xsi:type="dcterms:W3CDTF">2023-10-09T12:01:00Z</dcterms:created>
  <dcterms:modified xsi:type="dcterms:W3CDTF">2023-10-11T12:38:00Z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2023-10-11T12:37:57Z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5cf1967a-c673-4b7d-b55c-66014add588d</vt:lpwstr>
  </property>
  <property fmtid="{D5CDD505-2E9C-101B-9397-08002B2CF9AE}" pid="14" name="MSIP_Label_20773ee6-353b-4fb9-a59d-0b94c8c67bea_ContentBits">
    <vt:lpwstr>0</vt:lpwstr>
  </property>
</Properties>
</file>