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4F511" w14:textId="77777777" w:rsidR="008B2CC1" w:rsidRPr="00A93435" w:rsidRDefault="008B14EA" w:rsidP="008B14EA">
      <w:pPr>
        <w:spacing w:after="120"/>
        <w:jc w:val="right"/>
        <w:rPr>
          <w:lang w:val="es-ES_tradnl"/>
        </w:rPr>
      </w:pPr>
      <w:r w:rsidRPr="00A93435">
        <w:rPr>
          <w:noProof/>
          <w:lang w:val="es-ES_tradnl" w:eastAsia="en-US"/>
        </w:rPr>
        <w:drawing>
          <wp:inline distT="0" distB="0" distL="0" distR="0" wp14:anchorId="55E9F1AC" wp14:editId="0AE9435B">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A93435">
        <w:rPr>
          <w:rFonts w:ascii="Arial Black" w:hAnsi="Arial Black"/>
          <w:caps/>
          <w:noProof/>
          <w:sz w:val="15"/>
          <w:szCs w:val="15"/>
          <w:lang w:val="es-ES_tradnl" w:eastAsia="en-US"/>
        </w:rPr>
        <mc:AlternateContent>
          <mc:Choice Requires="wps">
            <w:drawing>
              <wp:inline distT="0" distB="0" distL="0" distR="0" wp14:anchorId="31C9B4CE" wp14:editId="222A05E6">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79A1B5C"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7F5A59E6" w14:textId="77777777" w:rsidR="008B2CC1" w:rsidRPr="00A93435" w:rsidRDefault="0066216D" w:rsidP="008B14EA">
      <w:pPr>
        <w:jc w:val="right"/>
        <w:rPr>
          <w:rFonts w:ascii="Arial Black" w:hAnsi="Arial Black"/>
          <w:caps/>
          <w:sz w:val="15"/>
          <w:lang w:val="es-ES_tradnl"/>
        </w:rPr>
      </w:pPr>
      <w:r w:rsidRPr="00A93435">
        <w:rPr>
          <w:rFonts w:ascii="Arial Black" w:hAnsi="Arial Black"/>
          <w:caps/>
          <w:sz w:val="15"/>
          <w:lang w:val="es-ES_tradnl"/>
        </w:rPr>
        <w:t>CWS/1</w:t>
      </w:r>
      <w:r w:rsidR="00970F3D" w:rsidRPr="00A93435">
        <w:rPr>
          <w:rFonts w:ascii="Arial Black" w:hAnsi="Arial Black"/>
          <w:caps/>
          <w:sz w:val="15"/>
          <w:lang w:val="es-ES_tradnl"/>
        </w:rPr>
        <w:t>2</w:t>
      </w:r>
      <w:r w:rsidRPr="00A93435">
        <w:rPr>
          <w:rFonts w:ascii="Arial Black" w:hAnsi="Arial Black"/>
          <w:caps/>
          <w:sz w:val="15"/>
          <w:lang w:val="es-ES_tradnl"/>
        </w:rPr>
        <w:t>/</w:t>
      </w:r>
      <w:bookmarkStart w:id="0" w:name="Code"/>
      <w:bookmarkEnd w:id="0"/>
      <w:r w:rsidR="00DF792E" w:rsidRPr="00A93435">
        <w:rPr>
          <w:rFonts w:ascii="Arial Black" w:hAnsi="Arial Black"/>
          <w:caps/>
          <w:sz w:val="15"/>
          <w:lang w:val="es-ES_tradnl"/>
        </w:rPr>
        <w:t>11</w:t>
      </w:r>
    </w:p>
    <w:p w14:paraId="4837D842" w14:textId="77777777" w:rsidR="008B2CC1" w:rsidRPr="00A93435" w:rsidRDefault="008B14EA" w:rsidP="008B14EA">
      <w:pPr>
        <w:jc w:val="right"/>
        <w:rPr>
          <w:rFonts w:ascii="Arial Black" w:hAnsi="Arial Black"/>
          <w:caps/>
          <w:sz w:val="15"/>
          <w:lang w:val="es-ES_tradnl"/>
        </w:rPr>
      </w:pPr>
      <w:r w:rsidRPr="00A93435">
        <w:rPr>
          <w:rFonts w:ascii="Arial Black" w:hAnsi="Arial Black"/>
          <w:caps/>
          <w:sz w:val="15"/>
          <w:lang w:val="es-ES_tradnl"/>
        </w:rPr>
        <w:t xml:space="preserve">ORIGINAL: </w:t>
      </w:r>
      <w:bookmarkStart w:id="1" w:name="Original"/>
      <w:r w:rsidR="00DF792E" w:rsidRPr="00A93435">
        <w:rPr>
          <w:rFonts w:ascii="Arial Black" w:hAnsi="Arial Black"/>
          <w:caps/>
          <w:sz w:val="15"/>
          <w:lang w:val="es-ES_tradnl"/>
        </w:rPr>
        <w:t>INGLÉS</w:t>
      </w:r>
    </w:p>
    <w:bookmarkEnd w:id="1"/>
    <w:p w14:paraId="21703C69" w14:textId="36AA2333" w:rsidR="008B2CC1" w:rsidRPr="00A93435" w:rsidRDefault="008B14EA" w:rsidP="008B14EA">
      <w:pPr>
        <w:spacing w:after="1200"/>
        <w:jc w:val="right"/>
        <w:rPr>
          <w:rFonts w:ascii="Arial Black" w:hAnsi="Arial Black"/>
          <w:caps/>
          <w:sz w:val="15"/>
          <w:lang w:val="es-ES_tradnl"/>
        </w:rPr>
      </w:pPr>
      <w:r w:rsidRPr="00A93435">
        <w:rPr>
          <w:rFonts w:ascii="Arial Black" w:hAnsi="Arial Black"/>
          <w:caps/>
          <w:sz w:val="15"/>
          <w:lang w:val="es-ES_tradnl"/>
        </w:rPr>
        <w:t xml:space="preserve">FECHA: </w:t>
      </w:r>
      <w:bookmarkStart w:id="2" w:name="Date"/>
      <w:r w:rsidR="00DF792E" w:rsidRPr="00A93435">
        <w:rPr>
          <w:rFonts w:ascii="Arial Black" w:hAnsi="Arial Black"/>
          <w:caps/>
          <w:sz w:val="15"/>
          <w:lang w:val="es-ES_tradnl"/>
        </w:rPr>
        <w:t>29 DE JULIO DE 2024</w:t>
      </w:r>
    </w:p>
    <w:bookmarkEnd w:id="2"/>
    <w:p w14:paraId="69CA5937" w14:textId="77777777" w:rsidR="008B2CC1" w:rsidRPr="00A93435" w:rsidRDefault="0066216D" w:rsidP="008B14EA">
      <w:pPr>
        <w:spacing w:after="600"/>
        <w:rPr>
          <w:b/>
          <w:sz w:val="28"/>
          <w:szCs w:val="28"/>
          <w:lang w:val="es-ES_tradnl"/>
        </w:rPr>
      </w:pPr>
      <w:r w:rsidRPr="00A93435">
        <w:rPr>
          <w:b/>
          <w:sz w:val="28"/>
          <w:szCs w:val="28"/>
          <w:lang w:val="es-ES_tradnl"/>
        </w:rPr>
        <w:t>Comité de Normas Técnicas de la OMPI (CWS)</w:t>
      </w:r>
    </w:p>
    <w:p w14:paraId="12CD815A" w14:textId="77777777" w:rsidR="00511D0C" w:rsidRPr="00A93435" w:rsidRDefault="00970F3D" w:rsidP="00511D0C">
      <w:pPr>
        <w:rPr>
          <w:b/>
          <w:sz w:val="28"/>
          <w:szCs w:val="24"/>
          <w:lang w:val="es-ES_tradnl"/>
        </w:rPr>
      </w:pPr>
      <w:r w:rsidRPr="00A93435">
        <w:rPr>
          <w:b/>
          <w:sz w:val="24"/>
          <w:lang w:val="es-ES_tradnl"/>
        </w:rPr>
        <w:t>Duodécima</w:t>
      </w:r>
      <w:r w:rsidR="0066216D" w:rsidRPr="00A93435">
        <w:rPr>
          <w:b/>
          <w:sz w:val="24"/>
          <w:lang w:val="es-ES_tradnl"/>
        </w:rPr>
        <w:t xml:space="preserve"> sesión</w:t>
      </w:r>
    </w:p>
    <w:p w14:paraId="70E82286" w14:textId="0DCE0EB3" w:rsidR="008B2CC1" w:rsidRPr="00A93435" w:rsidRDefault="0066216D" w:rsidP="008B14EA">
      <w:pPr>
        <w:spacing w:after="720"/>
        <w:rPr>
          <w:b/>
          <w:sz w:val="28"/>
          <w:szCs w:val="24"/>
          <w:lang w:val="es-ES_tradnl"/>
        </w:rPr>
      </w:pPr>
      <w:r w:rsidRPr="00A93435">
        <w:rPr>
          <w:b/>
          <w:sz w:val="24"/>
          <w:lang w:val="es-ES_tradnl"/>
        </w:rPr>
        <w:t xml:space="preserve">Ginebra, </w:t>
      </w:r>
      <w:r w:rsidR="00970F3D" w:rsidRPr="00A93435">
        <w:rPr>
          <w:b/>
          <w:sz w:val="24"/>
          <w:lang w:val="es-ES_tradnl"/>
        </w:rPr>
        <w:t xml:space="preserve">16 a </w:t>
      </w:r>
      <w:r w:rsidR="00355A7E">
        <w:rPr>
          <w:b/>
          <w:sz w:val="24"/>
          <w:lang w:val="es-ES_tradnl"/>
        </w:rPr>
        <w:t>19</w:t>
      </w:r>
      <w:r w:rsidR="00970F3D" w:rsidRPr="00A93435">
        <w:rPr>
          <w:b/>
          <w:sz w:val="24"/>
          <w:lang w:val="es-ES_tradnl"/>
        </w:rPr>
        <w:t xml:space="preserve"> de septiembre de 2024</w:t>
      </w:r>
    </w:p>
    <w:p w14:paraId="14815DCD" w14:textId="51962301" w:rsidR="008B2CC1" w:rsidRPr="00A93435" w:rsidRDefault="00DF792E" w:rsidP="008B14EA">
      <w:pPr>
        <w:spacing w:after="360"/>
        <w:rPr>
          <w:caps/>
          <w:sz w:val="24"/>
          <w:lang w:val="es-ES_tradnl"/>
        </w:rPr>
      </w:pPr>
      <w:bookmarkStart w:id="3" w:name="TitleOfDoc"/>
      <w:r w:rsidRPr="00A93435">
        <w:rPr>
          <w:caps/>
          <w:lang w:val="es-ES_tradnl"/>
        </w:rPr>
        <w:t>Informe sobre la tarea n.º 59 del Equipo Técnico sobre la Cadena de Bloques</w:t>
      </w:r>
    </w:p>
    <w:p w14:paraId="41F84356" w14:textId="28167518" w:rsidR="008B2CC1" w:rsidRPr="00A93435" w:rsidRDefault="00DF792E" w:rsidP="008B14EA">
      <w:pPr>
        <w:spacing w:after="960"/>
        <w:rPr>
          <w:i/>
          <w:lang w:val="es-ES_tradnl"/>
        </w:rPr>
      </w:pPr>
      <w:bookmarkStart w:id="4" w:name="Prepared"/>
      <w:bookmarkEnd w:id="3"/>
      <w:r w:rsidRPr="00A93435">
        <w:rPr>
          <w:i/>
          <w:lang w:val="es-ES_tradnl"/>
        </w:rPr>
        <w:t>preparado por el responsable del Equipo Técnico sobre la Cadena de Bloques</w:t>
      </w:r>
    </w:p>
    <w:p w14:paraId="5CD9B256" w14:textId="77777777" w:rsidR="00DF792E" w:rsidRPr="00A93435" w:rsidRDefault="00DF792E" w:rsidP="00A93435">
      <w:pPr>
        <w:pStyle w:val="Heading2"/>
        <w:spacing w:before="0" w:after="120"/>
        <w:rPr>
          <w:lang w:val="es-ES_tradnl"/>
        </w:rPr>
      </w:pPr>
      <w:bookmarkStart w:id="5" w:name="_Hlk173343559"/>
      <w:bookmarkEnd w:id="4"/>
      <w:r w:rsidRPr="00A93435">
        <w:rPr>
          <w:lang w:val="es-ES_tradnl"/>
        </w:rPr>
        <w:t>RESUMEN</w:t>
      </w:r>
    </w:p>
    <w:p w14:paraId="269B7BB0" w14:textId="1AE81BE8" w:rsidR="00DF792E" w:rsidRPr="00A93435" w:rsidRDefault="00DF792E" w:rsidP="00A93435">
      <w:pPr>
        <w:pStyle w:val="ONUMFS"/>
        <w:spacing w:after="480"/>
        <w:rPr>
          <w:lang w:val="es-ES_tradnl"/>
        </w:rPr>
      </w:pPr>
      <w:r w:rsidRPr="00A93435">
        <w:rPr>
          <w:lang w:val="es-ES_tradnl"/>
        </w:rPr>
        <w:t>El Equipo Técnico sobre la Cadena de Bloques se encarga de la Tarea n.º 59, que, en parte, se refiere a la elaboración de una nueva norma técnica de la OMPI relativa a las tecnologías de la cadena de bloques.</w:t>
      </w:r>
      <w:r w:rsidR="00A93435" w:rsidRPr="00A93435">
        <w:rPr>
          <w:lang w:val="es-ES_tradnl"/>
        </w:rPr>
        <w:t xml:space="preserve"> </w:t>
      </w:r>
      <w:r w:rsidRPr="00A93435">
        <w:rPr>
          <w:lang w:val="es-ES_tradnl"/>
        </w:rPr>
        <w:t>El Equipo Técnico informa de los progresos realizados en sus actividades, incluida la labor destinada a seguir mejorando el proyecto de norma técnica desde la última sesión del Comité de Normas Técnicas de la OMPI (CWS).</w:t>
      </w:r>
    </w:p>
    <w:p w14:paraId="2841BD4C" w14:textId="77777777" w:rsidR="00DF792E" w:rsidRPr="00A93435" w:rsidRDefault="00DF792E" w:rsidP="00A93435">
      <w:pPr>
        <w:pStyle w:val="Heading2"/>
        <w:spacing w:before="0" w:after="120"/>
        <w:rPr>
          <w:lang w:val="es-ES_tradnl"/>
        </w:rPr>
      </w:pPr>
      <w:r w:rsidRPr="00A93435">
        <w:rPr>
          <w:lang w:val="es-ES_tradnl"/>
        </w:rPr>
        <w:t>Antecedentes</w:t>
      </w:r>
    </w:p>
    <w:p w14:paraId="7D07CEC5" w14:textId="2A355B85" w:rsidR="00DF792E" w:rsidRPr="00A93435" w:rsidRDefault="00DF792E" w:rsidP="00A93435">
      <w:pPr>
        <w:pStyle w:val="ONUMFS"/>
        <w:rPr>
          <w:szCs w:val="22"/>
          <w:lang w:val="es-ES_tradnl"/>
        </w:rPr>
      </w:pPr>
      <w:r w:rsidRPr="00A93435">
        <w:rPr>
          <w:lang w:val="es-ES_tradnl"/>
        </w:rPr>
        <w:t>En la octava sesión del CWS, celebrada en noviembre de 2020, el Equipo Técnico presentó un informe sobre la marcha de sus actividades (véase el documento CWS/8/15).</w:t>
      </w:r>
      <w:r w:rsidR="00A93435" w:rsidRPr="00A93435">
        <w:rPr>
          <w:lang w:val="es-ES_tradnl"/>
        </w:rPr>
        <w:t xml:space="preserve"> </w:t>
      </w:r>
      <w:r w:rsidRPr="00A93435">
        <w:rPr>
          <w:lang w:val="es-ES_tradnl"/>
        </w:rPr>
        <w:t>En la misma sesión, el CWS también alentó a las oficinas de propiedad intelectual (OPI) a participar en los debates del Equipo Técnico sobre la Cadena de Bloques y señaló las importantes ventajas de trabajar en colaboración con el sector privado, las universidades y las organizaciones no gubernamentales (véanse los párrafos 96 a 99 del documento CWS/8/24).</w:t>
      </w:r>
    </w:p>
    <w:p w14:paraId="2F944451" w14:textId="4817B5FC" w:rsidR="00DF792E" w:rsidRPr="00A93435" w:rsidRDefault="00DF792E" w:rsidP="00A93435">
      <w:pPr>
        <w:pStyle w:val="ONUMFS"/>
        <w:rPr>
          <w:szCs w:val="22"/>
          <w:lang w:val="es-ES_tradnl"/>
        </w:rPr>
      </w:pPr>
      <w:r w:rsidRPr="00A93435">
        <w:rPr>
          <w:lang w:val="es-ES_tradnl"/>
        </w:rPr>
        <w:t xml:space="preserve">El Equipo Técnico continuó trabajando en el marco de la Tarea n.º 59, que fue modificada por última vez en la séptima sesión del CWS, y el texto de cuya descripción es el siguiente: </w:t>
      </w:r>
    </w:p>
    <w:p w14:paraId="660DAEDD" w14:textId="77777777" w:rsidR="00DF792E" w:rsidRPr="00A93435" w:rsidRDefault="00DF792E" w:rsidP="00DF792E">
      <w:pPr>
        <w:pStyle w:val="ListParagraph"/>
        <w:spacing w:after="220"/>
        <w:ind w:left="810"/>
        <w:rPr>
          <w:i/>
          <w:iCs/>
          <w:strike/>
          <w:szCs w:val="22"/>
          <w:lang w:val="es-ES_tradnl"/>
        </w:rPr>
      </w:pPr>
      <w:r w:rsidRPr="00A93435">
        <w:rPr>
          <w:lang w:val="es-ES_tradnl"/>
        </w:rPr>
        <w:t>“</w:t>
      </w:r>
      <w:r w:rsidRPr="00A93435">
        <w:rPr>
          <w:i/>
          <w:iCs/>
          <w:lang w:val="es-ES_tradnl"/>
        </w:rPr>
        <w:t>Considerar la posibilidad de utilizar la tecnología de la cadena de bloques en los procesos relativos a la concesión de protección de los derechos de PI y al tratamiento de la información sobre los objetos de PI y su utilización;</w:t>
      </w:r>
    </w:p>
    <w:p w14:paraId="35FA5384" w14:textId="77777777" w:rsidR="00DF792E" w:rsidRPr="00A93435" w:rsidRDefault="00DF792E" w:rsidP="00DF792E">
      <w:pPr>
        <w:spacing w:after="220"/>
        <w:ind w:left="806"/>
        <w:rPr>
          <w:i/>
          <w:iCs/>
          <w:strike/>
          <w:szCs w:val="22"/>
          <w:lang w:val="es-ES_tradnl"/>
        </w:rPr>
      </w:pPr>
      <w:r w:rsidRPr="00A93435">
        <w:rPr>
          <w:i/>
          <w:lang w:val="es-ES_tradnl"/>
        </w:rPr>
        <w:lastRenderedPageBreak/>
        <w:t>Recopilar información sobre los avances de las OPI en la utilización de la cadena de bloques y la experiencia obtenida en este ámbito, evaluar las normas relativas a la cadena de bloques vigentes en el sector y considerar su validez y aplicabilidad en las OPI;</w:t>
      </w:r>
    </w:p>
    <w:p w14:paraId="5F62B2C3" w14:textId="77777777" w:rsidR="00DF792E" w:rsidRPr="00A93435" w:rsidRDefault="00DF792E" w:rsidP="00DF792E">
      <w:pPr>
        <w:spacing w:after="220"/>
        <w:ind w:left="806"/>
        <w:rPr>
          <w:i/>
          <w:iCs/>
          <w:szCs w:val="22"/>
          <w:lang w:val="es-ES_tradnl"/>
        </w:rPr>
      </w:pPr>
      <w:r w:rsidRPr="00A93435">
        <w:rPr>
          <w:i/>
          <w:lang w:val="es-ES_tradnl"/>
        </w:rPr>
        <w:t xml:space="preserve">Elaborar modelos de referencia de uso de la tecnología de la cadena de bloques en el ámbito de la PI que den cabida a los principios rectores, las prácticas comunes y el uso de la terminología como marco de fomento de la colaboración, los proyectos conjuntos y las pruebas de concepto; y </w:t>
      </w:r>
    </w:p>
    <w:p w14:paraId="6870CB70" w14:textId="77777777" w:rsidR="00DF792E" w:rsidRPr="00A93435" w:rsidRDefault="00DF792E" w:rsidP="00DF792E">
      <w:pPr>
        <w:spacing w:after="220"/>
        <w:ind w:left="806"/>
        <w:rPr>
          <w:strike/>
          <w:szCs w:val="22"/>
          <w:lang w:val="es-ES_tradnl"/>
        </w:rPr>
      </w:pPr>
      <w:r w:rsidRPr="00A93435">
        <w:rPr>
          <w:i/>
          <w:iCs/>
          <w:lang w:val="es-ES_tradnl"/>
        </w:rPr>
        <w:t>Preparar una propuesta de nueva norma técnica de la OMPI que fomente la posible aplicación de la tecnología de la cadena de bloques en el ecosistema de la PI.</w:t>
      </w:r>
      <w:r w:rsidRPr="00A93435">
        <w:rPr>
          <w:lang w:val="es-ES_tradnl"/>
        </w:rPr>
        <w:t>”</w:t>
      </w:r>
    </w:p>
    <w:p w14:paraId="4A397768" w14:textId="4AFADB01" w:rsidR="00DF792E" w:rsidRPr="00A93435" w:rsidRDefault="00DF792E" w:rsidP="00A93435">
      <w:pPr>
        <w:spacing w:after="480"/>
        <w:ind w:left="851"/>
        <w:rPr>
          <w:szCs w:val="22"/>
          <w:lang w:val="es-ES_tradnl"/>
        </w:rPr>
      </w:pPr>
      <w:r w:rsidRPr="00A93435">
        <w:rPr>
          <w:lang w:val="es-ES_tradnl"/>
        </w:rPr>
        <w:t>(Véase el párrafo 67 del documento CWS/7/29.)</w:t>
      </w:r>
    </w:p>
    <w:p w14:paraId="19A6A3F4" w14:textId="77777777" w:rsidR="00DF792E" w:rsidRPr="00A93435" w:rsidRDefault="00DF792E" w:rsidP="00A93435">
      <w:pPr>
        <w:pStyle w:val="Heading2"/>
        <w:spacing w:after="240"/>
        <w:rPr>
          <w:lang w:val="es-ES_tradnl"/>
        </w:rPr>
      </w:pPr>
      <w:r w:rsidRPr="00A93435">
        <w:rPr>
          <w:lang w:val="es-ES_tradnl"/>
        </w:rPr>
        <w:t>Informe sobre la marcha de la Tarea n.º 59</w:t>
      </w:r>
    </w:p>
    <w:p w14:paraId="28EC92F2" w14:textId="77777777" w:rsidR="00DF792E" w:rsidRPr="00A93435" w:rsidRDefault="00DF792E" w:rsidP="00A93435">
      <w:pPr>
        <w:pStyle w:val="Heading3"/>
        <w:spacing w:before="0" w:after="120"/>
        <w:ind w:left="-142" w:firstLine="142"/>
        <w:rPr>
          <w:lang w:val="es-ES_tradnl"/>
        </w:rPr>
      </w:pPr>
      <w:r w:rsidRPr="00A93435">
        <w:rPr>
          <w:lang w:val="es-ES_tradnl"/>
        </w:rPr>
        <w:t>Objetivo</w:t>
      </w:r>
    </w:p>
    <w:p w14:paraId="16CE1673" w14:textId="3C1600E0" w:rsidR="00DF792E" w:rsidRPr="00A93435" w:rsidRDefault="00DF792E" w:rsidP="00A93435">
      <w:pPr>
        <w:pStyle w:val="ONUMFS"/>
        <w:rPr>
          <w:lang w:val="es-ES_tradnl"/>
        </w:rPr>
      </w:pPr>
      <w:r w:rsidRPr="00A93435">
        <w:rPr>
          <w:lang w:val="es-ES_tradnl"/>
        </w:rPr>
        <w:t>El objetivo principal de la Tarea es recopilar y analizar información relativa a las tecnologías de la cadena de bloque y su aplicación en el ecosistema de PI; en segundo lugar, elaborar un conjunto de proyectos de recomendaciones sobre la tecnología de la cadena de bloques para los ecosistemas de PI.</w:t>
      </w:r>
      <w:r w:rsidR="00A93435" w:rsidRPr="00A93435">
        <w:rPr>
          <w:lang w:val="es-ES_tradnl"/>
        </w:rPr>
        <w:t xml:space="preserve"> </w:t>
      </w:r>
    </w:p>
    <w:p w14:paraId="7B3FE6A8" w14:textId="77777777" w:rsidR="00DF792E" w:rsidRPr="00A93435" w:rsidRDefault="00DF792E" w:rsidP="00DF792E">
      <w:pPr>
        <w:rPr>
          <w:lang w:val="es-ES_tradnl"/>
        </w:rPr>
      </w:pPr>
    </w:p>
    <w:p w14:paraId="5D80B3AA" w14:textId="77777777" w:rsidR="00DF792E" w:rsidRPr="00A93435" w:rsidRDefault="00DF792E" w:rsidP="00A93435">
      <w:pPr>
        <w:pStyle w:val="Heading3"/>
        <w:spacing w:after="120"/>
        <w:rPr>
          <w:lang w:val="es-ES_tradnl"/>
        </w:rPr>
      </w:pPr>
      <w:r w:rsidRPr="00A93435">
        <w:rPr>
          <w:lang w:val="es-ES_tradnl"/>
        </w:rPr>
        <w:t>Evaluación del progreso</w:t>
      </w:r>
    </w:p>
    <w:p w14:paraId="2D796BAF" w14:textId="479EAB3C" w:rsidR="00DF792E" w:rsidRPr="00A93435" w:rsidRDefault="00DF792E" w:rsidP="00A93435">
      <w:pPr>
        <w:pStyle w:val="ONUMFS"/>
        <w:rPr>
          <w:szCs w:val="22"/>
          <w:lang w:val="es-ES_tradnl"/>
        </w:rPr>
      </w:pPr>
      <w:r w:rsidRPr="00A93435">
        <w:rPr>
          <w:lang w:val="es-ES_tradnl"/>
        </w:rPr>
        <w:t>En 2024, el responsable del Equipo Técnico siguió perfeccionando el borrador de la nueva norma técnica de la OMPI basándose en la amplia investigación llevada a cabo en 2019, 2020 y 2021.</w:t>
      </w:r>
      <w:r w:rsidR="00A93435" w:rsidRPr="00A93435">
        <w:rPr>
          <w:lang w:val="es-ES_tradnl"/>
        </w:rPr>
        <w:t xml:space="preserve"> </w:t>
      </w:r>
      <w:r w:rsidRPr="00A93435">
        <w:rPr>
          <w:lang w:val="es-ES_tradnl"/>
        </w:rPr>
        <w:t>Se han introducido varios cambios en la redacción a partir de las conversaciones mantenidas con la Oficina Internacional.</w:t>
      </w:r>
    </w:p>
    <w:p w14:paraId="2624D3C5" w14:textId="71DFA093" w:rsidR="00DF792E" w:rsidRPr="00A93435" w:rsidRDefault="00DF792E" w:rsidP="00A93435">
      <w:pPr>
        <w:pStyle w:val="ONUMFS"/>
        <w:rPr>
          <w:szCs w:val="22"/>
          <w:lang w:val="es-ES_tradnl"/>
        </w:rPr>
      </w:pPr>
      <w:r w:rsidRPr="00A93435">
        <w:rPr>
          <w:lang w:val="es-ES_tradnl"/>
        </w:rPr>
        <w:t>En mayo de 2024, el Equipo Técnico celebró una reunión virtual en la que el líder del Equipo Técnico presentó varias opciones sobre cómo proceder con el desarrollo de la nueva norma para su examen por los miembros:</w:t>
      </w:r>
    </w:p>
    <w:p w14:paraId="6DDCF312" w14:textId="77777777" w:rsidR="00DF792E" w:rsidRPr="00A93435" w:rsidRDefault="00DF792E" w:rsidP="00DF792E">
      <w:pPr>
        <w:pStyle w:val="ListParagraph"/>
        <w:numPr>
          <w:ilvl w:val="0"/>
          <w:numId w:val="9"/>
        </w:numPr>
        <w:spacing w:after="220"/>
        <w:rPr>
          <w:szCs w:val="22"/>
          <w:lang w:val="es-ES_tradnl"/>
        </w:rPr>
      </w:pPr>
      <w:r w:rsidRPr="00A93435">
        <w:rPr>
          <w:lang w:val="es-ES_tradnl"/>
        </w:rPr>
        <w:t>seguir desarrollando la nueva norma técnica de la OMPI;</w:t>
      </w:r>
    </w:p>
    <w:p w14:paraId="5065F6D2" w14:textId="77777777" w:rsidR="00DF792E" w:rsidRPr="00A93435" w:rsidRDefault="00DF792E" w:rsidP="00DF792E">
      <w:pPr>
        <w:pStyle w:val="ListParagraph"/>
        <w:numPr>
          <w:ilvl w:val="0"/>
          <w:numId w:val="9"/>
        </w:numPr>
        <w:spacing w:after="220"/>
        <w:rPr>
          <w:szCs w:val="22"/>
          <w:lang w:val="es-ES_tradnl"/>
        </w:rPr>
      </w:pPr>
      <w:r w:rsidRPr="00A93435">
        <w:rPr>
          <w:lang w:val="es-ES_tradnl"/>
        </w:rPr>
        <w:t>dejar en suspenso las actividades relacionadas con el desarrollo de la norma hasta que haya más demanda, y utilizar en su lugar el Equipo Técnico como foro de intercambio de opiniones y mejores prácticas en relación con las tecnologías de la cadena de bloques; o</w:t>
      </w:r>
    </w:p>
    <w:p w14:paraId="72BAA4BC" w14:textId="77777777" w:rsidR="00DF792E" w:rsidRPr="00A93435" w:rsidRDefault="00DF792E" w:rsidP="00DF792E">
      <w:pPr>
        <w:pStyle w:val="ListParagraph"/>
        <w:numPr>
          <w:ilvl w:val="0"/>
          <w:numId w:val="9"/>
        </w:numPr>
        <w:spacing w:after="220"/>
        <w:rPr>
          <w:szCs w:val="22"/>
          <w:lang w:val="es-ES_tradnl"/>
        </w:rPr>
      </w:pPr>
      <w:r w:rsidRPr="00A93435">
        <w:rPr>
          <w:lang w:val="es-ES_tradnl"/>
        </w:rPr>
        <w:t xml:space="preserve">dejar en suspenso la Tarea n.º 59 hasta que los miembros del Equipo Técnico participantes tengan más experiencia con las tecnologías de la cadena de bloques, incluida la participación en iniciativas como el proyecto de identificador mundial. </w:t>
      </w:r>
    </w:p>
    <w:p w14:paraId="5241548D" w14:textId="3251D89A" w:rsidR="00DF792E" w:rsidRPr="00A93435" w:rsidRDefault="00DF792E" w:rsidP="00A93435">
      <w:pPr>
        <w:pStyle w:val="ONUMFS"/>
        <w:rPr>
          <w:szCs w:val="22"/>
          <w:lang w:val="es-ES_tradnl"/>
        </w:rPr>
      </w:pPr>
      <w:r w:rsidRPr="00A93435">
        <w:rPr>
          <w:lang w:val="es-ES_tradnl"/>
        </w:rPr>
        <w:t>La mayoría de los miembros del Equipo Técnico presentes en la reunión manifestaron su preferencia por proseguir el desarrollo de la nueva norma técnica.</w:t>
      </w:r>
      <w:r w:rsidR="00A93435" w:rsidRPr="00A93435">
        <w:rPr>
          <w:lang w:val="es-ES_tradnl"/>
        </w:rPr>
        <w:t xml:space="preserve"> </w:t>
      </w:r>
      <w:r w:rsidRPr="00A93435">
        <w:rPr>
          <w:lang w:val="es-ES_tradnl"/>
        </w:rPr>
        <w:t>La cuestión principal, que ha sido indicada durante los debates y requiere una aportación colectiva del Equipo Técnico, es que el proyecto de norma técnica debe mantenerse actualizado según el estado actual de las tecnologías de cadena de bloques, incluidos los casos de uso práctico.</w:t>
      </w:r>
      <w:r w:rsidR="00A93435" w:rsidRPr="00A93435">
        <w:rPr>
          <w:lang w:val="es-ES_tradnl"/>
        </w:rPr>
        <w:t xml:space="preserve"> </w:t>
      </w:r>
      <w:r w:rsidRPr="00A93435">
        <w:rPr>
          <w:lang w:val="es-ES_tradnl"/>
        </w:rPr>
        <w:t>La manera de superar este problema será el principal tema de debate del Equipo Técnico en 2025.</w:t>
      </w:r>
    </w:p>
    <w:p w14:paraId="2F55953E" w14:textId="77777777" w:rsidR="00DF792E" w:rsidRPr="00A93435" w:rsidRDefault="00DF792E" w:rsidP="00A93435">
      <w:pPr>
        <w:pStyle w:val="Heading3"/>
        <w:spacing w:before="0" w:after="120"/>
        <w:rPr>
          <w:lang w:val="es-ES_tradnl"/>
        </w:rPr>
      </w:pPr>
      <w:r w:rsidRPr="00A93435">
        <w:rPr>
          <w:lang w:val="es-ES_tradnl"/>
        </w:rPr>
        <w:lastRenderedPageBreak/>
        <w:t>Desafíos</w:t>
      </w:r>
    </w:p>
    <w:p w14:paraId="014B3435" w14:textId="62831916" w:rsidR="00DF792E" w:rsidRPr="00A93435" w:rsidRDefault="00DF792E" w:rsidP="00A93435">
      <w:pPr>
        <w:pStyle w:val="ONUMFS"/>
        <w:spacing w:after="480"/>
        <w:rPr>
          <w:szCs w:val="22"/>
          <w:lang w:val="es-ES_tradnl"/>
        </w:rPr>
      </w:pPr>
      <w:r w:rsidRPr="00A93435">
        <w:rPr>
          <w:lang w:val="es-ES_tradnl"/>
        </w:rPr>
        <w:t>El Equipo Técnico se enfrentó al siguiente problema crítico: la falta de participación de los miembros del Equipo Técnico debido a la falta de experiencia en la aplicación de la tecnología de la cadena de bloques en los ámbitos de la PI.</w:t>
      </w:r>
    </w:p>
    <w:p w14:paraId="3DCCE7CD" w14:textId="77777777" w:rsidR="00DF792E" w:rsidRPr="00A93435" w:rsidRDefault="00DF792E" w:rsidP="00A93435">
      <w:pPr>
        <w:pStyle w:val="ONUMFS"/>
        <w:keepNext/>
        <w:numPr>
          <w:ilvl w:val="0"/>
          <w:numId w:val="0"/>
        </w:numPr>
        <w:spacing w:after="120"/>
        <w:outlineLvl w:val="1"/>
        <w:rPr>
          <w:caps/>
          <w:lang w:val="es-ES_tradnl"/>
        </w:rPr>
      </w:pPr>
      <w:r w:rsidRPr="00A93435">
        <w:rPr>
          <w:lang w:val="es-ES_tradnl"/>
        </w:rPr>
        <w:t>PLAN DE TRABAJO</w:t>
      </w:r>
    </w:p>
    <w:p w14:paraId="78E569FA" w14:textId="068E4848" w:rsidR="00DF792E" w:rsidRPr="00A93435" w:rsidRDefault="00DF792E" w:rsidP="00A93435">
      <w:pPr>
        <w:pStyle w:val="ONUMFS"/>
        <w:rPr>
          <w:lang w:val="es-ES_tradnl"/>
        </w:rPr>
      </w:pPr>
      <w:r w:rsidRPr="00A93435">
        <w:rPr>
          <w:lang w:val="es-ES_tradnl"/>
        </w:rPr>
        <w:t>El Equipo Técnico informa al CWS de su plan de trabajo para 2024/2025 según se indica a continuación:</w:t>
      </w:r>
    </w:p>
    <w:tbl>
      <w:tblPr>
        <w:tblStyle w:val="TableGrid"/>
        <w:tblW w:w="9606" w:type="dxa"/>
        <w:tblLook w:val="04A0" w:firstRow="1" w:lastRow="0" w:firstColumn="1" w:lastColumn="0" w:noHBand="0" w:noVBand="1"/>
      </w:tblPr>
      <w:tblGrid>
        <w:gridCol w:w="3369"/>
        <w:gridCol w:w="4536"/>
        <w:gridCol w:w="1701"/>
      </w:tblGrid>
      <w:tr w:rsidR="00DF792E" w:rsidRPr="00A93435" w14:paraId="4D01BFCF" w14:textId="77777777" w:rsidTr="00DD416B">
        <w:tc>
          <w:tcPr>
            <w:tcW w:w="3369" w:type="dxa"/>
            <w:shd w:val="clear" w:color="auto" w:fill="F2F2F2" w:themeFill="background1" w:themeFillShade="F2"/>
          </w:tcPr>
          <w:p w14:paraId="141F991A" w14:textId="77777777" w:rsidR="00DF792E" w:rsidRPr="00A93435" w:rsidRDefault="00DF792E" w:rsidP="00DD416B">
            <w:pPr>
              <w:jc w:val="center"/>
              <w:rPr>
                <w:b/>
                <w:lang w:val="es-ES_tradnl"/>
              </w:rPr>
            </w:pPr>
            <w:r w:rsidRPr="00A93435">
              <w:rPr>
                <w:b/>
                <w:lang w:val="es-ES_tradnl"/>
              </w:rPr>
              <w:t>Elemento</w:t>
            </w:r>
          </w:p>
        </w:tc>
        <w:tc>
          <w:tcPr>
            <w:tcW w:w="4536" w:type="dxa"/>
            <w:shd w:val="clear" w:color="auto" w:fill="F2F2F2" w:themeFill="background1" w:themeFillShade="F2"/>
          </w:tcPr>
          <w:p w14:paraId="1B4148E6" w14:textId="77777777" w:rsidR="00DF792E" w:rsidRPr="00A93435" w:rsidRDefault="00DF792E" w:rsidP="00DD416B">
            <w:pPr>
              <w:jc w:val="center"/>
              <w:rPr>
                <w:b/>
                <w:lang w:val="es-ES_tradnl"/>
              </w:rPr>
            </w:pPr>
            <w:r w:rsidRPr="00A93435">
              <w:rPr>
                <w:b/>
                <w:lang w:val="es-ES_tradnl"/>
              </w:rPr>
              <w:t>Descripción</w:t>
            </w:r>
          </w:p>
        </w:tc>
        <w:tc>
          <w:tcPr>
            <w:tcW w:w="1701" w:type="dxa"/>
            <w:shd w:val="clear" w:color="auto" w:fill="F2F2F2" w:themeFill="background1" w:themeFillShade="F2"/>
          </w:tcPr>
          <w:p w14:paraId="329659DA" w14:textId="77777777" w:rsidR="00DF792E" w:rsidRPr="00A93435" w:rsidRDefault="00DF792E" w:rsidP="00DD416B">
            <w:pPr>
              <w:jc w:val="center"/>
              <w:rPr>
                <w:b/>
                <w:lang w:val="es-ES_tradnl"/>
              </w:rPr>
            </w:pPr>
            <w:r w:rsidRPr="00A93435">
              <w:rPr>
                <w:b/>
                <w:lang w:val="es-ES_tradnl"/>
              </w:rPr>
              <w:t>Plazos</w:t>
            </w:r>
          </w:p>
        </w:tc>
      </w:tr>
      <w:tr w:rsidR="00DF792E" w:rsidRPr="00A93435" w14:paraId="4B4A7BE6" w14:textId="77777777" w:rsidTr="00DD416B">
        <w:tc>
          <w:tcPr>
            <w:tcW w:w="3369" w:type="dxa"/>
          </w:tcPr>
          <w:p w14:paraId="57284A34" w14:textId="77777777" w:rsidR="00DF792E" w:rsidRPr="00A93435" w:rsidRDefault="00DF792E" w:rsidP="00DD416B">
            <w:pPr>
              <w:rPr>
                <w:lang w:val="es-ES_tradnl"/>
              </w:rPr>
            </w:pPr>
            <w:r w:rsidRPr="00A93435">
              <w:rPr>
                <w:lang w:val="es-ES_tradnl"/>
              </w:rPr>
              <w:t>CWS/12</w:t>
            </w:r>
          </w:p>
        </w:tc>
        <w:tc>
          <w:tcPr>
            <w:tcW w:w="4536" w:type="dxa"/>
          </w:tcPr>
          <w:p w14:paraId="3FB39D35" w14:textId="77777777" w:rsidR="00DF792E" w:rsidRPr="00A93435" w:rsidRDefault="00DF792E" w:rsidP="00DD416B">
            <w:pPr>
              <w:spacing w:after="120"/>
              <w:rPr>
                <w:lang w:val="es-ES_tradnl"/>
              </w:rPr>
            </w:pPr>
            <w:r w:rsidRPr="00A93435">
              <w:rPr>
                <w:lang w:val="es-ES_tradnl"/>
              </w:rPr>
              <w:t>Informe del Equipo Técnico en la 12ª sesión del CWS</w:t>
            </w:r>
          </w:p>
        </w:tc>
        <w:tc>
          <w:tcPr>
            <w:tcW w:w="1701" w:type="dxa"/>
          </w:tcPr>
          <w:p w14:paraId="68A2DECE" w14:textId="77777777" w:rsidR="00DF792E" w:rsidRPr="00A93435" w:rsidRDefault="00DF792E" w:rsidP="00DD416B">
            <w:pPr>
              <w:rPr>
                <w:lang w:val="es-ES_tradnl"/>
              </w:rPr>
            </w:pPr>
            <w:r w:rsidRPr="00A93435">
              <w:rPr>
                <w:lang w:val="es-ES_tradnl"/>
              </w:rPr>
              <w:t>16 a 19 de septiembre de 2024</w:t>
            </w:r>
          </w:p>
        </w:tc>
      </w:tr>
      <w:tr w:rsidR="00DF792E" w:rsidRPr="00A93435" w14:paraId="00809362" w14:textId="77777777" w:rsidTr="00DD416B">
        <w:tc>
          <w:tcPr>
            <w:tcW w:w="3369" w:type="dxa"/>
          </w:tcPr>
          <w:p w14:paraId="037FF216" w14:textId="77777777" w:rsidR="00DF792E" w:rsidRPr="00A93435" w:rsidRDefault="00DF792E" w:rsidP="00DD416B">
            <w:pPr>
              <w:rPr>
                <w:lang w:val="es-ES_tradnl"/>
              </w:rPr>
            </w:pPr>
            <w:r w:rsidRPr="00A93435">
              <w:rPr>
                <w:lang w:val="es-ES_tradnl"/>
              </w:rPr>
              <w:t>Mejora del proyecto de norma técnica</w:t>
            </w:r>
          </w:p>
          <w:p w14:paraId="5E76ED10" w14:textId="77777777" w:rsidR="00DF792E" w:rsidRPr="00A93435" w:rsidRDefault="00DF792E" w:rsidP="00DD416B">
            <w:pPr>
              <w:rPr>
                <w:lang w:val="es-ES_tradnl"/>
              </w:rPr>
            </w:pPr>
            <w:r w:rsidRPr="00A93435">
              <w:rPr>
                <w:lang w:val="es-ES_tradnl"/>
              </w:rPr>
              <w:t xml:space="preserve"> </w:t>
            </w:r>
          </w:p>
        </w:tc>
        <w:tc>
          <w:tcPr>
            <w:tcW w:w="4536" w:type="dxa"/>
          </w:tcPr>
          <w:p w14:paraId="13716C10" w14:textId="5FA2A9E9" w:rsidR="00DF792E" w:rsidRPr="00A93435" w:rsidRDefault="00DF792E" w:rsidP="00DF792E">
            <w:pPr>
              <w:pStyle w:val="ListParagraph"/>
              <w:numPr>
                <w:ilvl w:val="0"/>
                <w:numId w:val="10"/>
              </w:numPr>
              <w:rPr>
                <w:lang w:val="es-ES_tradnl"/>
              </w:rPr>
            </w:pPr>
            <w:r w:rsidRPr="00A93435">
              <w:rPr>
                <w:lang w:val="es-ES_tradnl"/>
              </w:rPr>
              <w:t>Investigar la experiencia y los resultados del proyecto de la OMPI de identificador mundial, como parte del esfuerzo por incorporar</w:t>
            </w:r>
            <w:r w:rsidR="00A93435" w:rsidRPr="00A93435">
              <w:rPr>
                <w:lang w:val="es-ES_tradnl"/>
              </w:rPr>
              <w:t xml:space="preserve"> </w:t>
            </w:r>
            <w:r w:rsidRPr="00A93435">
              <w:rPr>
                <w:lang w:val="es-ES_tradnl"/>
              </w:rPr>
              <w:t>en las recomendaciones casos prácticos de uso de las tecnologías de cadena de bloques.</w:t>
            </w:r>
          </w:p>
          <w:p w14:paraId="014B4ED9" w14:textId="77777777" w:rsidR="00DF792E" w:rsidRPr="00A93435" w:rsidRDefault="00DF792E" w:rsidP="00DF792E">
            <w:pPr>
              <w:pStyle w:val="ListParagraph"/>
              <w:numPr>
                <w:ilvl w:val="0"/>
                <w:numId w:val="10"/>
              </w:numPr>
              <w:spacing w:after="240"/>
              <w:rPr>
                <w:lang w:val="es-ES_tradnl"/>
              </w:rPr>
            </w:pPr>
            <w:r w:rsidRPr="00A93435">
              <w:rPr>
                <w:lang w:val="es-ES_tradnl"/>
              </w:rPr>
              <w:t>Investigar y analizar los casos de uso de las tecnologías de cadena de bloques en la comunidad de la PI, por ejemplo, el identificador mundial, de la OMPI, que utilizan dichas tecnologías, y seguir mejorando el proyecto de norma técnica.</w:t>
            </w:r>
          </w:p>
        </w:tc>
        <w:tc>
          <w:tcPr>
            <w:tcW w:w="1701" w:type="dxa"/>
          </w:tcPr>
          <w:p w14:paraId="411C94AD" w14:textId="77777777" w:rsidR="00DF792E" w:rsidRPr="00A93435" w:rsidRDefault="00DF792E" w:rsidP="00DD416B">
            <w:pPr>
              <w:rPr>
                <w:lang w:val="es-ES_tradnl"/>
              </w:rPr>
            </w:pPr>
            <w:r w:rsidRPr="00A93435">
              <w:rPr>
                <w:lang w:val="es-ES_tradnl"/>
              </w:rPr>
              <w:t>2024/2025</w:t>
            </w:r>
          </w:p>
        </w:tc>
      </w:tr>
      <w:tr w:rsidR="00DF792E" w:rsidRPr="00A93435" w14:paraId="6A47AA6C" w14:textId="77777777" w:rsidTr="00DD416B">
        <w:tc>
          <w:tcPr>
            <w:tcW w:w="3369" w:type="dxa"/>
          </w:tcPr>
          <w:p w14:paraId="5FA2D012" w14:textId="77777777" w:rsidR="00DF792E" w:rsidRPr="00A93435" w:rsidRDefault="00DF792E" w:rsidP="00DD416B">
            <w:pPr>
              <w:spacing w:after="240"/>
              <w:rPr>
                <w:lang w:val="es-ES_tradnl"/>
              </w:rPr>
            </w:pPr>
            <w:r w:rsidRPr="00A93435">
              <w:rPr>
                <w:lang w:val="es-ES_tradnl"/>
              </w:rPr>
              <w:t>Reunión del Equipo Técnico</w:t>
            </w:r>
          </w:p>
        </w:tc>
        <w:tc>
          <w:tcPr>
            <w:tcW w:w="4536" w:type="dxa"/>
          </w:tcPr>
          <w:p w14:paraId="04152899" w14:textId="77777777" w:rsidR="00DF792E" w:rsidRPr="00A93435" w:rsidRDefault="00DF792E" w:rsidP="00DD416B">
            <w:pPr>
              <w:spacing w:after="240"/>
              <w:rPr>
                <w:lang w:val="es-ES_tradnl"/>
              </w:rPr>
            </w:pPr>
            <w:r w:rsidRPr="00A93435">
              <w:rPr>
                <w:lang w:val="es-ES_tradnl"/>
              </w:rPr>
              <w:t>Organizar una reunión virtual del Equipo Técnico para examinar los resultados de la investigación.</w:t>
            </w:r>
          </w:p>
        </w:tc>
        <w:tc>
          <w:tcPr>
            <w:tcW w:w="1701" w:type="dxa"/>
          </w:tcPr>
          <w:p w14:paraId="3AC31D4B" w14:textId="77777777" w:rsidR="00DF792E" w:rsidRPr="00A93435" w:rsidRDefault="00DF792E" w:rsidP="00DD416B">
            <w:pPr>
              <w:spacing w:after="240"/>
              <w:rPr>
                <w:lang w:val="es-ES_tradnl"/>
              </w:rPr>
            </w:pPr>
            <w:r w:rsidRPr="00A93435">
              <w:rPr>
                <w:lang w:val="es-ES_tradnl"/>
              </w:rPr>
              <w:t>2025</w:t>
            </w:r>
          </w:p>
        </w:tc>
      </w:tr>
      <w:tr w:rsidR="00DF792E" w:rsidRPr="00A93435" w14:paraId="66AAF3BA" w14:textId="77777777" w:rsidTr="00DD416B">
        <w:tc>
          <w:tcPr>
            <w:tcW w:w="3369" w:type="dxa"/>
          </w:tcPr>
          <w:p w14:paraId="5A61EBD1" w14:textId="77777777" w:rsidR="00DF792E" w:rsidRPr="00A93435" w:rsidRDefault="00DF792E" w:rsidP="00DD416B">
            <w:pPr>
              <w:spacing w:after="240"/>
              <w:rPr>
                <w:lang w:val="es-ES_tradnl"/>
              </w:rPr>
            </w:pPr>
            <w:r w:rsidRPr="00A93435">
              <w:rPr>
                <w:lang w:val="es-ES_tradnl"/>
              </w:rPr>
              <w:t>Preparación para la 13ª sesión del CWS</w:t>
            </w:r>
          </w:p>
        </w:tc>
        <w:tc>
          <w:tcPr>
            <w:tcW w:w="4536" w:type="dxa"/>
          </w:tcPr>
          <w:p w14:paraId="79A0910E" w14:textId="77777777" w:rsidR="00DF792E" w:rsidRPr="00A93435" w:rsidRDefault="00DF792E" w:rsidP="00DD416B">
            <w:pPr>
              <w:spacing w:after="240"/>
              <w:rPr>
                <w:lang w:val="es-ES_tradnl"/>
              </w:rPr>
            </w:pPr>
            <w:r w:rsidRPr="00A93435">
              <w:rPr>
                <w:lang w:val="es-ES_tradnl"/>
              </w:rPr>
              <w:t>Redactar documentos de trabajo para la próxima sesión del CWS</w:t>
            </w:r>
          </w:p>
        </w:tc>
        <w:tc>
          <w:tcPr>
            <w:tcW w:w="1701" w:type="dxa"/>
          </w:tcPr>
          <w:p w14:paraId="1FE9C804" w14:textId="77777777" w:rsidR="00DF792E" w:rsidRPr="00A93435" w:rsidRDefault="00DF792E" w:rsidP="00DD416B">
            <w:pPr>
              <w:spacing w:after="240"/>
              <w:rPr>
                <w:lang w:val="es-ES_tradnl"/>
              </w:rPr>
            </w:pPr>
            <w:r w:rsidRPr="00A93435">
              <w:rPr>
                <w:lang w:val="es-ES_tradnl"/>
              </w:rPr>
              <w:t>2025</w:t>
            </w:r>
          </w:p>
        </w:tc>
      </w:tr>
      <w:tr w:rsidR="00DF792E" w:rsidRPr="00A93435" w14:paraId="35249119" w14:textId="77777777" w:rsidTr="00DD416B">
        <w:tc>
          <w:tcPr>
            <w:tcW w:w="3369" w:type="dxa"/>
          </w:tcPr>
          <w:p w14:paraId="47552234" w14:textId="77777777" w:rsidR="00DF792E" w:rsidRPr="00A93435" w:rsidRDefault="00DF792E" w:rsidP="00DD416B">
            <w:pPr>
              <w:spacing w:after="240"/>
              <w:rPr>
                <w:lang w:val="es-ES_tradnl"/>
              </w:rPr>
            </w:pPr>
            <w:r w:rsidRPr="00A93435">
              <w:rPr>
                <w:lang w:val="es-ES_tradnl"/>
              </w:rPr>
              <w:t>CWS/13</w:t>
            </w:r>
          </w:p>
        </w:tc>
        <w:tc>
          <w:tcPr>
            <w:tcW w:w="4536" w:type="dxa"/>
          </w:tcPr>
          <w:p w14:paraId="280DF37E" w14:textId="77777777" w:rsidR="00DF792E" w:rsidRPr="00A93435" w:rsidRDefault="00DF792E" w:rsidP="00DD416B">
            <w:pPr>
              <w:spacing w:after="240"/>
              <w:rPr>
                <w:lang w:val="es-ES_tradnl"/>
              </w:rPr>
            </w:pPr>
            <w:r w:rsidRPr="00A93435">
              <w:rPr>
                <w:lang w:val="es-ES_tradnl"/>
              </w:rPr>
              <w:t>Informe del Equipo Técnico en la 13ª sesión del CWS</w:t>
            </w:r>
          </w:p>
        </w:tc>
        <w:tc>
          <w:tcPr>
            <w:tcW w:w="1701" w:type="dxa"/>
          </w:tcPr>
          <w:p w14:paraId="3A42F101" w14:textId="77777777" w:rsidR="00DF792E" w:rsidRPr="00A93435" w:rsidRDefault="00DF792E" w:rsidP="00DD416B">
            <w:pPr>
              <w:spacing w:after="240"/>
              <w:rPr>
                <w:lang w:val="es-ES_tradnl"/>
              </w:rPr>
            </w:pPr>
            <w:r w:rsidRPr="00A93435">
              <w:rPr>
                <w:lang w:val="es-ES_tradnl"/>
              </w:rPr>
              <w:t>2025</w:t>
            </w:r>
          </w:p>
        </w:tc>
      </w:tr>
    </w:tbl>
    <w:p w14:paraId="6B90E828" w14:textId="28BFAF7D" w:rsidR="00DF792E" w:rsidRPr="00A93435" w:rsidRDefault="00DF792E" w:rsidP="00A93435">
      <w:pPr>
        <w:pStyle w:val="ONUMFS"/>
        <w:tabs>
          <w:tab w:val="clear" w:pos="567"/>
        </w:tabs>
        <w:spacing w:before="240" w:after="240"/>
        <w:ind w:left="5528"/>
        <w:rPr>
          <w:i/>
          <w:iCs/>
          <w:szCs w:val="22"/>
          <w:lang w:val="es-ES_tradnl"/>
        </w:rPr>
      </w:pPr>
      <w:r w:rsidRPr="00A93435">
        <w:rPr>
          <w:i/>
          <w:iCs/>
          <w:lang w:val="es-ES_tradnl"/>
        </w:rPr>
        <w:t>Se invita al CWS a:</w:t>
      </w:r>
    </w:p>
    <w:p w14:paraId="31274157" w14:textId="77777777" w:rsidR="00DF792E" w:rsidRPr="00A93435" w:rsidRDefault="00DF792E" w:rsidP="00A93435">
      <w:pPr>
        <w:pStyle w:val="ONUMFS"/>
        <w:numPr>
          <w:ilvl w:val="1"/>
          <w:numId w:val="6"/>
        </w:numPr>
        <w:tabs>
          <w:tab w:val="clear" w:pos="1134"/>
        </w:tabs>
        <w:ind w:left="5529" w:firstLine="850"/>
        <w:rPr>
          <w:rFonts w:eastAsia="Arial"/>
          <w:i/>
          <w:iCs/>
          <w:szCs w:val="22"/>
          <w:lang w:val="es-ES_tradnl"/>
        </w:rPr>
      </w:pPr>
      <w:r w:rsidRPr="00A93435">
        <w:rPr>
          <w:i/>
          <w:iCs/>
          <w:lang w:val="es-ES_tradnl"/>
        </w:rPr>
        <w:t>tomar nota del contenido del presente documento; y</w:t>
      </w:r>
    </w:p>
    <w:p w14:paraId="5B5CFA3A" w14:textId="6CF9F91C" w:rsidR="00DF792E" w:rsidRPr="00A93435" w:rsidRDefault="00DF792E" w:rsidP="00A93435">
      <w:pPr>
        <w:pStyle w:val="ONUMFS"/>
        <w:numPr>
          <w:ilvl w:val="1"/>
          <w:numId w:val="6"/>
        </w:numPr>
        <w:tabs>
          <w:tab w:val="clear" w:pos="1134"/>
        </w:tabs>
        <w:spacing w:after="600"/>
        <w:ind w:left="5528" w:firstLine="851"/>
        <w:rPr>
          <w:u w:val="single"/>
          <w:lang w:val="es-ES_tradnl"/>
        </w:rPr>
      </w:pPr>
      <w:r w:rsidRPr="00A93435">
        <w:rPr>
          <w:i/>
          <w:lang w:val="es-ES_tradnl"/>
        </w:rPr>
        <w:t>tomar nota del plan de trabajo propuesto para el Equipo Técnico sobre la Cadena de Bloques, como se indica en el apartado 9, más arriba.</w:t>
      </w:r>
    </w:p>
    <w:p w14:paraId="6C3C071E" w14:textId="622208FA" w:rsidR="00152CEA" w:rsidRPr="00A93435" w:rsidRDefault="00DF792E" w:rsidP="00A93435">
      <w:pPr>
        <w:pStyle w:val="Endofdocument-Annex"/>
        <w:rPr>
          <w:lang w:val="es-ES_tradnl"/>
        </w:rPr>
      </w:pPr>
      <w:r w:rsidRPr="00A93435">
        <w:rPr>
          <w:lang w:val="es-ES_tradnl"/>
        </w:rPr>
        <w:t>[Fin del documento]</w:t>
      </w:r>
      <w:bookmarkEnd w:id="5"/>
    </w:p>
    <w:sectPr w:rsidR="00152CEA" w:rsidRPr="00A93435" w:rsidSect="00DF792E">
      <w:headerReference w:type="default" r:id="rId8"/>
      <w:footerReference w:type="even" r:id="rId9"/>
      <w:footerReference w:type="default" r:id="rId10"/>
      <w:foot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F500" w14:textId="77777777" w:rsidR="00DF792E" w:rsidRDefault="00DF792E">
      <w:r>
        <w:separator/>
      </w:r>
    </w:p>
  </w:endnote>
  <w:endnote w:type="continuationSeparator" w:id="0">
    <w:p w14:paraId="0E921477" w14:textId="77777777" w:rsidR="00DF792E" w:rsidRPr="009D30E6" w:rsidRDefault="00DF792E" w:rsidP="007E663E">
      <w:pPr>
        <w:rPr>
          <w:sz w:val="17"/>
          <w:szCs w:val="17"/>
        </w:rPr>
      </w:pPr>
      <w:r w:rsidRPr="009D30E6">
        <w:rPr>
          <w:sz w:val="17"/>
          <w:szCs w:val="17"/>
        </w:rPr>
        <w:separator/>
      </w:r>
    </w:p>
    <w:p w14:paraId="1527D999" w14:textId="77777777" w:rsidR="00DF792E" w:rsidRPr="007E663E" w:rsidRDefault="00DF792E" w:rsidP="007E663E">
      <w:pPr>
        <w:spacing w:after="60"/>
        <w:rPr>
          <w:sz w:val="17"/>
          <w:szCs w:val="17"/>
        </w:rPr>
      </w:pPr>
      <w:r>
        <w:rPr>
          <w:sz w:val="17"/>
        </w:rPr>
        <w:t>[Continuación de la nota de la página anterior]</w:t>
      </w:r>
    </w:p>
  </w:endnote>
  <w:endnote w:type="continuationNotice" w:id="1">
    <w:p w14:paraId="2F900D2F" w14:textId="77777777" w:rsidR="00DF792E" w:rsidRPr="007E663E" w:rsidRDefault="00DF792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22D3" w14:textId="2C487F8D" w:rsidR="001D50D1" w:rsidRDefault="001D5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2B14" w14:textId="10A886CF" w:rsidR="001D50D1" w:rsidRDefault="001D5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344DA" w14:textId="7C7ADE21" w:rsidR="001D50D1" w:rsidRDefault="001D5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E68AA" w14:textId="77777777" w:rsidR="00DF792E" w:rsidRDefault="00DF792E">
      <w:r>
        <w:separator/>
      </w:r>
    </w:p>
  </w:footnote>
  <w:footnote w:type="continuationSeparator" w:id="0">
    <w:p w14:paraId="7345EB89" w14:textId="77777777" w:rsidR="00DF792E" w:rsidRPr="009D30E6" w:rsidRDefault="00DF792E" w:rsidP="007E663E">
      <w:pPr>
        <w:rPr>
          <w:sz w:val="17"/>
          <w:szCs w:val="17"/>
        </w:rPr>
      </w:pPr>
      <w:r w:rsidRPr="009D30E6">
        <w:rPr>
          <w:sz w:val="17"/>
          <w:szCs w:val="17"/>
        </w:rPr>
        <w:separator/>
      </w:r>
    </w:p>
    <w:p w14:paraId="5C69DCC8" w14:textId="77777777" w:rsidR="00DF792E" w:rsidRPr="007E663E" w:rsidRDefault="00DF792E" w:rsidP="007E663E">
      <w:pPr>
        <w:spacing w:after="60"/>
        <w:rPr>
          <w:sz w:val="17"/>
          <w:szCs w:val="17"/>
        </w:rPr>
      </w:pPr>
      <w:r>
        <w:rPr>
          <w:sz w:val="17"/>
        </w:rPr>
        <w:t>[Continuación de la nota de la página anterior]</w:t>
      </w:r>
    </w:p>
  </w:footnote>
  <w:footnote w:type="continuationNotice" w:id="1">
    <w:p w14:paraId="2FE25A1F" w14:textId="77777777" w:rsidR="00DF792E" w:rsidRPr="007E663E" w:rsidRDefault="00DF792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F4EF" w14:textId="77777777" w:rsidR="00F84474" w:rsidRDefault="00DF792E" w:rsidP="00477D6B">
    <w:pPr>
      <w:jc w:val="right"/>
    </w:pPr>
    <w:bookmarkStart w:id="6" w:name="Code2"/>
    <w:bookmarkEnd w:id="6"/>
    <w:r>
      <w:t>CWS/12/11</w:t>
    </w:r>
  </w:p>
  <w:p w14:paraId="6A44587A"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5B03307D" w14:textId="77777777" w:rsidR="00F84474" w:rsidRDefault="00F84474" w:rsidP="00477D6B">
    <w:pPr>
      <w:jc w:val="right"/>
    </w:pPr>
  </w:p>
  <w:p w14:paraId="24680207"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0C1AB5"/>
    <w:multiLevelType w:val="hybridMultilevel"/>
    <w:tmpl w:val="0BCE2E60"/>
    <w:lvl w:ilvl="0" w:tplc="E6B8B40C">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05BCE"/>
    <w:multiLevelType w:val="hybridMultilevel"/>
    <w:tmpl w:val="1F92726E"/>
    <w:lvl w:ilvl="0" w:tplc="3DD463CA">
      <w:start w:val="1"/>
      <w:numFmt w:val="bullet"/>
      <w:lvlText w:val=""/>
      <w:lvlJc w:val="left"/>
      <w:pPr>
        <w:ind w:left="720" w:hanging="360"/>
      </w:pPr>
      <w:rPr>
        <w:rFonts w:ascii="Symbol" w:hAnsi="Symbo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821881"/>
    <w:multiLevelType w:val="hybridMultilevel"/>
    <w:tmpl w:val="88C2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022552"/>
    <w:multiLevelType w:val="hybridMultilevel"/>
    <w:tmpl w:val="F2F0601C"/>
    <w:lvl w:ilvl="0" w:tplc="5B28816A">
      <w:start w:val="1"/>
      <w:numFmt w:val="lowerLetter"/>
      <w:lvlText w:val="(%1)"/>
      <w:lvlJc w:val="left"/>
      <w:pPr>
        <w:ind w:left="7099" w:hanging="360"/>
      </w:pPr>
      <w:rPr>
        <w:rFonts w:hint="default"/>
      </w:rPr>
    </w:lvl>
    <w:lvl w:ilvl="1" w:tplc="04090019" w:tentative="1">
      <w:start w:val="1"/>
      <w:numFmt w:val="lowerLetter"/>
      <w:lvlText w:val="%2."/>
      <w:lvlJc w:val="left"/>
      <w:pPr>
        <w:ind w:left="7819" w:hanging="360"/>
      </w:pPr>
    </w:lvl>
    <w:lvl w:ilvl="2" w:tplc="0409001B" w:tentative="1">
      <w:start w:val="1"/>
      <w:numFmt w:val="lowerRoman"/>
      <w:lvlText w:val="%3."/>
      <w:lvlJc w:val="right"/>
      <w:pPr>
        <w:ind w:left="8539" w:hanging="180"/>
      </w:pPr>
    </w:lvl>
    <w:lvl w:ilvl="3" w:tplc="0409000F" w:tentative="1">
      <w:start w:val="1"/>
      <w:numFmt w:val="decimal"/>
      <w:lvlText w:val="%4."/>
      <w:lvlJc w:val="left"/>
      <w:pPr>
        <w:ind w:left="9259" w:hanging="360"/>
      </w:pPr>
    </w:lvl>
    <w:lvl w:ilvl="4" w:tplc="04090019" w:tentative="1">
      <w:start w:val="1"/>
      <w:numFmt w:val="lowerLetter"/>
      <w:lvlText w:val="%5."/>
      <w:lvlJc w:val="left"/>
      <w:pPr>
        <w:ind w:left="9979" w:hanging="360"/>
      </w:pPr>
    </w:lvl>
    <w:lvl w:ilvl="5" w:tplc="0409001B" w:tentative="1">
      <w:start w:val="1"/>
      <w:numFmt w:val="lowerRoman"/>
      <w:lvlText w:val="%6."/>
      <w:lvlJc w:val="right"/>
      <w:pPr>
        <w:ind w:left="10699" w:hanging="180"/>
      </w:pPr>
    </w:lvl>
    <w:lvl w:ilvl="6" w:tplc="0409000F" w:tentative="1">
      <w:start w:val="1"/>
      <w:numFmt w:val="decimal"/>
      <w:lvlText w:val="%7."/>
      <w:lvlJc w:val="left"/>
      <w:pPr>
        <w:ind w:left="11419" w:hanging="360"/>
      </w:pPr>
    </w:lvl>
    <w:lvl w:ilvl="7" w:tplc="04090019" w:tentative="1">
      <w:start w:val="1"/>
      <w:numFmt w:val="lowerLetter"/>
      <w:lvlText w:val="%8."/>
      <w:lvlJc w:val="left"/>
      <w:pPr>
        <w:ind w:left="12139" w:hanging="360"/>
      </w:pPr>
    </w:lvl>
    <w:lvl w:ilvl="8" w:tplc="0409001B" w:tentative="1">
      <w:start w:val="1"/>
      <w:numFmt w:val="lowerRoman"/>
      <w:lvlText w:val="%9."/>
      <w:lvlJc w:val="right"/>
      <w:pPr>
        <w:ind w:left="12859" w:hanging="180"/>
      </w:pPr>
    </w:lvl>
  </w:abstractNum>
  <w:num w:numId="1" w16cid:durableId="527987169">
    <w:abstractNumId w:val="3"/>
  </w:num>
  <w:num w:numId="2" w16cid:durableId="1368065899">
    <w:abstractNumId w:val="7"/>
  </w:num>
  <w:num w:numId="3" w16cid:durableId="1509633635">
    <w:abstractNumId w:val="0"/>
  </w:num>
  <w:num w:numId="4" w16cid:durableId="677849983">
    <w:abstractNumId w:val="8"/>
  </w:num>
  <w:num w:numId="5" w16cid:durableId="1988243437">
    <w:abstractNumId w:val="1"/>
  </w:num>
  <w:num w:numId="6" w16cid:durableId="2016496202">
    <w:abstractNumId w:val="4"/>
  </w:num>
  <w:num w:numId="7" w16cid:durableId="667906302">
    <w:abstractNumId w:val="5"/>
  </w:num>
  <w:num w:numId="8" w16cid:durableId="2121560195">
    <w:abstractNumId w:val="9"/>
  </w:num>
  <w:num w:numId="9" w16cid:durableId="1021860978">
    <w:abstractNumId w:val="2"/>
  </w:num>
  <w:num w:numId="10" w16cid:durableId="1688827229">
    <w:abstractNumId w:val="6"/>
  </w:num>
  <w:num w:numId="11" w16cid:durableId="860970499">
    <w:abstractNumId w:val="10"/>
  </w:num>
  <w:num w:numId="12" w16cid:durableId="1513491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92E"/>
    <w:rsid w:val="000E3BB3"/>
    <w:rsid w:val="000E67FD"/>
    <w:rsid w:val="000F5E56"/>
    <w:rsid w:val="001362EE"/>
    <w:rsid w:val="00152CEA"/>
    <w:rsid w:val="001832A6"/>
    <w:rsid w:val="001C4DD3"/>
    <w:rsid w:val="001D50D1"/>
    <w:rsid w:val="0022704F"/>
    <w:rsid w:val="002634C4"/>
    <w:rsid w:val="002E582C"/>
    <w:rsid w:val="002F4E68"/>
    <w:rsid w:val="00307787"/>
    <w:rsid w:val="00354647"/>
    <w:rsid w:val="00355A7E"/>
    <w:rsid w:val="00377273"/>
    <w:rsid w:val="003845C1"/>
    <w:rsid w:val="00387287"/>
    <w:rsid w:val="003D41D4"/>
    <w:rsid w:val="00423E3E"/>
    <w:rsid w:val="00427AF4"/>
    <w:rsid w:val="0045231F"/>
    <w:rsid w:val="004647DA"/>
    <w:rsid w:val="00477D6B"/>
    <w:rsid w:val="004A6C37"/>
    <w:rsid w:val="004F7418"/>
    <w:rsid w:val="00511D0C"/>
    <w:rsid w:val="0055013B"/>
    <w:rsid w:val="005605E5"/>
    <w:rsid w:val="0056224D"/>
    <w:rsid w:val="00571B99"/>
    <w:rsid w:val="005D64EC"/>
    <w:rsid w:val="00605827"/>
    <w:rsid w:val="00615B8E"/>
    <w:rsid w:val="0066216D"/>
    <w:rsid w:val="00664847"/>
    <w:rsid w:val="00675021"/>
    <w:rsid w:val="006A06C6"/>
    <w:rsid w:val="006B0EB7"/>
    <w:rsid w:val="007E63AC"/>
    <w:rsid w:val="007E663E"/>
    <w:rsid w:val="007F1329"/>
    <w:rsid w:val="00815082"/>
    <w:rsid w:val="00843582"/>
    <w:rsid w:val="008B14EA"/>
    <w:rsid w:val="008B2CC1"/>
    <w:rsid w:val="0090731E"/>
    <w:rsid w:val="00966A22"/>
    <w:rsid w:val="00970F3D"/>
    <w:rsid w:val="00972F03"/>
    <w:rsid w:val="009A0C8B"/>
    <w:rsid w:val="009B6241"/>
    <w:rsid w:val="00A16FC0"/>
    <w:rsid w:val="00A32C9E"/>
    <w:rsid w:val="00A7453D"/>
    <w:rsid w:val="00A93435"/>
    <w:rsid w:val="00AB613D"/>
    <w:rsid w:val="00B65A0A"/>
    <w:rsid w:val="00B72D36"/>
    <w:rsid w:val="00B918B7"/>
    <w:rsid w:val="00BA063E"/>
    <w:rsid w:val="00BC4164"/>
    <w:rsid w:val="00BD2DCC"/>
    <w:rsid w:val="00BE1A8C"/>
    <w:rsid w:val="00C06472"/>
    <w:rsid w:val="00C90559"/>
    <w:rsid w:val="00D36B79"/>
    <w:rsid w:val="00D40CF0"/>
    <w:rsid w:val="00D56C7C"/>
    <w:rsid w:val="00D71B4D"/>
    <w:rsid w:val="00D90289"/>
    <w:rsid w:val="00D93D55"/>
    <w:rsid w:val="00DF792E"/>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EF5E5"/>
  <w15:docId w15:val="{83392B01-95EB-47A6-9023-51168D25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odyTextChar">
    <w:name w:val="Body Text Char"/>
    <w:basedOn w:val="DefaultParagraphFont"/>
    <w:link w:val="BodyText"/>
    <w:rsid w:val="00DF792E"/>
    <w:rPr>
      <w:rFonts w:ascii="Arial" w:eastAsia="SimSun" w:hAnsi="Arial" w:cs="Arial"/>
      <w:sz w:val="22"/>
      <w:lang w:val="es-ES" w:eastAsia="zh-CN"/>
    </w:rPr>
  </w:style>
  <w:style w:type="paragraph" w:styleId="ListParagraph">
    <w:name w:val="List Paragraph"/>
    <w:basedOn w:val="Normal"/>
    <w:uiPriority w:val="34"/>
    <w:qFormat/>
    <w:rsid w:val="00DF792E"/>
    <w:pPr>
      <w:ind w:left="567"/>
    </w:pPr>
  </w:style>
  <w:style w:type="paragraph" w:customStyle="1" w:styleId="Body">
    <w:name w:val="Body"/>
    <w:rsid w:val="00DF792E"/>
    <w:pPr>
      <w:spacing w:after="160" w:line="259" w:lineRule="auto"/>
    </w:pPr>
    <w:rPr>
      <w:rFonts w:ascii="Calibri" w:eastAsia="Arial Unicode MS" w:hAnsi="Calibri" w:cs="Arial Unicode MS"/>
      <w:color w:val="000000"/>
      <w:sz w:val="22"/>
      <w:szCs w:val="22"/>
      <w:u w:color="000000"/>
      <w:lang w:val="es-ES" w:eastAsia="ru-RU"/>
    </w:rPr>
  </w:style>
  <w:style w:type="character" w:customStyle="1" w:styleId="Heading2Char">
    <w:name w:val="Heading 2 Char"/>
    <w:basedOn w:val="DefaultParagraphFont"/>
    <w:link w:val="Heading2"/>
    <w:rsid w:val="00DF792E"/>
    <w:rPr>
      <w:rFonts w:ascii="Arial" w:eastAsia="SimSun" w:hAnsi="Arial" w:cs="Arial"/>
      <w:bCs/>
      <w:iCs/>
      <w:caps/>
      <w:sz w:val="22"/>
      <w:szCs w:val="28"/>
      <w:lang w:val="es-ES" w:eastAsia="zh-CN"/>
    </w:rPr>
  </w:style>
  <w:style w:type="table" w:styleId="TableGrid">
    <w:name w:val="Table Grid"/>
    <w:basedOn w:val="TableNormal"/>
    <w:uiPriority w:val="59"/>
    <w:rsid w:val="00DF792E"/>
    <w:rPr>
      <w:rFonts w:asciiTheme="minorHAnsi" w:eastAsia="MS Mincho"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F792E"/>
    <w:rPr>
      <w:rFonts w:ascii="Arial" w:eastAsia="SimSun" w:hAnsi="Arial" w:cs="Arial"/>
      <w:bCs/>
      <w:sz w:val="22"/>
      <w:szCs w:val="26"/>
      <w:u w:val="single"/>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CWS_12 (S).dotm</Template>
  <TotalTime>20</TotalTime>
  <Pages>3</Pages>
  <Words>1022</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CWS/12/11</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CWS/12/11</dc:title>
  <dc:creator>WIPO</dc:creator>
  <cp:keywords>Comité de Normas Técnicas de la OMPI (CWS) Duodécima sesión</cp:keywords>
  <cp:lastModifiedBy>BLANCHET Gaspard</cp:lastModifiedBy>
  <cp:revision>4</cp:revision>
  <dcterms:created xsi:type="dcterms:W3CDTF">2024-08-02T12:25:00Z</dcterms:created>
  <dcterms:modified xsi:type="dcterms:W3CDTF">2024-08-20T14:34:00Z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2024-08-02T12:27:05Z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eb8ab718-e9e0-4666-ac23-aff3976e55dc</vt:lpwstr>
  </property>
  <property fmtid="{D5CDD505-2E9C-101B-9397-08002B2CF9AE}" pid="14" name="MSIP_Label_20773ee6-353b-4fb9-a59d-0b94c8c67bea_ContentBits">
    <vt:lpwstr>0</vt:lpwstr>
  </property>
</Properties>
</file>