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8651" w14:textId="79450851" w:rsidR="000C0D9E" w:rsidRPr="00960987" w:rsidRDefault="00D5130F" w:rsidP="004C48C5">
      <w:pPr>
        <w:pStyle w:val="StandardTitle"/>
        <w:rPr>
          <w:b/>
          <w:bCs/>
        </w:rPr>
      </w:pPr>
      <w:bookmarkStart w:id="0" w:name="_Toc386180539"/>
      <w:bookmarkStart w:id="1" w:name="_Toc386180708"/>
      <w:bookmarkStart w:id="2" w:name="_Toc386180725"/>
      <w:bookmarkStart w:id="3" w:name="_Toc532458218"/>
      <w:r>
        <w:rPr>
          <w:b/>
        </w:rPr>
        <w:t>Norma ST.93 de la OMPI</w:t>
      </w:r>
    </w:p>
    <w:bookmarkEnd w:id="0"/>
    <w:bookmarkEnd w:id="1"/>
    <w:bookmarkEnd w:id="2"/>
    <w:bookmarkEnd w:id="3"/>
    <w:p w14:paraId="0CE7BB77" w14:textId="7462BE95" w:rsidR="00F857BE" w:rsidRPr="000E176E" w:rsidRDefault="00CC1B44" w:rsidP="004C48C5">
      <w:pPr>
        <w:pStyle w:val="StandardTitle"/>
      </w:pPr>
      <w:r>
        <w:t xml:space="preserve">Recomendaciones sobre la depuración de datos de los nombres </w:t>
      </w:r>
    </w:p>
    <w:p w14:paraId="310F881E" w14:textId="77777777" w:rsidR="00F857BE" w:rsidRPr="000E176E" w:rsidRDefault="00F857BE" w:rsidP="004C48C5">
      <w:pPr>
        <w:spacing w:line="240" w:lineRule="auto"/>
        <w:rPr>
          <w:sz w:val="17"/>
          <w:szCs w:val="17"/>
        </w:rPr>
      </w:pPr>
    </w:p>
    <w:p w14:paraId="013503F8" w14:textId="77777777" w:rsidR="00F857BE" w:rsidRPr="000E176E" w:rsidRDefault="00F857BE" w:rsidP="004C48C5">
      <w:pPr>
        <w:spacing w:line="240" w:lineRule="auto"/>
        <w:rPr>
          <w:sz w:val="17"/>
          <w:szCs w:val="17"/>
          <w:lang w:eastAsia="en-US"/>
        </w:rPr>
      </w:pPr>
    </w:p>
    <w:p w14:paraId="43CB8BB2" w14:textId="77777777" w:rsidR="0002096C" w:rsidRDefault="0007137D" w:rsidP="004C48C5">
      <w:pPr>
        <w:spacing w:line="240" w:lineRule="auto"/>
        <w:jc w:val="center"/>
        <w:rPr>
          <w:i/>
          <w:iCs/>
          <w:sz w:val="17"/>
          <w:szCs w:val="17"/>
        </w:rPr>
      </w:pPr>
      <w:r>
        <w:rPr>
          <w:i/>
          <w:sz w:val="17"/>
        </w:rPr>
        <w:t xml:space="preserve">Propuesta presentada para ser aprobada por el Comité de Normas Técnicas de la OMPI (CWS) </w:t>
      </w:r>
    </w:p>
    <w:p w14:paraId="6DA324D5" w14:textId="4A8DFA63" w:rsidR="009E4454" w:rsidRPr="00765953" w:rsidRDefault="0007137D" w:rsidP="004C48C5">
      <w:pPr>
        <w:spacing w:line="240" w:lineRule="auto"/>
        <w:jc w:val="center"/>
        <w:rPr>
          <w:i/>
          <w:iCs/>
          <w:sz w:val="17"/>
          <w:szCs w:val="17"/>
        </w:rPr>
      </w:pPr>
      <w:r>
        <w:rPr>
          <w:i/>
          <w:sz w:val="17"/>
        </w:rPr>
        <w:t>en su duodécima sesión</w:t>
      </w:r>
    </w:p>
    <w:p w14:paraId="25267CF7" w14:textId="13E07966" w:rsidR="00B15048" w:rsidRPr="000E176E" w:rsidRDefault="00B15048" w:rsidP="004C48C5">
      <w:pPr>
        <w:tabs>
          <w:tab w:val="left" w:pos="8640"/>
        </w:tabs>
        <w:spacing w:line="240" w:lineRule="auto"/>
        <w:rPr>
          <w:rFonts w:eastAsia="Times New Roman" w:cs="Times New Roman"/>
          <w:sz w:val="17"/>
          <w:szCs w:val="17"/>
        </w:rPr>
      </w:pPr>
    </w:p>
    <w:sdt>
      <w:sdtPr>
        <w:rPr>
          <w:sz w:val="17"/>
          <w:szCs w:val="17"/>
        </w:rPr>
        <w:id w:val="50117398"/>
        <w:docPartObj>
          <w:docPartGallery w:val="Table of Contents"/>
          <w:docPartUnique/>
        </w:docPartObj>
      </w:sdtPr>
      <w:sdtEndPr>
        <w:rPr>
          <w:noProof/>
        </w:rPr>
      </w:sdtEndPr>
      <w:sdtContent>
        <w:p w14:paraId="741398EA" w14:textId="0995A56D" w:rsidR="001F7AA5" w:rsidRPr="00073A57" w:rsidRDefault="0002096C" w:rsidP="004C48C5">
          <w:pPr>
            <w:pStyle w:val="TOC1"/>
            <w:rPr>
              <w:rFonts w:asciiTheme="minorHAnsi" w:eastAsiaTheme="minorEastAsia" w:hAnsiTheme="minorHAnsi" w:cstheme="minorBidi"/>
              <w:noProof/>
              <w:kern w:val="2"/>
              <w:sz w:val="17"/>
              <w:szCs w:val="17"/>
              <w:lang w:val="en-US" w:eastAsia="en-US"/>
              <w14:ligatures w14:val="standardContextual"/>
            </w:rPr>
          </w:pPr>
          <w:r w:rsidRPr="00073A57">
            <w:rPr>
              <w:b/>
              <w:sz w:val="17"/>
              <w:szCs w:val="17"/>
            </w:rPr>
            <w:fldChar w:fldCharType="begin"/>
          </w:r>
          <w:r w:rsidRPr="00073A57">
            <w:rPr>
              <w:b/>
              <w:sz w:val="17"/>
              <w:szCs w:val="17"/>
            </w:rPr>
            <w:instrText xml:space="preserve"> TOC \o "2-4" \h \z \t "Heading 1,1,Title,1" </w:instrText>
          </w:r>
          <w:r w:rsidRPr="00073A57">
            <w:rPr>
              <w:b/>
              <w:sz w:val="17"/>
              <w:szCs w:val="17"/>
            </w:rPr>
            <w:fldChar w:fldCharType="separate"/>
          </w:r>
          <w:hyperlink w:anchor="_Toc173934231" w:history="1">
            <w:r w:rsidR="001F7AA5" w:rsidRPr="00073A57">
              <w:rPr>
                <w:rStyle w:val="Hyperlink"/>
                <w:noProof/>
                <w:sz w:val="17"/>
                <w:szCs w:val="17"/>
              </w:rPr>
              <w:t>INTRODUCCIÓN</w:t>
            </w:r>
            <w:r w:rsidR="001F7AA5" w:rsidRPr="00073A57">
              <w:rPr>
                <w:noProof/>
                <w:webHidden/>
                <w:sz w:val="17"/>
                <w:szCs w:val="17"/>
              </w:rPr>
              <w:tab/>
            </w:r>
            <w:r w:rsidR="001F7AA5" w:rsidRPr="00073A57">
              <w:rPr>
                <w:noProof/>
                <w:webHidden/>
                <w:sz w:val="17"/>
                <w:szCs w:val="17"/>
              </w:rPr>
              <w:fldChar w:fldCharType="begin"/>
            </w:r>
            <w:r w:rsidR="001F7AA5" w:rsidRPr="00073A57">
              <w:rPr>
                <w:noProof/>
                <w:webHidden/>
                <w:sz w:val="17"/>
                <w:szCs w:val="17"/>
              </w:rPr>
              <w:instrText xml:space="preserve"> PAGEREF _Toc173934231 \h </w:instrText>
            </w:r>
            <w:r w:rsidR="001F7AA5" w:rsidRPr="00073A57">
              <w:rPr>
                <w:noProof/>
                <w:webHidden/>
                <w:sz w:val="17"/>
                <w:szCs w:val="17"/>
              </w:rPr>
            </w:r>
            <w:r w:rsidR="001F7AA5" w:rsidRPr="00073A57">
              <w:rPr>
                <w:noProof/>
                <w:webHidden/>
                <w:sz w:val="17"/>
                <w:szCs w:val="17"/>
              </w:rPr>
              <w:fldChar w:fldCharType="separate"/>
            </w:r>
            <w:r w:rsidR="001F7AA5" w:rsidRPr="00073A57">
              <w:rPr>
                <w:noProof/>
                <w:webHidden/>
                <w:sz w:val="17"/>
                <w:szCs w:val="17"/>
              </w:rPr>
              <w:t>2</w:t>
            </w:r>
            <w:r w:rsidR="001F7AA5" w:rsidRPr="00073A57">
              <w:rPr>
                <w:noProof/>
                <w:webHidden/>
                <w:sz w:val="17"/>
                <w:szCs w:val="17"/>
              </w:rPr>
              <w:fldChar w:fldCharType="end"/>
            </w:r>
          </w:hyperlink>
        </w:p>
        <w:p w14:paraId="2EDE404C" w14:textId="3B823ABF" w:rsidR="001F7AA5" w:rsidRPr="00073A57" w:rsidRDefault="00F907B5" w:rsidP="004C48C5">
          <w:pPr>
            <w:pStyle w:val="TOC1"/>
            <w:rPr>
              <w:rFonts w:asciiTheme="minorHAnsi" w:eastAsiaTheme="minorEastAsia" w:hAnsiTheme="minorHAnsi" w:cstheme="minorBidi"/>
              <w:noProof/>
              <w:kern w:val="2"/>
              <w:sz w:val="17"/>
              <w:szCs w:val="17"/>
              <w:lang w:val="en-US" w:eastAsia="en-US"/>
              <w14:ligatures w14:val="standardContextual"/>
            </w:rPr>
          </w:pPr>
          <w:hyperlink w:anchor="_Toc173934232" w:history="1">
            <w:r w:rsidR="001F7AA5" w:rsidRPr="00073A57">
              <w:rPr>
                <w:rStyle w:val="Hyperlink"/>
                <w:noProof/>
                <w:sz w:val="17"/>
                <w:szCs w:val="17"/>
              </w:rPr>
              <w:t>DEFINICIONES</w:t>
            </w:r>
            <w:r w:rsidR="001F7AA5" w:rsidRPr="00073A57">
              <w:rPr>
                <w:noProof/>
                <w:webHidden/>
                <w:sz w:val="17"/>
                <w:szCs w:val="17"/>
              </w:rPr>
              <w:tab/>
            </w:r>
            <w:r w:rsidR="001F7AA5" w:rsidRPr="00073A57">
              <w:rPr>
                <w:noProof/>
                <w:webHidden/>
                <w:sz w:val="17"/>
                <w:szCs w:val="17"/>
              </w:rPr>
              <w:fldChar w:fldCharType="begin"/>
            </w:r>
            <w:r w:rsidR="001F7AA5" w:rsidRPr="00073A57">
              <w:rPr>
                <w:noProof/>
                <w:webHidden/>
                <w:sz w:val="17"/>
                <w:szCs w:val="17"/>
              </w:rPr>
              <w:instrText xml:space="preserve"> PAGEREF _Toc173934232 \h </w:instrText>
            </w:r>
            <w:r w:rsidR="001F7AA5" w:rsidRPr="00073A57">
              <w:rPr>
                <w:noProof/>
                <w:webHidden/>
                <w:sz w:val="17"/>
                <w:szCs w:val="17"/>
              </w:rPr>
            </w:r>
            <w:r w:rsidR="001F7AA5" w:rsidRPr="00073A57">
              <w:rPr>
                <w:noProof/>
                <w:webHidden/>
                <w:sz w:val="17"/>
                <w:szCs w:val="17"/>
              </w:rPr>
              <w:fldChar w:fldCharType="separate"/>
            </w:r>
            <w:r w:rsidR="001F7AA5" w:rsidRPr="00073A57">
              <w:rPr>
                <w:noProof/>
                <w:webHidden/>
                <w:sz w:val="17"/>
                <w:szCs w:val="17"/>
              </w:rPr>
              <w:t>2</w:t>
            </w:r>
            <w:r w:rsidR="001F7AA5" w:rsidRPr="00073A57">
              <w:rPr>
                <w:noProof/>
                <w:webHidden/>
                <w:sz w:val="17"/>
                <w:szCs w:val="17"/>
              </w:rPr>
              <w:fldChar w:fldCharType="end"/>
            </w:r>
          </w:hyperlink>
        </w:p>
        <w:p w14:paraId="1F555DAE" w14:textId="7D461821" w:rsidR="001F7AA5" w:rsidRPr="00073A57" w:rsidRDefault="00F907B5" w:rsidP="004C48C5">
          <w:pPr>
            <w:pStyle w:val="TOC1"/>
            <w:rPr>
              <w:rFonts w:asciiTheme="minorHAnsi" w:eastAsiaTheme="minorEastAsia" w:hAnsiTheme="minorHAnsi" w:cstheme="minorBidi"/>
              <w:noProof/>
              <w:kern w:val="2"/>
              <w:sz w:val="17"/>
              <w:szCs w:val="17"/>
              <w:lang w:val="en-US" w:eastAsia="en-US"/>
              <w14:ligatures w14:val="standardContextual"/>
            </w:rPr>
          </w:pPr>
          <w:hyperlink w:anchor="_Toc173934233" w:history="1">
            <w:r w:rsidR="001F7AA5" w:rsidRPr="00073A57">
              <w:rPr>
                <w:rStyle w:val="Hyperlink"/>
                <w:noProof/>
                <w:sz w:val="17"/>
                <w:szCs w:val="17"/>
              </w:rPr>
              <w:t>OBTENCIÓN DE DATOS</w:t>
            </w:r>
            <w:r w:rsidR="001F7AA5" w:rsidRPr="00073A57">
              <w:rPr>
                <w:noProof/>
                <w:webHidden/>
                <w:sz w:val="17"/>
                <w:szCs w:val="17"/>
              </w:rPr>
              <w:tab/>
            </w:r>
            <w:r w:rsidR="001F7AA5" w:rsidRPr="00073A57">
              <w:rPr>
                <w:noProof/>
                <w:webHidden/>
                <w:sz w:val="17"/>
                <w:szCs w:val="17"/>
              </w:rPr>
              <w:fldChar w:fldCharType="begin"/>
            </w:r>
            <w:r w:rsidR="001F7AA5" w:rsidRPr="00073A57">
              <w:rPr>
                <w:noProof/>
                <w:webHidden/>
                <w:sz w:val="17"/>
                <w:szCs w:val="17"/>
              </w:rPr>
              <w:instrText xml:space="preserve"> PAGEREF _Toc173934233 \h </w:instrText>
            </w:r>
            <w:r w:rsidR="001F7AA5" w:rsidRPr="00073A57">
              <w:rPr>
                <w:noProof/>
                <w:webHidden/>
                <w:sz w:val="17"/>
                <w:szCs w:val="17"/>
              </w:rPr>
            </w:r>
            <w:r w:rsidR="001F7AA5" w:rsidRPr="00073A57">
              <w:rPr>
                <w:noProof/>
                <w:webHidden/>
                <w:sz w:val="17"/>
                <w:szCs w:val="17"/>
              </w:rPr>
              <w:fldChar w:fldCharType="separate"/>
            </w:r>
            <w:r w:rsidR="001F7AA5" w:rsidRPr="00073A57">
              <w:rPr>
                <w:noProof/>
                <w:webHidden/>
                <w:sz w:val="17"/>
                <w:szCs w:val="17"/>
              </w:rPr>
              <w:t>2</w:t>
            </w:r>
            <w:r w:rsidR="001F7AA5" w:rsidRPr="00073A57">
              <w:rPr>
                <w:noProof/>
                <w:webHidden/>
                <w:sz w:val="17"/>
                <w:szCs w:val="17"/>
              </w:rPr>
              <w:fldChar w:fldCharType="end"/>
            </w:r>
          </w:hyperlink>
        </w:p>
        <w:p w14:paraId="28F7AD49" w14:textId="540D08A2" w:rsidR="001F7AA5" w:rsidRPr="00073A57" w:rsidRDefault="00F907B5" w:rsidP="004C48C5">
          <w:pPr>
            <w:pStyle w:val="TOC1"/>
            <w:rPr>
              <w:rFonts w:asciiTheme="minorHAnsi" w:eastAsiaTheme="minorEastAsia" w:hAnsiTheme="minorHAnsi" w:cstheme="minorBidi"/>
              <w:noProof/>
              <w:kern w:val="2"/>
              <w:sz w:val="17"/>
              <w:szCs w:val="17"/>
              <w:lang w:val="en-US" w:eastAsia="en-US"/>
              <w14:ligatures w14:val="standardContextual"/>
            </w:rPr>
          </w:pPr>
          <w:hyperlink w:anchor="_Toc173934234" w:history="1">
            <w:r w:rsidR="001F7AA5" w:rsidRPr="00073A57">
              <w:rPr>
                <w:rStyle w:val="Hyperlink"/>
                <w:noProof/>
                <w:sz w:val="17"/>
                <w:szCs w:val="17"/>
              </w:rPr>
              <w:t>TRANSFORMACIÓN DE NOMBRES</w:t>
            </w:r>
            <w:r w:rsidR="001F7AA5" w:rsidRPr="00073A57">
              <w:rPr>
                <w:noProof/>
                <w:webHidden/>
                <w:sz w:val="17"/>
                <w:szCs w:val="17"/>
              </w:rPr>
              <w:tab/>
            </w:r>
            <w:r w:rsidR="001F7AA5" w:rsidRPr="00073A57">
              <w:rPr>
                <w:noProof/>
                <w:webHidden/>
                <w:sz w:val="17"/>
                <w:szCs w:val="17"/>
              </w:rPr>
              <w:fldChar w:fldCharType="begin"/>
            </w:r>
            <w:r w:rsidR="001F7AA5" w:rsidRPr="00073A57">
              <w:rPr>
                <w:noProof/>
                <w:webHidden/>
                <w:sz w:val="17"/>
                <w:szCs w:val="17"/>
              </w:rPr>
              <w:instrText xml:space="preserve"> PAGEREF _Toc173934234 \h </w:instrText>
            </w:r>
            <w:r w:rsidR="001F7AA5" w:rsidRPr="00073A57">
              <w:rPr>
                <w:noProof/>
                <w:webHidden/>
                <w:sz w:val="17"/>
                <w:szCs w:val="17"/>
              </w:rPr>
            </w:r>
            <w:r w:rsidR="001F7AA5" w:rsidRPr="00073A57">
              <w:rPr>
                <w:noProof/>
                <w:webHidden/>
                <w:sz w:val="17"/>
                <w:szCs w:val="17"/>
              </w:rPr>
              <w:fldChar w:fldCharType="separate"/>
            </w:r>
            <w:r w:rsidR="001F7AA5" w:rsidRPr="00073A57">
              <w:rPr>
                <w:noProof/>
                <w:webHidden/>
                <w:sz w:val="17"/>
                <w:szCs w:val="17"/>
              </w:rPr>
              <w:t>3</w:t>
            </w:r>
            <w:r w:rsidR="001F7AA5" w:rsidRPr="00073A57">
              <w:rPr>
                <w:noProof/>
                <w:webHidden/>
                <w:sz w:val="17"/>
                <w:szCs w:val="17"/>
              </w:rPr>
              <w:fldChar w:fldCharType="end"/>
            </w:r>
          </w:hyperlink>
        </w:p>
        <w:p w14:paraId="40BF9187" w14:textId="73BDE092" w:rsidR="001F7AA5" w:rsidRPr="00073A57" w:rsidRDefault="00F907B5" w:rsidP="004C48C5">
          <w:pPr>
            <w:pStyle w:val="TOC1"/>
            <w:rPr>
              <w:rFonts w:asciiTheme="minorHAnsi" w:eastAsiaTheme="minorEastAsia" w:hAnsiTheme="minorHAnsi" w:cstheme="minorBidi"/>
              <w:noProof/>
              <w:kern w:val="2"/>
              <w:sz w:val="17"/>
              <w:szCs w:val="17"/>
              <w:lang w:val="en-US" w:eastAsia="en-US"/>
              <w14:ligatures w14:val="standardContextual"/>
            </w:rPr>
          </w:pPr>
          <w:hyperlink w:anchor="_Toc173934235" w:history="1">
            <w:r w:rsidR="001F7AA5" w:rsidRPr="00073A57">
              <w:rPr>
                <w:rStyle w:val="Hyperlink"/>
                <w:noProof/>
                <w:sz w:val="17"/>
                <w:szCs w:val="17"/>
              </w:rPr>
              <w:t>VALIDACIÓN Y DESAMBIGUACIÓN</w:t>
            </w:r>
            <w:r w:rsidR="001F7AA5" w:rsidRPr="00073A57">
              <w:rPr>
                <w:noProof/>
                <w:webHidden/>
                <w:sz w:val="17"/>
                <w:szCs w:val="17"/>
              </w:rPr>
              <w:tab/>
            </w:r>
            <w:r w:rsidR="001F7AA5" w:rsidRPr="00073A57">
              <w:rPr>
                <w:noProof/>
                <w:webHidden/>
                <w:sz w:val="17"/>
                <w:szCs w:val="17"/>
              </w:rPr>
              <w:fldChar w:fldCharType="begin"/>
            </w:r>
            <w:r w:rsidR="001F7AA5" w:rsidRPr="00073A57">
              <w:rPr>
                <w:noProof/>
                <w:webHidden/>
                <w:sz w:val="17"/>
                <w:szCs w:val="17"/>
              </w:rPr>
              <w:instrText xml:space="preserve"> PAGEREF _Toc173934235 \h </w:instrText>
            </w:r>
            <w:r w:rsidR="001F7AA5" w:rsidRPr="00073A57">
              <w:rPr>
                <w:noProof/>
                <w:webHidden/>
                <w:sz w:val="17"/>
                <w:szCs w:val="17"/>
              </w:rPr>
            </w:r>
            <w:r w:rsidR="001F7AA5" w:rsidRPr="00073A57">
              <w:rPr>
                <w:noProof/>
                <w:webHidden/>
                <w:sz w:val="17"/>
                <w:szCs w:val="17"/>
              </w:rPr>
              <w:fldChar w:fldCharType="separate"/>
            </w:r>
            <w:r w:rsidR="001F7AA5" w:rsidRPr="00073A57">
              <w:rPr>
                <w:noProof/>
                <w:webHidden/>
                <w:sz w:val="17"/>
                <w:szCs w:val="17"/>
              </w:rPr>
              <w:t>3</w:t>
            </w:r>
            <w:r w:rsidR="001F7AA5" w:rsidRPr="00073A57">
              <w:rPr>
                <w:noProof/>
                <w:webHidden/>
                <w:sz w:val="17"/>
                <w:szCs w:val="17"/>
              </w:rPr>
              <w:fldChar w:fldCharType="end"/>
            </w:r>
          </w:hyperlink>
        </w:p>
        <w:p w14:paraId="103EB0E0" w14:textId="2884C1D7" w:rsidR="001F7AA5" w:rsidRPr="00073A57" w:rsidRDefault="00F907B5" w:rsidP="004C48C5">
          <w:pPr>
            <w:pStyle w:val="TOC1"/>
            <w:rPr>
              <w:rFonts w:asciiTheme="minorHAnsi" w:eastAsiaTheme="minorEastAsia" w:hAnsiTheme="minorHAnsi" w:cstheme="minorBidi"/>
              <w:noProof/>
              <w:kern w:val="2"/>
              <w:sz w:val="17"/>
              <w:szCs w:val="17"/>
              <w:lang w:val="en-US" w:eastAsia="en-US"/>
              <w14:ligatures w14:val="standardContextual"/>
            </w:rPr>
          </w:pPr>
          <w:hyperlink w:anchor="_Toc173934236" w:history="1">
            <w:r w:rsidR="001F7AA5" w:rsidRPr="00073A57">
              <w:rPr>
                <w:rStyle w:val="Hyperlink"/>
                <w:noProof/>
                <w:sz w:val="17"/>
                <w:szCs w:val="17"/>
              </w:rPr>
              <w:t>MANTENIMIENTO</w:t>
            </w:r>
            <w:r w:rsidR="001F7AA5" w:rsidRPr="00073A57">
              <w:rPr>
                <w:noProof/>
                <w:webHidden/>
                <w:sz w:val="17"/>
                <w:szCs w:val="17"/>
              </w:rPr>
              <w:tab/>
            </w:r>
            <w:r w:rsidR="001F7AA5" w:rsidRPr="00073A57">
              <w:rPr>
                <w:noProof/>
                <w:webHidden/>
                <w:sz w:val="17"/>
                <w:szCs w:val="17"/>
              </w:rPr>
              <w:fldChar w:fldCharType="begin"/>
            </w:r>
            <w:r w:rsidR="001F7AA5" w:rsidRPr="00073A57">
              <w:rPr>
                <w:noProof/>
                <w:webHidden/>
                <w:sz w:val="17"/>
                <w:szCs w:val="17"/>
              </w:rPr>
              <w:instrText xml:space="preserve"> PAGEREF _Toc173934236 \h </w:instrText>
            </w:r>
            <w:r w:rsidR="001F7AA5" w:rsidRPr="00073A57">
              <w:rPr>
                <w:noProof/>
                <w:webHidden/>
                <w:sz w:val="17"/>
                <w:szCs w:val="17"/>
              </w:rPr>
            </w:r>
            <w:r w:rsidR="001F7AA5" w:rsidRPr="00073A57">
              <w:rPr>
                <w:noProof/>
                <w:webHidden/>
                <w:sz w:val="17"/>
                <w:szCs w:val="17"/>
              </w:rPr>
              <w:fldChar w:fldCharType="separate"/>
            </w:r>
            <w:r w:rsidR="001F7AA5" w:rsidRPr="00073A57">
              <w:rPr>
                <w:noProof/>
                <w:webHidden/>
                <w:sz w:val="17"/>
                <w:szCs w:val="17"/>
              </w:rPr>
              <w:t>3</w:t>
            </w:r>
            <w:r w:rsidR="001F7AA5" w:rsidRPr="00073A57">
              <w:rPr>
                <w:noProof/>
                <w:webHidden/>
                <w:sz w:val="17"/>
                <w:szCs w:val="17"/>
              </w:rPr>
              <w:fldChar w:fldCharType="end"/>
            </w:r>
          </w:hyperlink>
        </w:p>
        <w:p w14:paraId="50144A21" w14:textId="6D708998" w:rsidR="001F7AA5" w:rsidRPr="00073A57" w:rsidRDefault="00F907B5" w:rsidP="004C48C5">
          <w:pPr>
            <w:pStyle w:val="TOC1"/>
            <w:rPr>
              <w:rFonts w:asciiTheme="minorHAnsi" w:eastAsiaTheme="minorEastAsia" w:hAnsiTheme="minorHAnsi" w:cstheme="minorBidi"/>
              <w:noProof/>
              <w:kern w:val="2"/>
              <w:sz w:val="17"/>
              <w:szCs w:val="17"/>
              <w:lang w:val="en-US" w:eastAsia="en-US"/>
              <w14:ligatures w14:val="standardContextual"/>
            </w:rPr>
          </w:pPr>
          <w:hyperlink w:anchor="_Toc173934237" w:history="1">
            <w:r w:rsidR="001F7AA5" w:rsidRPr="00073A57">
              <w:rPr>
                <w:rStyle w:val="Hyperlink"/>
                <w:noProof/>
                <w:sz w:val="17"/>
                <w:szCs w:val="17"/>
              </w:rPr>
              <w:t>PUBLICACIÓN E INTERCAMBIO DE DATOS</w:t>
            </w:r>
            <w:r w:rsidR="001F7AA5" w:rsidRPr="00073A57">
              <w:rPr>
                <w:noProof/>
                <w:webHidden/>
                <w:sz w:val="17"/>
                <w:szCs w:val="17"/>
              </w:rPr>
              <w:tab/>
            </w:r>
            <w:r w:rsidR="001F7AA5" w:rsidRPr="00073A57">
              <w:rPr>
                <w:noProof/>
                <w:webHidden/>
                <w:sz w:val="17"/>
                <w:szCs w:val="17"/>
              </w:rPr>
              <w:fldChar w:fldCharType="begin"/>
            </w:r>
            <w:r w:rsidR="001F7AA5" w:rsidRPr="00073A57">
              <w:rPr>
                <w:noProof/>
                <w:webHidden/>
                <w:sz w:val="17"/>
                <w:szCs w:val="17"/>
              </w:rPr>
              <w:instrText xml:space="preserve"> PAGEREF _Toc173934237 \h </w:instrText>
            </w:r>
            <w:r w:rsidR="001F7AA5" w:rsidRPr="00073A57">
              <w:rPr>
                <w:noProof/>
                <w:webHidden/>
                <w:sz w:val="17"/>
                <w:szCs w:val="17"/>
              </w:rPr>
            </w:r>
            <w:r w:rsidR="001F7AA5" w:rsidRPr="00073A57">
              <w:rPr>
                <w:noProof/>
                <w:webHidden/>
                <w:sz w:val="17"/>
                <w:szCs w:val="17"/>
              </w:rPr>
              <w:fldChar w:fldCharType="separate"/>
            </w:r>
            <w:r w:rsidR="001F7AA5" w:rsidRPr="00073A57">
              <w:rPr>
                <w:noProof/>
                <w:webHidden/>
                <w:sz w:val="17"/>
                <w:szCs w:val="17"/>
              </w:rPr>
              <w:t>4</w:t>
            </w:r>
            <w:r w:rsidR="001F7AA5" w:rsidRPr="00073A57">
              <w:rPr>
                <w:noProof/>
                <w:webHidden/>
                <w:sz w:val="17"/>
                <w:szCs w:val="17"/>
              </w:rPr>
              <w:fldChar w:fldCharType="end"/>
            </w:r>
          </w:hyperlink>
        </w:p>
        <w:p w14:paraId="356CBC24" w14:textId="11A9CFFA" w:rsidR="001F7AA5" w:rsidRPr="00073A57" w:rsidRDefault="00F907B5" w:rsidP="004C48C5">
          <w:pPr>
            <w:pStyle w:val="TOC1"/>
            <w:rPr>
              <w:rFonts w:asciiTheme="minorHAnsi" w:eastAsiaTheme="minorEastAsia" w:hAnsiTheme="minorHAnsi" w:cstheme="minorBidi"/>
              <w:noProof/>
              <w:kern w:val="2"/>
              <w:sz w:val="17"/>
              <w:szCs w:val="17"/>
              <w:lang w:val="en-US" w:eastAsia="en-US"/>
              <w14:ligatures w14:val="standardContextual"/>
            </w:rPr>
          </w:pPr>
          <w:hyperlink w:anchor="_Toc173934238" w:history="1">
            <w:r w:rsidR="001F7AA5" w:rsidRPr="00073A57">
              <w:rPr>
                <w:rStyle w:val="Hyperlink"/>
                <w:noProof/>
                <w:sz w:val="17"/>
                <w:szCs w:val="17"/>
              </w:rPr>
              <w:t>FINES ESTADÍSTICOS</w:t>
            </w:r>
            <w:r w:rsidR="001F7AA5" w:rsidRPr="00073A57">
              <w:rPr>
                <w:noProof/>
                <w:webHidden/>
                <w:sz w:val="17"/>
                <w:szCs w:val="17"/>
              </w:rPr>
              <w:tab/>
            </w:r>
            <w:r w:rsidR="001F7AA5" w:rsidRPr="00073A57">
              <w:rPr>
                <w:noProof/>
                <w:webHidden/>
                <w:sz w:val="17"/>
                <w:szCs w:val="17"/>
              </w:rPr>
              <w:fldChar w:fldCharType="begin"/>
            </w:r>
            <w:r w:rsidR="001F7AA5" w:rsidRPr="00073A57">
              <w:rPr>
                <w:noProof/>
                <w:webHidden/>
                <w:sz w:val="17"/>
                <w:szCs w:val="17"/>
              </w:rPr>
              <w:instrText xml:space="preserve"> PAGEREF _Toc173934238 \h </w:instrText>
            </w:r>
            <w:r w:rsidR="001F7AA5" w:rsidRPr="00073A57">
              <w:rPr>
                <w:noProof/>
                <w:webHidden/>
                <w:sz w:val="17"/>
                <w:szCs w:val="17"/>
              </w:rPr>
            </w:r>
            <w:r w:rsidR="001F7AA5" w:rsidRPr="00073A57">
              <w:rPr>
                <w:noProof/>
                <w:webHidden/>
                <w:sz w:val="17"/>
                <w:szCs w:val="17"/>
              </w:rPr>
              <w:fldChar w:fldCharType="separate"/>
            </w:r>
            <w:r w:rsidR="001F7AA5" w:rsidRPr="00073A57">
              <w:rPr>
                <w:noProof/>
                <w:webHidden/>
                <w:sz w:val="17"/>
                <w:szCs w:val="17"/>
              </w:rPr>
              <w:t>4</w:t>
            </w:r>
            <w:r w:rsidR="001F7AA5" w:rsidRPr="00073A57">
              <w:rPr>
                <w:noProof/>
                <w:webHidden/>
                <w:sz w:val="17"/>
                <w:szCs w:val="17"/>
              </w:rPr>
              <w:fldChar w:fldCharType="end"/>
            </w:r>
          </w:hyperlink>
        </w:p>
        <w:p w14:paraId="277A76FD" w14:textId="1617707E" w:rsidR="001F7AA5" w:rsidRPr="00073A57" w:rsidRDefault="00F907B5" w:rsidP="004C48C5">
          <w:pPr>
            <w:pStyle w:val="TOC2"/>
            <w:spacing w:line="360" w:lineRule="auto"/>
            <w:rPr>
              <w:rFonts w:asciiTheme="minorHAnsi" w:eastAsiaTheme="minorEastAsia" w:hAnsiTheme="minorHAnsi" w:cstheme="minorBidi"/>
              <w:noProof/>
              <w:kern w:val="2"/>
              <w:sz w:val="17"/>
              <w:szCs w:val="17"/>
              <w:lang w:val="en-US" w:eastAsia="en-US"/>
              <w14:ligatures w14:val="standardContextual"/>
            </w:rPr>
          </w:pPr>
          <w:hyperlink w:anchor="_Toc173934239" w:history="1">
            <w:r w:rsidR="001F7AA5" w:rsidRPr="00073A57">
              <w:rPr>
                <w:rStyle w:val="Hyperlink"/>
                <w:noProof/>
                <w:sz w:val="17"/>
                <w:szCs w:val="17"/>
              </w:rPr>
              <w:t>Referencias</w:t>
            </w:r>
            <w:r w:rsidR="001F7AA5" w:rsidRPr="00073A57">
              <w:rPr>
                <w:noProof/>
                <w:webHidden/>
                <w:sz w:val="17"/>
                <w:szCs w:val="17"/>
              </w:rPr>
              <w:tab/>
            </w:r>
            <w:r w:rsidR="001F7AA5" w:rsidRPr="00073A57">
              <w:rPr>
                <w:noProof/>
                <w:webHidden/>
                <w:sz w:val="17"/>
                <w:szCs w:val="17"/>
              </w:rPr>
              <w:fldChar w:fldCharType="begin"/>
            </w:r>
            <w:r w:rsidR="001F7AA5" w:rsidRPr="00073A57">
              <w:rPr>
                <w:noProof/>
                <w:webHidden/>
                <w:sz w:val="17"/>
                <w:szCs w:val="17"/>
              </w:rPr>
              <w:instrText xml:space="preserve"> PAGEREF _Toc173934239 \h </w:instrText>
            </w:r>
            <w:r w:rsidR="001F7AA5" w:rsidRPr="00073A57">
              <w:rPr>
                <w:noProof/>
                <w:webHidden/>
                <w:sz w:val="17"/>
                <w:szCs w:val="17"/>
              </w:rPr>
            </w:r>
            <w:r w:rsidR="001F7AA5" w:rsidRPr="00073A57">
              <w:rPr>
                <w:noProof/>
                <w:webHidden/>
                <w:sz w:val="17"/>
                <w:szCs w:val="17"/>
              </w:rPr>
              <w:fldChar w:fldCharType="separate"/>
            </w:r>
            <w:r w:rsidR="001F7AA5" w:rsidRPr="00073A57">
              <w:rPr>
                <w:noProof/>
                <w:webHidden/>
                <w:sz w:val="17"/>
                <w:szCs w:val="17"/>
              </w:rPr>
              <w:t>4</w:t>
            </w:r>
            <w:r w:rsidR="001F7AA5" w:rsidRPr="00073A57">
              <w:rPr>
                <w:noProof/>
                <w:webHidden/>
                <w:sz w:val="17"/>
                <w:szCs w:val="17"/>
              </w:rPr>
              <w:fldChar w:fldCharType="end"/>
            </w:r>
          </w:hyperlink>
        </w:p>
        <w:p w14:paraId="20338D72" w14:textId="489AE9C5" w:rsidR="001F7AA5" w:rsidRPr="00073A57" w:rsidRDefault="00F907B5" w:rsidP="004C48C5">
          <w:pPr>
            <w:pStyle w:val="TOC1"/>
            <w:rPr>
              <w:rFonts w:asciiTheme="minorHAnsi" w:eastAsiaTheme="minorEastAsia" w:hAnsiTheme="minorHAnsi" w:cstheme="minorBidi"/>
              <w:noProof/>
              <w:kern w:val="2"/>
              <w:sz w:val="17"/>
              <w:szCs w:val="17"/>
              <w:lang w:val="en-US" w:eastAsia="en-US"/>
              <w14:ligatures w14:val="standardContextual"/>
            </w:rPr>
          </w:pPr>
          <w:hyperlink w:anchor="_Toc173934240" w:history="1">
            <w:r w:rsidR="001F7AA5" w:rsidRPr="00073A57">
              <w:rPr>
                <w:rStyle w:val="Hyperlink"/>
                <w:noProof/>
                <w:sz w:val="17"/>
                <w:szCs w:val="17"/>
              </w:rPr>
              <w:t>ANEXO</w:t>
            </w:r>
            <w:r w:rsidR="001F7AA5" w:rsidRPr="00073A57">
              <w:rPr>
                <w:noProof/>
                <w:webHidden/>
                <w:sz w:val="17"/>
                <w:szCs w:val="17"/>
              </w:rPr>
              <w:tab/>
            </w:r>
            <w:r w:rsidR="001F7AA5" w:rsidRPr="00073A57">
              <w:rPr>
                <w:noProof/>
                <w:webHidden/>
                <w:sz w:val="17"/>
                <w:szCs w:val="17"/>
              </w:rPr>
              <w:fldChar w:fldCharType="begin"/>
            </w:r>
            <w:r w:rsidR="001F7AA5" w:rsidRPr="00073A57">
              <w:rPr>
                <w:noProof/>
                <w:webHidden/>
                <w:sz w:val="17"/>
                <w:szCs w:val="17"/>
              </w:rPr>
              <w:instrText xml:space="preserve"> PAGEREF _Toc173934240 \h </w:instrText>
            </w:r>
            <w:r w:rsidR="001F7AA5" w:rsidRPr="00073A57">
              <w:rPr>
                <w:noProof/>
                <w:webHidden/>
                <w:sz w:val="17"/>
                <w:szCs w:val="17"/>
              </w:rPr>
            </w:r>
            <w:r w:rsidR="001F7AA5" w:rsidRPr="00073A57">
              <w:rPr>
                <w:noProof/>
                <w:webHidden/>
                <w:sz w:val="17"/>
                <w:szCs w:val="17"/>
              </w:rPr>
              <w:fldChar w:fldCharType="separate"/>
            </w:r>
            <w:r w:rsidR="001F7AA5" w:rsidRPr="00073A57">
              <w:rPr>
                <w:noProof/>
                <w:webHidden/>
                <w:sz w:val="17"/>
                <w:szCs w:val="17"/>
              </w:rPr>
              <w:t>1</w:t>
            </w:r>
            <w:r w:rsidR="001F7AA5" w:rsidRPr="00073A57">
              <w:rPr>
                <w:noProof/>
                <w:webHidden/>
                <w:sz w:val="17"/>
                <w:szCs w:val="17"/>
              </w:rPr>
              <w:fldChar w:fldCharType="end"/>
            </w:r>
          </w:hyperlink>
        </w:p>
        <w:p w14:paraId="74C61777" w14:textId="352199AF" w:rsidR="001F7AA5" w:rsidRPr="00073A57" w:rsidRDefault="00F907B5" w:rsidP="004C48C5">
          <w:pPr>
            <w:pStyle w:val="TOC1"/>
            <w:rPr>
              <w:rFonts w:asciiTheme="minorHAnsi" w:eastAsiaTheme="minorEastAsia" w:hAnsiTheme="minorHAnsi" w:cstheme="minorBidi"/>
              <w:noProof/>
              <w:kern w:val="2"/>
              <w:sz w:val="17"/>
              <w:szCs w:val="17"/>
              <w:lang w:val="en-US" w:eastAsia="en-US"/>
              <w14:ligatures w14:val="standardContextual"/>
            </w:rPr>
          </w:pPr>
          <w:hyperlink w:anchor="_Toc173934241" w:history="1">
            <w:r w:rsidR="001F7AA5" w:rsidRPr="00073A57">
              <w:rPr>
                <w:rStyle w:val="Hyperlink"/>
                <w:noProof/>
                <w:sz w:val="17"/>
                <w:szCs w:val="17"/>
              </w:rPr>
              <w:t>Ejemplos de transliteración:</w:t>
            </w:r>
            <w:r w:rsidR="001F7AA5" w:rsidRPr="00073A57">
              <w:rPr>
                <w:noProof/>
                <w:webHidden/>
                <w:sz w:val="17"/>
                <w:szCs w:val="17"/>
              </w:rPr>
              <w:tab/>
            </w:r>
            <w:r w:rsidR="001F7AA5" w:rsidRPr="00073A57">
              <w:rPr>
                <w:noProof/>
                <w:webHidden/>
                <w:sz w:val="17"/>
                <w:szCs w:val="17"/>
              </w:rPr>
              <w:fldChar w:fldCharType="begin"/>
            </w:r>
            <w:r w:rsidR="001F7AA5" w:rsidRPr="00073A57">
              <w:rPr>
                <w:noProof/>
                <w:webHidden/>
                <w:sz w:val="17"/>
                <w:szCs w:val="17"/>
              </w:rPr>
              <w:instrText xml:space="preserve"> PAGEREF _Toc173934241 \h </w:instrText>
            </w:r>
            <w:r w:rsidR="001F7AA5" w:rsidRPr="00073A57">
              <w:rPr>
                <w:noProof/>
                <w:webHidden/>
                <w:sz w:val="17"/>
                <w:szCs w:val="17"/>
              </w:rPr>
            </w:r>
            <w:r w:rsidR="001F7AA5" w:rsidRPr="00073A57">
              <w:rPr>
                <w:noProof/>
                <w:webHidden/>
                <w:sz w:val="17"/>
                <w:szCs w:val="17"/>
              </w:rPr>
              <w:fldChar w:fldCharType="separate"/>
            </w:r>
            <w:r w:rsidR="001F7AA5" w:rsidRPr="00073A57">
              <w:rPr>
                <w:noProof/>
                <w:webHidden/>
                <w:sz w:val="17"/>
                <w:szCs w:val="17"/>
              </w:rPr>
              <w:t>1</w:t>
            </w:r>
            <w:r w:rsidR="001F7AA5" w:rsidRPr="00073A57">
              <w:rPr>
                <w:noProof/>
                <w:webHidden/>
                <w:sz w:val="17"/>
                <w:szCs w:val="17"/>
              </w:rPr>
              <w:fldChar w:fldCharType="end"/>
            </w:r>
          </w:hyperlink>
        </w:p>
        <w:p w14:paraId="6E7F3440" w14:textId="794F2AB7" w:rsidR="001F7AA5" w:rsidRPr="00073A57" w:rsidRDefault="00F907B5" w:rsidP="004C48C5">
          <w:pPr>
            <w:pStyle w:val="TOC1"/>
            <w:rPr>
              <w:rFonts w:asciiTheme="minorHAnsi" w:eastAsiaTheme="minorEastAsia" w:hAnsiTheme="minorHAnsi" w:cstheme="minorBidi"/>
              <w:noProof/>
              <w:kern w:val="2"/>
              <w:sz w:val="17"/>
              <w:szCs w:val="17"/>
              <w:lang w:val="en-US" w:eastAsia="en-US"/>
              <w14:ligatures w14:val="standardContextual"/>
            </w:rPr>
          </w:pPr>
          <w:hyperlink w:anchor="_Toc173934242" w:history="1">
            <w:r w:rsidR="001F7AA5" w:rsidRPr="00073A57">
              <w:rPr>
                <w:rStyle w:val="Hyperlink"/>
                <w:noProof/>
                <w:sz w:val="17"/>
                <w:szCs w:val="17"/>
              </w:rPr>
              <w:t>Ejemplos de transcripción:</w:t>
            </w:r>
            <w:r w:rsidR="001F7AA5" w:rsidRPr="00073A57">
              <w:rPr>
                <w:noProof/>
                <w:webHidden/>
                <w:sz w:val="17"/>
                <w:szCs w:val="17"/>
              </w:rPr>
              <w:tab/>
            </w:r>
            <w:r w:rsidR="001F7AA5" w:rsidRPr="00073A57">
              <w:rPr>
                <w:noProof/>
                <w:webHidden/>
                <w:sz w:val="17"/>
                <w:szCs w:val="17"/>
              </w:rPr>
              <w:fldChar w:fldCharType="begin"/>
            </w:r>
            <w:r w:rsidR="001F7AA5" w:rsidRPr="00073A57">
              <w:rPr>
                <w:noProof/>
                <w:webHidden/>
                <w:sz w:val="17"/>
                <w:szCs w:val="17"/>
              </w:rPr>
              <w:instrText xml:space="preserve"> PAGEREF _Toc173934242 \h </w:instrText>
            </w:r>
            <w:r w:rsidR="001F7AA5" w:rsidRPr="00073A57">
              <w:rPr>
                <w:noProof/>
                <w:webHidden/>
                <w:sz w:val="17"/>
                <w:szCs w:val="17"/>
              </w:rPr>
            </w:r>
            <w:r w:rsidR="001F7AA5" w:rsidRPr="00073A57">
              <w:rPr>
                <w:noProof/>
                <w:webHidden/>
                <w:sz w:val="17"/>
                <w:szCs w:val="17"/>
              </w:rPr>
              <w:fldChar w:fldCharType="separate"/>
            </w:r>
            <w:r w:rsidR="001F7AA5" w:rsidRPr="00073A57">
              <w:rPr>
                <w:noProof/>
                <w:webHidden/>
                <w:sz w:val="17"/>
                <w:szCs w:val="17"/>
              </w:rPr>
              <w:t>2</w:t>
            </w:r>
            <w:r w:rsidR="001F7AA5" w:rsidRPr="00073A57">
              <w:rPr>
                <w:noProof/>
                <w:webHidden/>
                <w:sz w:val="17"/>
                <w:szCs w:val="17"/>
              </w:rPr>
              <w:fldChar w:fldCharType="end"/>
            </w:r>
          </w:hyperlink>
        </w:p>
        <w:p w14:paraId="21047D8D" w14:textId="3A004732" w:rsidR="001F7AA5" w:rsidRPr="00073A57" w:rsidRDefault="00F907B5" w:rsidP="004C48C5">
          <w:pPr>
            <w:pStyle w:val="TOC1"/>
            <w:rPr>
              <w:rFonts w:asciiTheme="minorHAnsi" w:eastAsiaTheme="minorEastAsia" w:hAnsiTheme="minorHAnsi" w:cstheme="minorBidi"/>
              <w:noProof/>
              <w:kern w:val="2"/>
              <w:sz w:val="17"/>
              <w:szCs w:val="17"/>
              <w:lang w:val="en-US" w:eastAsia="en-US"/>
              <w14:ligatures w14:val="standardContextual"/>
            </w:rPr>
          </w:pPr>
          <w:hyperlink w:anchor="_Toc173934243" w:history="1">
            <w:r w:rsidR="001F7AA5" w:rsidRPr="00073A57">
              <w:rPr>
                <w:rStyle w:val="Hyperlink"/>
                <w:noProof/>
                <w:sz w:val="17"/>
                <w:szCs w:val="17"/>
              </w:rPr>
              <w:t>Ejemplos de traducción:</w:t>
            </w:r>
            <w:r w:rsidR="001F7AA5" w:rsidRPr="00073A57">
              <w:rPr>
                <w:noProof/>
                <w:webHidden/>
                <w:sz w:val="17"/>
                <w:szCs w:val="17"/>
              </w:rPr>
              <w:tab/>
            </w:r>
            <w:r w:rsidR="001F7AA5" w:rsidRPr="00073A57">
              <w:rPr>
                <w:noProof/>
                <w:webHidden/>
                <w:sz w:val="17"/>
                <w:szCs w:val="17"/>
              </w:rPr>
              <w:fldChar w:fldCharType="begin"/>
            </w:r>
            <w:r w:rsidR="001F7AA5" w:rsidRPr="00073A57">
              <w:rPr>
                <w:noProof/>
                <w:webHidden/>
                <w:sz w:val="17"/>
                <w:szCs w:val="17"/>
              </w:rPr>
              <w:instrText xml:space="preserve"> PAGEREF _Toc173934243 \h </w:instrText>
            </w:r>
            <w:r w:rsidR="001F7AA5" w:rsidRPr="00073A57">
              <w:rPr>
                <w:noProof/>
                <w:webHidden/>
                <w:sz w:val="17"/>
                <w:szCs w:val="17"/>
              </w:rPr>
            </w:r>
            <w:r w:rsidR="001F7AA5" w:rsidRPr="00073A57">
              <w:rPr>
                <w:noProof/>
                <w:webHidden/>
                <w:sz w:val="17"/>
                <w:szCs w:val="17"/>
              </w:rPr>
              <w:fldChar w:fldCharType="separate"/>
            </w:r>
            <w:r w:rsidR="001F7AA5" w:rsidRPr="00073A57">
              <w:rPr>
                <w:noProof/>
                <w:webHidden/>
                <w:sz w:val="17"/>
                <w:szCs w:val="17"/>
              </w:rPr>
              <w:t>2</w:t>
            </w:r>
            <w:r w:rsidR="001F7AA5" w:rsidRPr="00073A57">
              <w:rPr>
                <w:noProof/>
                <w:webHidden/>
                <w:sz w:val="17"/>
                <w:szCs w:val="17"/>
              </w:rPr>
              <w:fldChar w:fldCharType="end"/>
            </w:r>
          </w:hyperlink>
        </w:p>
        <w:p w14:paraId="755AE784" w14:textId="2D88E7EC" w:rsidR="00AB125A" w:rsidRPr="00073A57" w:rsidRDefault="0002096C" w:rsidP="004C48C5">
          <w:pPr>
            <w:pStyle w:val="TOC1"/>
            <w:spacing w:line="240" w:lineRule="auto"/>
            <w:rPr>
              <w:sz w:val="17"/>
              <w:szCs w:val="17"/>
            </w:rPr>
          </w:pPr>
          <w:r w:rsidRPr="00073A57">
            <w:rPr>
              <w:sz w:val="17"/>
              <w:szCs w:val="17"/>
            </w:rPr>
            <w:fldChar w:fldCharType="end"/>
          </w:r>
        </w:p>
      </w:sdtContent>
    </w:sdt>
    <w:p w14:paraId="0EC65C71" w14:textId="455CF882" w:rsidR="008C30D1" w:rsidRPr="00765953" w:rsidRDefault="00AB125A" w:rsidP="004C48C5">
      <w:pPr>
        <w:spacing w:line="240" w:lineRule="auto"/>
        <w:rPr>
          <w:b/>
          <w:sz w:val="17"/>
          <w:szCs w:val="17"/>
        </w:rPr>
      </w:pPr>
      <w:bookmarkStart w:id="4" w:name="_Toc509215727"/>
      <w:r>
        <w:br w:type="page"/>
      </w:r>
    </w:p>
    <w:p w14:paraId="02176C70" w14:textId="7CB3BDCF" w:rsidR="00D5130F" w:rsidRPr="00960987" w:rsidRDefault="00D5130F" w:rsidP="004C48C5">
      <w:pPr>
        <w:pStyle w:val="StandardTitle"/>
        <w:rPr>
          <w:b/>
          <w:bCs/>
        </w:rPr>
      </w:pPr>
      <w:r>
        <w:rPr>
          <w:b/>
        </w:rPr>
        <w:lastRenderedPageBreak/>
        <w:t>Norma ST.93 de la OMPI</w:t>
      </w:r>
    </w:p>
    <w:p w14:paraId="0B5392CD" w14:textId="07347273" w:rsidR="007907F5" w:rsidRPr="00765953" w:rsidRDefault="00CC1B44" w:rsidP="004C48C5">
      <w:pPr>
        <w:pStyle w:val="StandardTitle"/>
      </w:pPr>
      <w:r>
        <w:t>Recomendaciones sobre la depuración de datos de los nombres</w:t>
      </w:r>
    </w:p>
    <w:p w14:paraId="598DD56C" w14:textId="7A0B4E83" w:rsidR="0002096C" w:rsidRDefault="0007137D" w:rsidP="004C48C5">
      <w:pPr>
        <w:tabs>
          <w:tab w:val="center" w:pos="4679"/>
          <w:tab w:val="left" w:pos="7365"/>
        </w:tabs>
        <w:spacing w:line="240" w:lineRule="auto"/>
        <w:jc w:val="center"/>
        <w:rPr>
          <w:i/>
          <w:iCs/>
          <w:sz w:val="17"/>
          <w:szCs w:val="17"/>
        </w:rPr>
      </w:pPr>
      <w:r>
        <w:rPr>
          <w:i/>
          <w:sz w:val="17"/>
        </w:rPr>
        <w:t>Propuesta presentada para ser aprobada por el Comité de Normas Técnicas de la OMPI (CWS)</w:t>
      </w:r>
    </w:p>
    <w:p w14:paraId="644348DF" w14:textId="18D90B29" w:rsidR="001C4A56" w:rsidRPr="00765953" w:rsidRDefault="0007137D" w:rsidP="004C48C5">
      <w:pPr>
        <w:tabs>
          <w:tab w:val="center" w:pos="4679"/>
          <w:tab w:val="left" w:pos="7365"/>
        </w:tabs>
        <w:spacing w:line="240" w:lineRule="auto"/>
        <w:jc w:val="center"/>
        <w:rPr>
          <w:i/>
          <w:iCs/>
          <w:sz w:val="17"/>
          <w:szCs w:val="17"/>
        </w:rPr>
      </w:pPr>
      <w:r>
        <w:rPr>
          <w:i/>
          <w:sz w:val="17"/>
        </w:rPr>
        <w:t>en su duodécima sesión</w:t>
      </w:r>
    </w:p>
    <w:p w14:paraId="16256901" w14:textId="59D52FBD" w:rsidR="007907F5" w:rsidRPr="000E176E" w:rsidRDefault="007907F5" w:rsidP="004C48C5">
      <w:pPr>
        <w:pStyle w:val="StyleHeading285pt"/>
        <w:spacing w:after="60" w:line="240" w:lineRule="auto"/>
        <w:rPr>
          <w:rFonts w:eastAsia="Times New Roman" w:cs="Times New Roman"/>
          <w:caps w:val="0"/>
          <w:sz w:val="17"/>
          <w:szCs w:val="17"/>
          <w:lang w:eastAsia="en-US"/>
        </w:rPr>
      </w:pPr>
    </w:p>
    <w:p w14:paraId="62955CCB" w14:textId="77777777" w:rsidR="001C4A56" w:rsidRPr="00765953" w:rsidRDefault="001C4A56" w:rsidP="004C48C5">
      <w:pPr>
        <w:pStyle w:val="StyleHeading285pt"/>
        <w:spacing w:after="60" w:line="240" w:lineRule="auto"/>
        <w:rPr>
          <w:sz w:val="17"/>
          <w:szCs w:val="17"/>
        </w:rPr>
      </w:pPr>
    </w:p>
    <w:p w14:paraId="4F9A2767" w14:textId="5CD9931A" w:rsidR="000A37EB" w:rsidRPr="004152A2" w:rsidRDefault="004152A2" w:rsidP="004C48C5">
      <w:pPr>
        <w:pStyle w:val="Heading1"/>
        <w:spacing w:line="240" w:lineRule="auto"/>
      </w:pPr>
      <w:bookmarkStart w:id="5" w:name="_Toc173934231"/>
      <w:bookmarkEnd w:id="4"/>
      <w:r>
        <w:t>INTRODUCCIÓN</w:t>
      </w:r>
      <w:bookmarkEnd w:id="5"/>
    </w:p>
    <w:p w14:paraId="512C7001" w14:textId="52EADF0D" w:rsidR="00765953" w:rsidRDefault="009F5462" w:rsidP="004C48C5">
      <w:pPr>
        <w:spacing w:after="240" w:line="240" w:lineRule="auto"/>
        <w:jc w:val="both"/>
        <w:rPr>
          <w:sz w:val="17"/>
          <w:szCs w:val="17"/>
        </w:rPr>
      </w:pPr>
      <w:r w:rsidRPr="00765953">
        <w:rPr>
          <w:caps/>
          <w:sz w:val="17"/>
        </w:rPr>
        <w:fldChar w:fldCharType="begin"/>
      </w:r>
      <w:r w:rsidRPr="000E176E">
        <w:rPr>
          <w:sz w:val="17"/>
        </w:rPr>
        <w:instrText xml:space="preserve"> AUTONUM  </w:instrText>
      </w:r>
      <w:r w:rsidRPr="00765953">
        <w:rPr>
          <w:caps/>
          <w:sz w:val="17"/>
        </w:rPr>
        <w:fldChar w:fldCharType="end"/>
      </w:r>
      <w:r>
        <w:rPr>
          <w:sz w:val="17"/>
        </w:rPr>
        <w:tab/>
        <w:t>Esta norma proporciona recomendaciones generales sobre la obtención, el procesamiento, la depuración y la publicación de datos de nombres.</w:t>
      </w:r>
      <w:r w:rsidR="004C48C5">
        <w:rPr>
          <w:sz w:val="17"/>
        </w:rPr>
        <w:t xml:space="preserve"> </w:t>
      </w:r>
      <w:r>
        <w:rPr>
          <w:sz w:val="17"/>
        </w:rPr>
        <w:t>En esta norma no se ofrecen recomendaciones sobre los detalles en relación con los métodos de depuración de datos, adaptación o transformación de nombres, como la transliteración, la transcripción o la traducción, ni con los métodos de normalización de nombres, como la selección de algoritmos, dónde y cuándo se aplican las transformaciones, la frecuencia o las estrategias de fusión.</w:t>
      </w:r>
      <w:r w:rsidR="004C48C5">
        <w:rPr>
          <w:sz w:val="17"/>
        </w:rPr>
        <w:t xml:space="preserve"> </w:t>
      </w:r>
      <w:r>
        <w:rPr>
          <w:sz w:val="17"/>
        </w:rPr>
        <w:t>Esas decisiones varían enormemente en función de la parte que las aplique, del objetivo de las transformaciones y de la rápida evolución de los algoritmos de correspondencia.</w:t>
      </w:r>
    </w:p>
    <w:p w14:paraId="1CC16B30" w14:textId="02C2B0DE" w:rsidR="00C07866" w:rsidRPr="000E176E" w:rsidRDefault="00765953" w:rsidP="004C48C5">
      <w:pPr>
        <w:spacing w:line="240" w:lineRule="auto"/>
        <w:rPr>
          <w:sz w:val="17"/>
          <w:szCs w:val="17"/>
        </w:rPr>
      </w:pPr>
      <w:r>
        <w:rPr>
          <w:sz w:val="17"/>
        </w:rPr>
        <w:fldChar w:fldCharType="begin"/>
      </w:r>
      <w:r>
        <w:rPr>
          <w:sz w:val="17"/>
        </w:rPr>
        <w:instrText xml:space="preserve"> AUTONUM  </w:instrText>
      </w:r>
      <w:r>
        <w:rPr>
          <w:sz w:val="17"/>
        </w:rPr>
        <w:fldChar w:fldCharType="end"/>
      </w:r>
      <w:r>
        <w:tab/>
      </w:r>
      <w:r>
        <w:rPr>
          <w:sz w:val="17"/>
        </w:rPr>
        <w:t>Cabe señalar que la Norma ST.20 de la OMPI ofrece recomendaciones para elaborar índices de documentos de patente en los que figuren nombres de solicitantes y otros clientes, y para fomentar la presentación uniforme de los nombres que aparecen en esos índices, así como un método uniforme de ordenación de los nombres en el propio índice.</w:t>
      </w:r>
      <w:r w:rsidR="004C48C5">
        <w:rPr>
          <w:sz w:val="17"/>
        </w:rPr>
        <w:t xml:space="preserve"> </w:t>
      </w:r>
    </w:p>
    <w:p w14:paraId="27F6F4A0" w14:textId="755D5651" w:rsidR="00BC2BF8" w:rsidRPr="000E176E" w:rsidRDefault="00BC2BF8" w:rsidP="004C48C5">
      <w:pPr>
        <w:pStyle w:val="Heading1"/>
        <w:spacing w:line="240" w:lineRule="auto"/>
        <w:rPr>
          <w:b/>
          <w:szCs w:val="17"/>
        </w:rPr>
      </w:pPr>
      <w:bookmarkStart w:id="6" w:name="_Toc173934232"/>
      <w:r>
        <w:t>DEFINICIONES</w:t>
      </w:r>
      <w:bookmarkEnd w:id="6"/>
    </w:p>
    <w:p w14:paraId="5E2461A9" w14:textId="73F2A5A4" w:rsidR="00BC2BF8" w:rsidRPr="00765953" w:rsidRDefault="007F45C1" w:rsidP="004C48C5">
      <w:pPr>
        <w:pStyle w:val="ListParagraph"/>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rPr>
          <w:sz w:val="17"/>
        </w:rPr>
        <w:tab/>
        <w:t>En el contexto de este documento:</w:t>
      </w:r>
    </w:p>
    <w:p w14:paraId="69CF6D14" w14:textId="7E544CA7" w:rsidR="002101A9" w:rsidRPr="00765953" w:rsidRDefault="002101A9" w:rsidP="004C48C5">
      <w:pPr>
        <w:pStyle w:val="ListParagraph"/>
        <w:numPr>
          <w:ilvl w:val="0"/>
          <w:numId w:val="40"/>
        </w:numPr>
        <w:spacing w:after="200" w:line="240" w:lineRule="auto"/>
        <w:ind w:left="900"/>
        <w:contextualSpacing w:val="0"/>
        <w:jc w:val="both"/>
        <w:rPr>
          <w:sz w:val="17"/>
          <w:szCs w:val="17"/>
        </w:rPr>
      </w:pPr>
      <w:r>
        <w:rPr>
          <w:sz w:val="17"/>
        </w:rPr>
        <w:t xml:space="preserve">Por “Oficina de PI” se entiende una Oficina de propiedad intelectual encargada de tramitar las solicitudes y registrar los derechos de PI. </w:t>
      </w:r>
    </w:p>
    <w:p w14:paraId="34C36CC8" w14:textId="04E7FF3A" w:rsidR="00BC2BF8" w:rsidRPr="00765953" w:rsidRDefault="0032477B" w:rsidP="004C48C5">
      <w:pPr>
        <w:pStyle w:val="ListParagraph"/>
        <w:numPr>
          <w:ilvl w:val="0"/>
          <w:numId w:val="40"/>
        </w:numPr>
        <w:spacing w:after="200" w:line="240" w:lineRule="auto"/>
        <w:ind w:left="900"/>
        <w:contextualSpacing w:val="0"/>
        <w:jc w:val="both"/>
        <w:rPr>
          <w:sz w:val="17"/>
          <w:szCs w:val="17"/>
        </w:rPr>
      </w:pPr>
      <w:r>
        <w:rPr>
          <w:sz w:val="17"/>
        </w:rPr>
        <w:t>Por “datos de clientes” se entienden los datos de solicitantes, titulares de registros, representantes legales u otras partes que obran en poder de una Oficina de PI en relación con un derecho de PI, una solicitud, un registro u otro instrumento.</w:t>
      </w:r>
      <w:r w:rsidR="004C48C5">
        <w:rPr>
          <w:sz w:val="17"/>
        </w:rPr>
        <w:t xml:space="preserve"> </w:t>
      </w:r>
      <w:r>
        <w:rPr>
          <w:sz w:val="17"/>
        </w:rPr>
        <w:t>Esta norma se ocupa principalmente de los datos de los nombres de clientes, a saber: nombres de personas, nombres de empresas e información conexa, como la ciudad, la dirección o el correo electrónico, que se pueden utilizar para desambiguar posibles coincidencias de nombres.</w:t>
      </w:r>
    </w:p>
    <w:p w14:paraId="252EA114" w14:textId="7E82C80F" w:rsidR="007F45C1" w:rsidRPr="00765953" w:rsidRDefault="0032477B" w:rsidP="004C48C5">
      <w:pPr>
        <w:pStyle w:val="ListParagraph"/>
        <w:numPr>
          <w:ilvl w:val="0"/>
          <w:numId w:val="40"/>
        </w:numPr>
        <w:spacing w:after="200" w:line="240" w:lineRule="auto"/>
        <w:ind w:left="900"/>
        <w:contextualSpacing w:val="0"/>
        <w:jc w:val="both"/>
        <w:rPr>
          <w:sz w:val="17"/>
          <w:szCs w:val="17"/>
        </w:rPr>
      </w:pPr>
      <w:r>
        <w:rPr>
          <w:sz w:val="17"/>
        </w:rPr>
        <w:t>Por “datos depurados” se entienden datos precisos, coherentes y fiables.</w:t>
      </w:r>
      <w:r w:rsidR="004C48C5">
        <w:rPr>
          <w:sz w:val="17"/>
        </w:rPr>
        <w:t xml:space="preserve"> </w:t>
      </w:r>
      <w:r>
        <w:rPr>
          <w:sz w:val="17"/>
        </w:rPr>
        <w:t>Puesto que el grado de depuración en un gran conjunto de datos complejos es difícil de medir, se pueden utilizar diversos parámetros como indicadores de la depuración o propiedades afines, como la idoneidad para un fin determinado.</w:t>
      </w:r>
    </w:p>
    <w:p w14:paraId="23380057" w14:textId="72C559E7" w:rsidR="007F45C1" w:rsidRPr="00765953" w:rsidRDefault="0032477B" w:rsidP="004C48C5">
      <w:pPr>
        <w:pStyle w:val="ListParagraph"/>
        <w:numPr>
          <w:ilvl w:val="0"/>
          <w:numId w:val="40"/>
        </w:numPr>
        <w:spacing w:after="200" w:line="240" w:lineRule="auto"/>
        <w:ind w:left="900"/>
        <w:contextualSpacing w:val="0"/>
        <w:jc w:val="both"/>
        <w:rPr>
          <w:sz w:val="17"/>
          <w:szCs w:val="17"/>
        </w:rPr>
      </w:pPr>
      <w:r>
        <w:rPr>
          <w:sz w:val="17"/>
        </w:rPr>
        <w:t xml:space="preserve">Por “transliteración” se entiende la correspondencia de los caracteres de la lengua de origen con los caracteres (fonéticos) de la lengua de destino. </w:t>
      </w:r>
    </w:p>
    <w:p w14:paraId="3580A258" w14:textId="531769EF" w:rsidR="007F45C1" w:rsidRPr="00765953" w:rsidRDefault="0032477B" w:rsidP="004C48C5">
      <w:pPr>
        <w:pStyle w:val="ListParagraph"/>
        <w:numPr>
          <w:ilvl w:val="0"/>
          <w:numId w:val="40"/>
        </w:numPr>
        <w:spacing w:after="200" w:line="240" w:lineRule="auto"/>
        <w:ind w:left="900"/>
        <w:contextualSpacing w:val="0"/>
        <w:jc w:val="both"/>
        <w:rPr>
          <w:sz w:val="17"/>
          <w:szCs w:val="17"/>
        </w:rPr>
      </w:pPr>
      <w:r>
        <w:rPr>
          <w:sz w:val="17"/>
        </w:rPr>
        <w:t>Por “transcripción” se entiende la correspondencia de un carácter, logograma, sílaba o fonema de la lengua de partida con un sonido en el sistema de la lengua de llegada.</w:t>
      </w:r>
    </w:p>
    <w:p w14:paraId="07CD08C3" w14:textId="78310808" w:rsidR="007F45C1" w:rsidRPr="00765953" w:rsidRDefault="0032477B" w:rsidP="004C48C5">
      <w:pPr>
        <w:pStyle w:val="ListParagraph"/>
        <w:numPr>
          <w:ilvl w:val="0"/>
          <w:numId w:val="40"/>
        </w:numPr>
        <w:spacing w:after="200" w:line="240" w:lineRule="auto"/>
        <w:ind w:left="900"/>
        <w:contextualSpacing w:val="0"/>
        <w:jc w:val="both"/>
        <w:rPr>
          <w:sz w:val="17"/>
          <w:szCs w:val="17"/>
        </w:rPr>
      </w:pPr>
      <w:r>
        <w:rPr>
          <w:sz w:val="17"/>
        </w:rPr>
        <w:t>Por “traducción” se entiende la representación del significado de una palabra o concepto en la lengua de partida con algo que se corresponde con el significado en la lengua de llegada.</w:t>
      </w:r>
    </w:p>
    <w:p w14:paraId="5FC3AA78" w14:textId="1F50232E" w:rsidR="00BC2BF8" w:rsidRPr="000E176E" w:rsidRDefault="00BC2BF8" w:rsidP="004C48C5">
      <w:pPr>
        <w:pStyle w:val="Heading1"/>
        <w:spacing w:line="240" w:lineRule="auto"/>
        <w:rPr>
          <w:b/>
          <w:szCs w:val="17"/>
        </w:rPr>
      </w:pPr>
      <w:bookmarkStart w:id="7" w:name="_Toc173934233"/>
      <w:r>
        <w:t>OBTENCIÓN DE DATOS</w:t>
      </w:r>
      <w:bookmarkEnd w:id="7"/>
    </w:p>
    <w:p w14:paraId="3BAFF606" w14:textId="16690F0C" w:rsidR="00BC2BF8" w:rsidRPr="00765953" w:rsidRDefault="00103B70" w:rsidP="004C48C5">
      <w:pPr>
        <w:pStyle w:val="ListParagraph"/>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rPr>
          <w:sz w:val="17"/>
        </w:rPr>
        <w:tab/>
        <w:t>Las Oficinas de PI pueden ofrecer la posibilidad de que los clientes creen y gestionen registros electrónicos que contengan información publicada sobre los nombres, a saber: nombres de personas, nombres de empresas, nombres de representantes legales e información conexa, como la ciudad, la dirección o el correo electrónico.</w:t>
      </w:r>
    </w:p>
    <w:p w14:paraId="687E1267" w14:textId="5772F53B" w:rsidR="00BC2BF8" w:rsidRPr="00765953" w:rsidRDefault="00103B70" w:rsidP="004C48C5">
      <w:pPr>
        <w:pStyle w:val="ListParagraph"/>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rPr>
          <w:sz w:val="17"/>
        </w:rPr>
        <w:tab/>
        <w:t>Las Oficinas de PI deberán permitir que un registro de cliente se asocie a varias solicitudes o registros de derechos de PI, de modo que los clientes puedan reutilizar la misma información sobre los nombres para varias solicitudes o registros y actualizar esa información en un solo lugar.</w:t>
      </w:r>
    </w:p>
    <w:p w14:paraId="17CDD17D" w14:textId="49F9CA86" w:rsidR="00BC2BF8" w:rsidRPr="00765953" w:rsidRDefault="00103B70" w:rsidP="004C48C5">
      <w:pPr>
        <w:pStyle w:val="ListParagraph"/>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tab/>
      </w:r>
      <w:r>
        <w:rPr>
          <w:sz w:val="17"/>
        </w:rPr>
        <w:t>Las Oficinas de PI pueden facilitar formularios para que los clientes pidan a las Oficinas de PI que creen o cambien su nombre o información conexa.</w:t>
      </w:r>
      <w:r w:rsidR="004C48C5">
        <w:rPr>
          <w:sz w:val="17"/>
        </w:rPr>
        <w:t xml:space="preserve"> </w:t>
      </w:r>
      <w:r>
        <w:rPr>
          <w:sz w:val="17"/>
        </w:rPr>
        <w:t xml:space="preserve">Las Oficinas de PI también podrán permitir que los clientes introduzcan y actualicen su nombre o la información conexa por sí mismos o podrán exigir que sea una parte designada, por ejemplo empleados, contratistas o un servicio externo, la que introduzca y actualice los registros de los clientes a petición de estos. </w:t>
      </w:r>
    </w:p>
    <w:p w14:paraId="4DEA6567" w14:textId="11C62C4C" w:rsidR="00BC2BF8" w:rsidRPr="00765953" w:rsidRDefault="00103B70" w:rsidP="004C48C5">
      <w:pPr>
        <w:pStyle w:val="ListParagraph"/>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rPr>
          <w:sz w:val="17"/>
        </w:rPr>
        <w:tab/>
        <w:t>Los distintos registros de un mismo cliente podrán ser creados y gestionados por entidades diferentes, por ejemplo por representantes legales diferentes.</w:t>
      </w:r>
      <w:r w:rsidR="004C48C5">
        <w:rPr>
          <w:sz w:val="17"/>
        </w:rPr>
        <w:t xml:space="preserve"> </w:t>
      </w:r>
      <w:r>
        <w:rPr>
          <w:sz w:val="17"/>
        </w:rPr>
        <w:t>Las Oficinas de PI deben tener esto en cuenta a la hora de diseñar los sistemas de registro, ya que varios registros de un mismo cliente pueden tener ligeras variaciones de los mismos datos o ser actualizados en distintos momentos por distintos representantes.</w:t>
      </w:r>
    </w:p>
    <w:p w14:paraId="3440F4B7" w14:textId="1F432E2A" w:rsidR="00BC2BF8" w:rsidRDefault="00103B70" w:rsidP="004C48C5">
      <w:pPr>
        <w:pStyle w:val="ListParagraph"/>
        <w:spacing w:after="200" w:line="240" w:lineRule="auto"/>
        <w:ind w:left="0"/>
        <w:contextualSpacing w:val="0"/>
        <w:jc w:val="both"/>
        <w:rPr>
          <w:sz w:val="17"/>
          <w:szCs w:val="17"/>
        </w:rPr>
      </w:pPr>
      <w:r w:rsidRPr="00765953">
        <w:rPr>
          <w:sz w:val="17"/>
        </w:rPr>
        <w:lastRenderedPageBreak/>
        <w:fldChar w:fldCharType="begin"/>
      </w:r>
      <w:r w:rsidRPr="00765953">
        <w:rPr>
          <w:sz w:val="17"/>
        </w:rPr>
        <w:instrText xml:space="preserve"> AUTONUM  </w:instrText>
      </w:r>
      <w:r w:rsidRPr="00765953">
        <w:rPr>
          <w:sz w:val="17"/>
        </w:rPr>
        <w:fldChar w:fldCharType="end"/>
      </w:r>
      <w:r>
        <w:tab/>
      </w:r>
      <w:r>
        <w:rPr>
          <w:sz w:val="17"/>
        </w:rPr>
        <w:t>Las Oficinas de PI pueden admitir la introducción del nombre del cliente en caracteres propios del idioma del cliente, además de hacerlo en los idiomas de trabajo de la Oficina; para ello se utilizará la codificación UTF-8</w:t>
      </w:r>
      <w:r w:rsidR="00A92AD7">
        <w:rPr>
          <w:rStyle w:val="FootnoteReference"/>
          <w:sz w:val="17"/>
          <w:szCs w:val="17"/>
        </w:rPr>
        <w:footnoteReference w:id="2"/>
      </w:r>
      <w:r>
        <w:rPr>
          <w:sz w:val="17"/>
        </w:rPr>
        <w:t>.</w:t>
      </w:r>
      <w:r w:rsidR="004C48C5">
        <w:rPr>
          <w:sz w:val="17"/>
        </w:rPr>
        <w:t xml:space="preserve"> </w:t>
      </w:r>
      <w:r>
        <w:rPr>
          <w:sz w:val="17"/>
        </w:rPr>
        <w:t>Por ejemplo, una Oficina que trabaje en inglés podría disponer de distintos campos para el nombre del solicitante en inglés y el nombre original en coreano.</w:t>
      </w:r>
    </w:p>
    <w:p w14:paraId="3AF8D138" w14:textId="4D0BB13C" w:rsidR="00BC2BF8" w:rsidRPr="00765953" w:rsidRDefault="00103B70" w:rsidP="004C48C5">
      <w:pPr>
        <w:pStyle w:val="ListParagraph"/>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rPr>
          <w:sz w:val="17"/>
        </w:rPr>
        <w:tab/>
        <w:t>Las Oficinas de PI podrán utilizar opcionalmente números para identificar a los clientes.</w:t>
      </w:r>
      <w:r w:rsidR="004C48C5">
        <w:rPr>
          <w:sz w:val="17"/>
        </w:rPr>
        <w:t xml:space="preserve"> </w:t>
      </w:r>
      <w:r>
        <w:rPr>
          <w:sz w:val="17"/>
        </w:rPr>
        <w:t>Esos números los podrán crear las Oficinas o podrán obtenerlos de una fuente externa, como un número de registro de una empresa o un número de pasaporte.</w:t>
      </w:r>
      <w:r w:rsidR="004C48C5">
        <w:rPr>
          <w:sz w:val="17"/>
        </w:rPr>
        <w:t xml:space="preserve"> </w:t>
      </w:r>
      <w:r>
        <w:rPr>
          <w:sz w:val="17"/>
        </w:rPr>
        <w:t>Los números de identificación por sí solos no resuelven los problemas que se plantean con los datos depurados de los clientes, como las entradas duplicadas, los cambios de nombre y la información obsoleta o incorrecta.</w:t>
      </w:r>
      <w:r w:rsidR="004C48C5">
        <w:rPr>
          <w:sz w:val="17"/>
        </w:rPr>
        <w:t xml:space="preserve"> </w:t>
      </w:r>
      <w:r>
        <w:rPr>
          <w:sz w:val="17"/>
        </w:rPr>
        <w:t>Las Oficinas que utilicen números de identificación deberán seguir prestando atención a las consideraciones contenidas en otras partes de esta norma.</w:t>
      </w:r>
    </w:p>
    <w:p w14:paraId="748655B4" w14:textId="439F0A5B" w:rsidR="008D2089" w:rsidRPr="000E176E" w:rsidRDefault="001E598E" w:rsidP="004C48C5">
      <w:pPr>
        <w:pStyle w:val="Heading1"/>
        <w:spacing w:line="240" w:lineRule="auto"/>
        <w:rPr>
          <w:b/>
          <w:szCs w:val="17"/>
        </w:rPr>
      </w:pPr>
      <w:bookmarkStart w:id="8" w:name="_Hlk145928917"/>
      <w:bookmarkStart w:id="9" w:name="_Toc173934234"/>
      <w:r>
        <w:t>TRANSFORMACIÓN DE NOMBRES</w:t>
      </w:r>
      <w:bookmarkEnd w:id="8"/>
      <w:bookmarkEnd w:id="9"/>
    </w:p>
    <w:p w14:paraId="31BBB065" w14:textId="5090F695" w:rsidR="008D2089" w:rsidRPr="00765953" w:rsidRDefault="00103B70" w:rsidP="004C48C5">
      <w:pPr>
        <w:pStyle w:val="ListParagraph"/>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tab/>
      </w:r>
      <w:r>
        <w:rPr>
          <w:sz w:val="17"/>
        </w:rPr>
        <w:t>Para el intercambio y procesamiento de datos, incluida la recepción de solicitudes o registros internacionales, las Oficinas de PI pueden considerar la posibilidad de transformar los nombres (Anexo de este documento).</w:t>
      </w:r>
      <w:r w:rsidR="004C48C5">
        <w:rPr>
          <w:sz w:val="17"/>
        </w:rPr>
        <w:t xml:space="preserve"> </w:t>
      </w:r>
      <w:r>
        <w:rPr>
          <w:sz w:val="17"/>
        </w:rPr>
        <w:t>Se recomienda que las Oficinas de PI envíen y reciban los datos de los nombres utilizando la codificación UTF-8.</w:t>
      </w:r>
      <w:r w:rsidR="004C48C5">
        <w:rPr>
          <w:sz w:val="17"/>
        </w:rPr>
        <w:t xml:space="preserve"> </w:t>
      </w:r>
    </w:p>
    <w:p w14:paraId="436F4E60" w14:textId="583E7BCF" w:rsidR="008D2089" w:rsidRPr="00765953" w:rsidRDefault="00103B70" w:rsidP="004C48C5">
      <w:pPr>
        <w:pStyle w:val="ListParagraph"/>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tab/>
      </w:r>
      <w:r>
        <w:rPr>
          <w:sz w:val="17"/>
        </w:rPr>
        <w:t>Debe tenerse en cuenta que la adaptación o conversión de los nombres de los clientes se presta a numerosos errores, ya que no existen normas generalmente aceptadas o uniformes.</w:t>
      </w:r>
      <w:r w:rsidR="004C48C5">
        <w:rPr>
          <w:sz w:val="17"/>
        </w:rPr>
        <w:t xml:space="preserve"> </w:t>
      </w:r>
      <w:r>
        <w:rPr>
          <w:sz w:val="17"/>
        </w:rPr>
        <w:t>En esta norma se mencionan tres formas de adaptación o transformación de nombres: transliteración, transcripción y traducción.</w:t>
      </w:r>
      <w:r w:rsidR="004C48C5">
        <w:rPr>
          <w:sz w:val="17"/>
        </w:rPr>
        <w:t xml:space="preserve"> </w:t>
      </w:r>
      <w:r>
        <w:rPr>
          <w:sz w:val="17"/>
        </w:rPr>
        <w:t>Si las Oficinas de PI transliteran, transcriben o traducen caracteres de una lengua (como el griego) a otra (como el inglés), deberán publicar su sistema de transliteración, transcripción o traducción.</w:t>
      </w:r>
      <w:r w:rsidR="004C48C5">
        <w:rPr>
          <w:sz w:val="17"/>
        </w:rPr>
        <w:t xml:space="preserve"> </w:t>
      </w:r>
      <w:r>
        <w:rPr>
          <w:sz w:val="17"/>
        </w:rPr>
        <w:t>El documento transliterado, transcrito o traducido, o partes del mismo, deben ponerse a disposición del cliente, quien deberá disponer de un medio para presentar correcciones si la transliteración, transcripción o traducción presenta fallos.</w:t>
      </w:r>
      <w:r w:rsidR="004C48C5">
        <w:rPr>
          <w:sz w:val="17"/>
        </w:rPr>
        <w:t xml:space="preserve"> </w:t>
      </w:r>
    </w:p>
    <w:p w14:paraId="3D8E0EC9" w14:textId="6505F822" w:rsidR="008D2089" w:rsidRPr="000E176E" w:rsidRDefault="00103B70" w:rsidP="004C48C5">
      <w:pPr>
        <w:pStyle w:val="ListParagraph"/>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tab/>
      </w:r>
      <w:r>
        <w:rPr>
          <w:sz w:val="17"/>
        </w:rPr>
        <w:t>Si es posible, debe evitarse la transliteración inversa; en su lugar, se recomienda utilizar el nombre original.</w:t>
      </w:r>
      <w:r w:rsidR="004C48C5">
        <w:rPr>
          <w:sz w:val="17"/>
        </w:rPr>
        <w:t xml:space="preserve"> </w:t>
      </w:r>
      <w:r>
        <w:rPr>
          <w:sz w:val="17"/>
        </w:rPr>
        <w:t>Por ejemplo, una solicitud presentada por “Phony Corp” se podría transliterar en caracteres griegos como “Φονι Κορπ” en el sistema de una Oficina y, al publicarla, la transliteración inversa del griego a los caracteres latinos podría ser “Foni Corp”, lo que daría lugar a discrepancias.</w:t>
      </w:r>
      <w:r w:rsidR="004C48C5">
        <w:rPr>
          <w:sz w:val="17"/>
        </w:rPr>
        <w:t xml:space="preserve"> </w:t>
      </w:r>
      <w:r>
        <w:rPr>
          <w:sz w:val="17"/>
        </w:rPr>
        <w:t>En el Anexo de esta norma figuran ejemplos de los problemas más comunes que surgen en la transliteración, transcripción o traducción inversa o doble.</w:t>
      </w:r>
    </w:p>
    <w:p w14:paraId="645547A5" w14:textId="27C798E0" w:rsidR="008D2089" w:rsidRPr="000E176E" w:rsidRDefault="008D2089" w:rsidP="004C48C5">
      <w:pPr>
        <w:pStyle w:val="Heading1"/>
        <w:spacing w:line="240" w:lineRule="auto"/>
        <w:rPr>
          <w:b/>
          <w:szCs w:val="17"/>
        </w:rPr>
      </w:pPr>
      <w:bookmarkStart w:id="10" w:name="_Toc173934235"/>
      <w:r>
        <w:t>VALIDACIÓN Y DESAMBIGUACIÓN</w:t>
      </w:r>
      <w:bookmarkEnd w:id="10"/>
    </w:p>
    <w:p w14:paraId="3DCA7463" w14:textId="6120D3DC" w:rsidR="00DB72C8" w:rsidRPr="00765953" w:rsidRDefault="00103B70" w:rsidP="004C48C5">
      <w:pPr>
        <w:pStyle w:val="ListParagraph"/>
        <w:spacing w:after="200" w:line="240" w:lineRule="auto"/>
        <w:ind w:left="0"/>
        <w:contextualSpacing w:val="0"/>
        <w:jc w:val="both"/>
        <w:rPr>
          <w:sz w:val="17"/>
          <w:szCs w:val="17"/>
        </w:rPr>
      </w:pPr>
      <w:r w:rsidRPr="00765953">
        <w:rPr>
          <w:sz w:val="17"/>
        </w:rPr>
        <w:fldChar w:fldCharType="begin"/>
      </w:r>
      <w:r w:rsidRPr="00765953">
        <w:rPr>
          <w:sz w:val="17"/>
        </w:rPr>
        <w:instrText xml:space="preserve"> AUTONUM  </w:instrText>
      </w:r>
      <w:r w:rsidRPr="00765953">
        <w:rPr>
          <w:sz w:val="17"/>
        </w:rPr>
        <w:fldChar w:fldCharType="end"/>
      </w:r>
      <w:r>
        <w:tab/>
      </w:r>
      <w:r>
        <w:rPr>
          <w:sz w:val="17"/>
        </w:rPr>
        <w:t>Los métodos de validación y desambiguación deben diseñarse para cumplir objetivos específicos, ya sean administrativos o estadísticos, y deben aplicarse procedimientos adecuados en función de esos objetivos.</w:t>
      </w:r>
      <w:r w:rsidR="004C48C5">
        <w:rPr>
          <w:sz w:val="17"/>
        </w:rPr>
        <w:t xml:space="preserve"> </w:t>
      </w:r>
      <w:r>
        <w:rPr>
          <w:sz w:val="17"/>
        </w:rPr>
        <w:t>Los métodos de concordancia y desambiguación de nombres deben tener el alcance adecuado y someterse a una evaluación de riesgos en función del objetivo previsto a fin de lograr un nivel adecuado de desambiguación.</w:t>
      </w:r>
    </w:p>
    <w:p w14:paraId="52BAEAA5" w14:textId="37F66DBF" w:rsidR="008D2089" w:rsidRPr="00765953" w:rsidRDefault="008D2089" w:rsidP="004C48C5">
      <w:pPr>
        <w:pStyle w:val="ListParagraph"/>
        <w:spacing w:after="200" w:line="240" w:lineRule="auto"/>
        <w:ind w:left="0"/>
        <w:contextualSpacing w:val="0"/>
        <w:jc w:val="both"/>
        <w:rPr>
          <w:sz w:val="17"/>
          <w:szCs w:val="17"/>
        </w:rPr>
      </w:pPr>
      <w:r>
        <w:rPr>
          <w:sz w:val="17"/>
        </w:rPr>
        <w:t>14.</w:t>
      </w:r>
      <w:r>
        <w:rPr>
          <w:sz w:val="17"/>
        </w:rPr>
        <w:tab/>
        <w:t>Las Oficinas de PI podrán optar por validar la información presentada por los clientes, incluso mediante comprobaciones automatizadas.</w:t>
      </w:r>
      <w:r w:rsidR="004C48C5">
        <w:rPr>
          <w:sz w:val="17"/>
        </w:rPr>
        <w:t xml:space="preserve"> </w:t>
      </w:r>
      <w:r>
        <w:rPr>
          <w:sz w:val="17"/>
        </w:rPr>
        <w:t>Los resultados de la validación se pondrán a disposición de los clientes y estos aceptarán las correcciones de ser necesario, lo que incluye fórmulas para eludir un mecanismo de validación automatizado en caso de que surjan resultados incorrectos o incompletos.</w:t>
      </w:r>
    </w:p>
    <w:p w14:paraId="67C890FC" w14:textId="1895DB1B" w:rsidR="008D2089" w:rsidRPr="00765953" w:rsidRDefault="008D2089" w:rsidP="004C48C5">
      <w:pPr>
        <w:pStyle w:val="ListParagraph"/>
        <w:spacing w:after="200" w:line="240" w:lineRule="auto"/>
        <w:ind w:left="0"/>
        <w:contextualSpacing w:val="0"/>
        <w:jc w:val="both"/>
        <w:rPr>
          <w:sz w:val="17"/>
          <w:szCs w:val="17"/>
        </w:rPr>
      </w:pPr>
      <w:r>
        <w:rPr>
          <w:sz w:val="17"/>
        </w:rPr>
        <w:t>15.</w:t>
      </w:r>
      <w:r>
        <w:rPr>
          <w:sz w:val="17"/>
        </w:rPr>
        <w:tab/>
        <w:t>Para desambiguar los registros de nombres (es decir, encontrar entradas duplicadas), las Oficinas podrán examinar aspectos distintos de los nombres de los clientes.</w:t>
      </w:r>
      <w:r w:rsidR="004C48C5">
        <w:rPr>
          <w:sz w:val="17"/>
        </w:rPr>
        <w:t xml:space="preserve"> </w:t>
      </w:r>
      <w:r>
        <w:rPr>
          <w:sz w:val="17"/>
        </w:rPr>
        <w:t>Los nombres no son intrínsecamente únicos.</w:t>
      </w:r>
      <w:r w:rsidR="004C48C5">
        <w:rPr>
          <w:sz w:val="17"/>
        </w:rPr>
        <w:t xml:space="preserve"> </w:t>
      </w:r>
      <w:r>
        <w:rPr>
          <w:sz w:val="17"/>
        </w:rPr>
        <w:t>Por ejemplo, puede haber varias personas llamadas “John Smith” o varias empresas llamadas “Data Corp”.</w:t>
      </w:r>
      <w:r w:rsidR="004C48C5">
        <w:rPr>
          <w:sz w:val="17"/>
        </w:rPr>
        <w:t xml:space="preserve"> </w:t>
      </w:r>
      <w:r>
        <w:rPr>
          <w:sz w:val="17"/>
        </w:rPr>
        <w:t>La comparación de otros datos como la ciudad, el código postal o la fecha de nacimiento, cuando estén disponibles, puede aumentar la calidad de las correspondencias.</w:t>
      </w:r>
    </w:p>
    <w:p w14:paraId="146EF39C" w14:textId="399B014E" w:rsidR="008D2089" w:rsidRPr="00765953" w:rsidRDefault="008D2089" w:rsidP="004C48C5">
      <w:pPr>
        <w:pStyle w:val="ListParagraph"/>
        <w:spacing w:after="200" w:line="240" w:lineRule="auto"/>
        <w:ind w:left="0"/>
        <w:contextualSpacing w:val="0"/>
        <w:jc w:val="both"/>
        <w:rPr>
          <w:sz w:val="17"/>
          <w:szCs w:val="17"/>
        </w:rPr>
      </w:pPr>
      <w:r>
        <w:rPr>
          <w:sz w:val="17"/>
        </w:rPr>
        <w:t>16.</w:t>
      </w:r>
      <w:r>
        <w:rPr>
          <w:sz w:val="17"/>
        </w:rPr>
        <w:tab/>
        <w:t>Cualquier proceso de validación o desambiguación iniciado por la Oficina de PI que pueda tener efectos legales, como la corrección o la normalización del nombre del titular registrado de un derecho de PI, deberá ser confirmado por el cliente antes de que se formalice el cambio en el sistema de la Oficina.</w:t>
      </w:r>
    </w:p>
    <w:p w14:paraId="28EF10AE" w14:textId="3F421DFE" w:rsidR="008D2089" w:rsidRPr="000E176E" w:rsidRDefault="008D2089" w:rsidP="004C48C5">
      <w:pPr>
        <w:pStyle w:val="Heading1"/>
        <w:spacing w:line="240" w:lineRule="auto"/>
        <w:rPr>
          <w:b/>
          <w:szCs w:val="17"/>
        </w:rPr>
      </w:pPr>
      <w:bookmarkStart w:id="11" w:name="_Toc173934236"/>
      <w:r>
        <w:t>MANTENIMIENTO</w:t>
      </w:r>
      <w:bookmarkEnd w:id="11"/>
    </w:p>
    <w:p w14:paraId="5C28D27E" w14:textId="0770CADD" w:rsidR="008D2089" w:rsidRPr="00765953" w:rsidRDefault="008D2089" w:rsidP="004C48C5">
      <w:pPr>
        <w:pStyle w:val="ListParagraph"/>
        <w:spacing w:after="200" w:line="240" w:lineRule="auto"/>
        <w:ind w:left="0"/>
        <w:contextualSpacing w:val="0"/>
        <w:jc w:val="both"/>
        <w:rPr>
          <w:sz w:val="17"/>
          <w:szCs w:val="17"/>
        </w:rPr>
      </w:pPr>
      <w:r>
        <w:rPr>
          <w:sz w:val="17"/>
        </w:rPr>
        <w:t>17.</w:t>
      </w:r>
      <w:r>
        <w:rPr>
          <w:sz w:val="17"/>
        </w:rPr>
        <w:tab/>
        <w:t>Las Oficinas de PI deben elaborar una estrategia para depurar periódicamente las bases de datos de nombres de clientes que incluya la detección y resolución de los registros duplicados, es decir, varios registros de una misma entidad.</w:t>
      </w:r>
      <w:r w:rsidR="004C48C5">
        <w:rPr>
          <w:sz w:val="17"/>
        </w:rPr>
        <w:t xml:space="preserve"> </w:t>
      </w:r>
      <w:r>
        <w:rPr>
          <w:sz w:val="17"/>
        </w:rPr>
        <w:t>En algunos casos, los registros duplicados se pueden fusionar o combinar, por ejemplo, los registros con pequeñas diferencias ortográficas involuntarias, como “ABC Corp.” y “ABC Corp”.</w:t>
      </w:r>
      <w:r w:rsidR="004C48C5">
        <w:rPr>
          <w:sz w:val="17"/>
        </w:rPr>
        <w:t xml:space="preserve"> </w:t>
      </w:r>
      <w:r>
        <w:rPr>
          <w:sz w:val="17"/>
        </w:rPr>
        <w:t>En otros casos puede ser preferible mantener registros independientes.</w:t>
      </w:r>
      <w:r w:rsidR="004C48C5">
        <w:rPr>
          <w:sz w:val="17"/>
        </w:rPr>
        <w:t xml:space="preserve"> </w:t>
      </w:r>
      <w:r>
        <w:rPr>
          <w:sz w:val="17"/>
        </w:rPr>
        <w:t>Cada Oficina deberá decidir qué enfoque se ajusta mejor a su propio sistema de gestión de los registros de nombres.</w:t>
      </w:r>
      <w:r w:rsidR="004C48C5">
        <w:rPr>
          <w:sz w:val="17"/>
        </w:rPr>
        <w:t xml:space="preserve"> </w:t>
      </w:r>
      <w:r>
        <w:rPr>
          <w:sz w:val="17"/>
        </w:rPr>
        <w:t xml:space="preserve">La estrategia puede incluir la participación de los clientes interesados en la depuración de los registros y la responsabilidad de los datos depurados. </w:t>
      </w:r>
    </w:p>
    <w:p w14:paraId="356F5DA1" w14:textId="1C5FDC2D" w:rsidR="008D2089" w:rsidRPr="00765953" w:rsidRDefault="008D2089" w:rsidP="004C48C5">
      <w:pPr>
        <w:pStyle w:val="ListParagraph"/>
        <w:spacing w:after="200" w:line="240" w:lineRule="auto"/>
        <w:ind w:left="0"/>
        <w:contextualSpacing w:val="0"/>
        <w:jc w:val="both"/>
        <w:rPr>
          <w:sz w:val="17"/>
          <w:szCs w:val="17"/>
        </w:rPr>
      </w:pPr>
      <w:r>
        <w:rPr>
          <w:sz w:val="17"/>
        </w:rPr>
        <w:t>18.</w:t>
      </w:r>
      <w:r>
        <w:rPr>
          <w:sz w:val="17"/>
        </w:rPr>
        <w:tab/>
        <w:t>Las Oficinas de PI deberán proporcionar un mecanismo que permita a los clientes actualizar la información sobre su nombre en varias solicitudes o derechos de PI introduciendo la información una sola vez.</w:t>
      </w:r>
      <w:r w:rsidR="004C48C5">
        <w:rPr>
          <w:sz w:val="17"/>
        </w:rPr>
        <w:t xml:space="preserve"> </w:t>
      </w:r>
      <w:r>
        <w:rPr>
          <w:sz w:val="17"/>
        </w:rPr>
        <w:t xml:space="preserve">Esto se puede conseguir, por ejemplo, asociando cada solicitud o derecho de PI a un único registro de cliente que contenga información sobre el </w:t>
      </w:r>
      <w:r>
        <w:rPr>
          <w:sz w:val="17"/>
        </w:rPr>
        <w:lastRenderedPageBreak/>
        <w:t>nombre, o permitiendo a los clientes seleccionar varias solicitudes o derechos de PI y presentar un solo conjunto de datos actualizados para que se apliquen a todos ellos.</w:t>
      </w:r>
    </w:p>
    <w:p w14:paraId="0C67AE0D" w14:textId="6D08CF1C" w:rsidR="008D2089" w:rsidRPr="00765953" w:rsidRDefault="008D2089" w:rsidP="004C48C5">
      <w:pPr>
        <w:pStyle w:val="ListParagraph"/>
        <w:spacing w:after="200" w:line="240" w:lineRule="auto"/>
        <w:ind w:left="0"/>
        <w:contextualSpacing w:val="0"/>
        <w:jc w:val="both"/>
        <w:rPr>
          <w:sz w:val="17"/>
          <w:szCs w:val="17"/>
        </w:rPr>
      </w:pPr>
      <w:r>
        <w:rPr>
          <w:sz w:val="17"/>
        </w:rPr>
        <w:t>19.</w:t>
      </w:r>
      <w:r>
        <w:rPr>
          <w:sz w:val="17"/>
        </w:rPr>
        <w:tab/>
        <w:t>Las Oficinas de PI podrán designar a una persona responsable de la depuración de datos, lo que incluye el desarrollo de parámetros para medir los datos depurados, el seguimiento y la presentación de informes periódicos sobre dichos parámetros y la adopción de medidas para mejorar los datos de los clientes cuando sea necesario.</w:t>
      </w:r>
    </w:p>
    <w:p w14:paraId="65F2EB09" w14:textId="5F66BB75" w:rsidR="008D2089" w:rsidRPr="000E176E" w:rsidRDefault="008D2089" w:rsidP="004C48C5">
      <w:pPr>
        <w:pStyle w:val="Heading1"/>
        <w:spacing w:line="240" w:lineRule="auto"/>
        <w:rPr>
          <w:b/>
          <w:szCs w:val="17"/>
        </w:rPr>
      </w:pPr>
      <w:bookmarkStart w:id="12" w:name="_Toc173934237"/>
      <w:r>
        <w:t>PUBLICACIÓN E INTERCAMBIO DE DATOS</w:t>
      </w:r>
      <w:bookmarkEnd w:id="12"/>
    </w:p>
    <w:p w14:paraId="332F9730" w14:textId="3C693418" w:rsidR="008D2089" w:rsidRPr="00765953" w:rsidRDefault="008D2089" w:rsidP="004C48C5">
      <w:pPr>
        <w:pStyle w:val="ListParagraph"/>
        <w:spacing w:after="200" w:line="240" w:lineRule="auto"/>
        <w:ind w:left="0"/>
        <w:contextualSpacing w:val="0"/>
        <w:jc w:val="both"/>
        <w:rPr>
          <w:sz w:val="17"/>
          <w:szCs w:val="17"/>
        </w:rPr>
      </w:pPr>
      <w:r>
        <w:rPr>
          <w:sz w:val="17"/>
        </w:rPr>
        <w:t>20.</w:t>
      </w:r>
      <w:r>
        <w:rPr>
          <w:sz w:val="17"/>
        </w:rPr>
        <w:tab/>
        <w:t>Las Oficinas de PI deberán dar a conocer las actualizaciones de la información sobre los nombres que se realicen después de la publicación de un derecho de PI.</w:t>
      </w:r>
      <w:r w:rsidR="004C48C5">
        <w:rPr>
          <w:sz w:val="17"/>
        </w:rPr>
        <w:t xml:space="preserve"> </w:t>
      </w:r>
      <w:r>
        <w:rPr>
          <w:sz w:val="17"/>
        </w:rPr>
        <w:t>Por ejemplo, si “ABC Corp” cambia su nombre por “XYZ Corp” en el registro de clientes, en las publicaciones en línea se deberá asociar el nombre “XYZ Corp” al derecho de PI.</w:t>
      </w:r>
      <w:r w:rsidR="004C48C5">
        <w:rPr>
          <w:sz w:val="17"/>
        </w:rPr>
        <w:t xml:space="preserve"> </w:t>
      </w:r>
      <w:r>
        <w:rPr>
          <w:sz w:val="17"/>
        </w:rPr>
        <w:t>El nombre original también podrá aparecer en el derecho de PI publicado, de acuerdo con los requisitos legales de la Oficina.</w:t>
      </w:r>
    </w:p>
    <w:p w14:paraId="43C7CD1A" w14:textId="0817934B" w:rsidR="008D2089" w:rsidRPr="00765953" w:rsidRDefault="008D2089" w:rsidP="004C48C5">
      <w:pPr>
        <w:pStyle w:val="ListParagraph"/>
        <w:spacing w:after="200" w:line="240" w:lineRule="auto"/>
        <w:ind w:left="0"/>
        <w:contextualSpacing w:val="0"/>
        <w:jc w:val="both"/>
        <w:rPr>
          <w:sz w:val="17"/>
          <w:szCs w:val="17"/>
        </w:rPr>
      </w:pPr>
      <w:r>
        <w:rPr>
          <w:sz w:val="17"/>
        </w:rPr>
        <w:t>21.</w:t>
      </w:r>
      <w:r>
        <w:rPr>
          <w:sz w:val="17"/>
        </w:rPr>
        <w:tab/>
        <w:t>Si una Oficina tiene varias formas del nombre de un cliente, como el nombre original expresado con caracteres nativos, esas variaciones deben incluirse en los datos publicados y en los datos intercambiados con otras Oficinas.</w:t>
      </w:r>
    </w:p>
    <w:p w14:paraId="63142EEB" w14:textId="4869ED96" w:rsidR="008D2089" w:rsidRPr="00765953" w:rsidRDefault="008D2089" w:rsidP="004C48C5">
      <w:pPr>
        <w:pStyle w:val="ListParagraph"/>
        <w:spacing w:after="200" w:line="240" w:lineRule="auto"/>
        <w:ind w:left="0"/>
        <w:contextualSpacing w:val="0"/>
        <w:jc w:val="both"/>
        <w:rPr>
          <w:sz w:val="17"/>
          <w:szCs w:val="17"/>
        </w:rPr>
      </w:pPr>
      <w:r>
        <w:rPr>
          <w:sz w:val="17"/>
        </w:rPr>
        <w:t>22.</w:t>
      </w:r>
      <w:r>
        <w:rPr>
          <w:sz w:val="17"/>
        </w:rPr>
        <w:tab/>
        <w:t>Si una Oficina utiliza números de identificación para distinguir las entidades, estos se deberán incluir en los datos que publique y en los que intercambie con otras Oficinas de PI.</w:t>
      </w:r>
      <w:r w:rsidR="004C48C5">
        <w:rPr>
          <w:sz w:val="17"/>
        </w:rPr>
        <w:t xml:space="preserve"> </w:t>
      </w:r>
      <w:r>
        <w:rPr>
          <w:sz w:val="17"/>
        </w:rPr>
        <w:t>Si los números de identificación son confidenciales y no pueden compartirse, la Oficina deberá indicar qué datos de los clientes utilizan esos números de identificación, por ejemplo, sustituyéndolos por números únicos generados para su publicación.</w:t>
      </w:r>
    </w:p>
    <w:p w14:paraId="45A0B397" w14:textId="56BFCA3F" w:rsidR="008D2089" w:rsidRPr="000E176E" w:rsidRDefault="008D2089" w:rsidP="004C48C5">
      <w:pPr>
        <w:pStyle w:val="Heading1"/>
        <w:spacing w:line="240" w:lineRule="auto"/>
        <w:rPr>
          <w:b/>
          <w:szCs w:val="17"/>
        </w:rPr>
      </w:pPr>
      <w:bookmarkStart w:id="13" w:name="_Toc173934238"/>
      <w:r>
        <w:t>FINES ESTADÍSTICOS</w:t>
      </w:r>
      <w:bookmarkEnd w:id="13"/>
    </w:p>
    <w:p w14:paraId="74F95191" w14:textId="15A27D8A" w:rsidR="008D2089" w:rsidRPr="00765953" w:rsidRDefault="008D2089" w:rsidP="004C48C5">
      <w:pPr>
        <w:pStyle w:val="ListParagraph"/>
        <w:spacing w:after="200" w:line="240" w:lineRule="auto"/>
        <w:ind w:left="0"/>
        <w:contextualSpacing w:val="0"/>
        <w:jc w:val="both"/>
        <w:rPr>
          <w:sz w:val="17"/>
          <w:szCs w:val="17"/>
        </w:rPr>
      </w:pPr>
      <w:r>
        <w:rPr>
          <w:sz w:val="17"/>
        </w:rPr>
        <w:t>23.</w:t>
      </w:r>
      <w:r>
        <w:rPr>
          <w:sz w:val="17"/>
        </w:rPr>
        <w:tab/>
        <w:t>Con fines estadísticos, las Oficinas de PI podrán intentar cotejar los datos de los clientes con variaciones en los nombres u otros campos para obtener recuentos más precisos.</w:t>
      </w:r>
      <w:r w:rsidR="004C48C5">
        <w:rPr>
          <w:sz w:val="17"/>
        </w:rPr>
        <w:t xml:space="preserve"> </w:t>
      </w:r>
      <w:r>
        <w:rPr>
          <w:sz w:val="17"/>
        </w:rPr>
        <w:t>En esos casos, las Oficinas deberán publicar su estrategia o algoritmo de correspondencia junto con los resultados estadísticos para que otras personas puedan entender la metodología utilizada.</w:t>
      </w:r>
    </w:p>
    <w:p w14:paraId="16BEBBB7" w14:textId="77777777" w:rsidR="008D2089" w:rsidRPr="00765953" w:rsidRDefault="008D2089" w:rsidP="004C48C5">
      <w:pPr>
        <w:spacing w:line="240" w:lineRule="auto"/>
        <w:rPr>
          <w:sz w:val="17"/>
          <w:szCs w:val="17"/>
        </w:rPr>
      </w:pPr>
    </w:p>
    <w:p w14:paraId="0F1DD89E" w14:textId="2101FD15" w:rsidR="00A143FD" w:rsidRPr="000E176E" w:rsidRDefault="00765953" w:rsidP="004C48C5">
      <w:pPr>
        <w:pStyle w:val="Heading2"/>
        <w:spacing w:line="240" w:lineRule="auto"/>
        <w:rPr>
          <w:sz w:val="17"/>
          <w:szCs w:val="17"/>
        </w:rPr>
      </w:pPr>
      <w:bookmarkStart w:id="14" w:name="_Toc173934239"/>
      <w:r>
        <w:rPr>
          <w:sz w:val="17"/>
        </w:rPr>
        <w:t>Referencias</w:t>
      </w:r>
      <w:bookmarkEnd w:id="14"/>
    </w:p>
    <w:p w14:paraId="6456D4C3" w14:textId="0850AA8F" w:rsidR="00765953" w:rsidRDefault="00B957DA" w:rsidP="004C48C5">
      <w:pPr>
        <w:spacing w:line="240" w:lineRule="auto"/>
        <w:rPr>
          <w:sz w:val="17"/>
          <w:szCs w:val="17"/>
        </w:rPr>
      </w:pPr>
      <w:r>
        <w:rPr>
          <w:sz w:val="17"/>
        </w:rPr>
        <w:t>24.</w:t>
      </w:r>
      <w:r>
        <w:rPr>
          <w:sz w:val="17"/>
        </w:rPr>
        <w:tab/>
        <w:t>Las referencias a la siguiente norma son pertinentes para la siguiente norma:</w:t>
      </w:r>
    </w:p>
    <w:p w14:paraId="5CADA9CE" w14:textId="2D40A4B8" w:rsidR="00765953" w:rsidRPr="000E176E" w:rsidRDefault="00765953" w:rsidP="004C48C5">
      <w:pPr>
        <w:spacing w:after="600" w:line="240" w:lineRule="auto"/>
        <w:rPr>
          <w:sz w:val="17"/>
          <w:szCs w:val="17"/>
        </w:rPr>
      </w:pPr>
      <w:r>
        <w:rPr>
          <w:sz w:val="17"/>
        </w:rPr>
        <w:t xml:space="preserve">Norma </w:t>
      </w:r>
      <w:hyperlink r:id="rId10" w:history="1">
        <w:r>
          <w:rPr>
            <w:rStyle w:val="Hyperlink"/>
            <w:sz w:val="17"/>
          </w:rPr>
          <w:t>ST.20</w:t>
        </w:r>
      </w:hyperlink>
      <w:r>
        <w:rPr>
          <w:sz w:val="17"/>
        </w:rPr>
        <w:t xml:space="preserve"> de la OMPI</w:t>
      </w:r>
      <w:r>
        <w:rPr>
          <w:sz w:val="17"/>
        </w:rPr>
        <w:tab/>
        <w:t>Preparación de índices de nombres propios de los documentos de patente</w:t>
      </w:r>
    </w:p>
    <w:p w14:paraId="098896DD" w14:textId="4F6A290F" w:rsidR="006F3935" w:rsidRPr="00765953" w:rsidRDefault="000A37EB" w:rsidP="004C48C5">
      <w:pPr>
        <w:spacing w:line="240" w:lineRule="auto"/>
        <w:ind w:left="5126"/>
        <w:jc w:val="right"/>
        <w:rPr>
          <w:sz w:val="17"/>
          <w:szCs w:val="17"/>
        </w:rPr>
        <w:sectPr w:rsidR="006F3935" w:rsidRPr="00765953" w:rsidSect="000E176E">
          <w:headerReference w:type="even" r:id="rId11"/>
          <w:headerReference w:type="default" r:id="rId12"/>
          <w:footerReference w:type="even" r:id="rId13"/>
          <w:headerReference w:type="first" r:id="rId14"/>
          <w:pgSz w:w="11907" w:h="16840" w:code="9"/>
          <w:pgMar w:top="1411" w:right="1411" w:bottom="1411" w:left="1411" w:header="706" w:footer="706" w:gutter="0"/>
          <w:cols w:space="720"/>
          <w:titlePg/>
          <w:docGrid w:linePitch="326"/>
        </w:sectPr>
      </w:pPr>
      <w:r>
        <w:rPr>
          <w:sz w:val="17"/>
        </w:rPr>
        <w:t>[Sigue el Anexo a la norma propuesta].</w:t>
      </w:r>
    </w:p>
    <w:p w14:paraId="519753FA" w14:textId="0E33A223" w:rsidR="00E27864" w:rsidRPr="00765953" w:rsidRDefault="00E27864" w:rsidP="004C48C5">
      <w:pPr>
        <w:spacing w:line="240" w:lineRule="auto"/>
        <w:rPr>
          <w:sz w:val="17"/>
          <w:szCs w:val="17"/>
        </w:rPr>
      </w:pPr>
    </w:p>
    <w:p w14:paraId="3EDECDCC" w14:textId="26D9B516" w:rsidR="00462B59" w:rsidRPr="000E176E" w:rsidRDefault="00462B59" w:rsidP="004C48C5">
      <w:pPr>
        <w:pStyle w:val="Heading1"/>
        <w:spacing w:line="240" w:lineRule="auto"/>
        <w:jc w:val="center"/>
        <w:rPr>
          <w:b/>
          <w:szCs w:val="17"/>
        </w:rPr>
      </w:pPr>
      <w:bookmarkStart w:id="15" w:name="_ANNEX_I"/>
      <w:bookmarkStart w:id="16" w:name="_Toc58494566"/>
      <w:bookmarkStart w:id="17" w:name="_Toc173934240"/>
      <w:bookmarkEnd w:id="15"/>
      <w:r>
        <w:t>ANEXO</w:t>
      </w:r>
      <w:bookmarkEnd w:id="16"/>
      <w:bookmarkEnd w:id="17"/>
    </w:p>
    <w:p w14:paraId="51559E20" w14:textId="3CD8329E" w:rsidR="002A5D77" w:rsidRPr="00765953" w:rsidRDefault="007F45C1" w:rsidP="004C48C5">
      <w:pPr>
        <w:spacing w:line="240" w:lineRule="auto"/>
        <w:jc w:val="center"/>
        <w:rPr>
          <w:caps/>
          <w:sz w:val="17"/>
          <w:szCs w:val="17"/>
        </w:rPr>
      </w:pPr>
      <w:r>
        <w:rPr>
          <w:caps/>
          <w:sz w:val="17"/>
        </w:rPr>
        <w:t xml:space="preserve">Diferentes métodos de transformación de nombres </w:t>
      </w:r>
    </w:p>
    <w:p w14:paraId="5E491678" w14:textId="77777777" w:rsidR="002A5D77" w:rsidRPr="00765953" w:rsidRDefault="002A5D77" w:rsidP="004C48C5">
      <w:pPr>
        <w:spacing w:line="240" w:lineRule="auto"/>
        <w:jc w:val="center"/>
        <w:rPr>
          <w:caps/>
          <w:sz w:val="17"/>
          <w:szCs w:val="17"/>
        </w:rPr>
      </w:pPr>
    </w:p>
    <w:p w14:paraId="18651873" w14:textId="21F783CB" w:rsidR="008C30D1" w:rsidRPr="00AD5BC4" w:rsidRDefault="008C30D1" w:rsidP="004C48C5">
      <w:pPr>
        <w:pStyle w:val="ListParagraph"/>
        <w:spacing w:after="200" w:line="240" w:lineRule="auto"/>
        <w:ind w:left="0"/>
        <w:contextualSpacing w:val="0"/>
        <w:rPr>
          <w:sz w:val="17"/>
          <w:szCs w:val="17"/>
        </w:rPr>
      </w:pPr>
      <w:r>
        <w:rPr>
          <w:sz w:val="17"/>
        </w:rPr>
        <w:t>Aunque la transliteración y la transcripción son conceptos diferentes desde una perspectiva lingüística, el resultado suele ser muy similar para los sistemas de escritura basados en caracteres.</w:t>
      </w:r>
      <w:r w:rsidR="004C48C5">
        <w:rPr>
          <w:sz w:val="17"/>
        </w:rPr>
        <w:t xml:space="preserve"> </w:t>
      </w:r>
      <w:r>
        <w:rPr>
          <w:sz w:val="17"/>
        </w:rPr>
        <w:t>Sin embargo, la transcripción proporciona un resultado más práctico, ya que para la conversión solo se necesitan los caracteres estándar de la lengua de destino.</w:t>
      </w:r>
    </w:p>
    <w:p w14:paraId="7967AF0B" w14:textId="05C52A9B" w:rsidR="008C30D1" w:rsidRPr="00765953" w:rsidRDefault="00345A57" w:rsidP="004C48C5">
      <w:pPr>
        <w:pStyle w:val="ListParagraph"/>
        <w:spacing w:after="200" w:line="240" w:lineRule="auto"/>
        <w:ind w:left="0"/>
        <w:contextualSpacing w:val="0"/>
        <w:rPr>
          <w:sz w:val="17"/>
          <w:szCs w:val="17"/>
        </w:rPr>
      </w:pPr>
      <w:r>
        <w:rPr>
          <w:sz w:val="17"/>
        </w:rPr>
        <w:t>El inglés es un idioma que se adopta como lengua común entre hablantes cuyas lenguas maternas son diferentes, si bien suele pasarse por alto que la transcripción entre dos lenguas rara vez está estandarizada.</w:t>
      </w:r>
      <w:r w:rsidR="004C48C5">
        <w:rPr>
          <w:sz w:val="17"/>
        </w:rPr>
        <w:t xml:space="preserve"> </w:t>
      </w:r>
      <w:r>
        <w:rPr>
          <w:sz w:val="17"/>
        </w:rPr>
        <w:t>En el mejor de los casos existen definiciones oficiales para [xx] -&gt; [en] que llevan a suponer que [xx] -&gt; [en] -&gt; [yy] es igual a [xx] -&gt; [yy], lo que no suele ser correcto.</w:t>
      </w:r>
    </w:p>
    <w:p w14:paraId="5C4C798C" w14:textId="307854E5" w:rsidR="008C30D1" w:rsidRPr="00765953" w:rsidRDefault="008C30D1" w:rsidP="004C48C5">
      <w:pPr>
        <w:pStyle w:val="Heading1"/>
        <w:spacing w:line="240" w:lineRule="auto"/>
      </w:pPr>
      <w:bookmarkStart w:id="18" w:name="_Toc173934241"/>
      <w:r>
        <w:t>Ejemplos de transliteración:</w:t>
      </w:r>
      <w:r w:rsidR="00BE355A" w:rsidRPr="00765953">
        <w:rPr>
          <w:rStyle w:val="FootnoteReference"/>
          <w:szCs w:val="17"/>
        </w:rPr>
        <w:footnoteReference w:id="3"/>
      </w:r>
      <w:bookmarkEnd w:id="18"/>
    </w:p>
    <w:p w14:paraId="135DAB70" w14:textId="7C52512E" w:rsidR="009F181F" w:rsidRPr="00765953" w:rsidRDefault="009F181F" w:rsidP="004C48C5">
      <w:pPr>
        <w:spacing w:line="240" w:lineRule="auto"/>
        <w:rPr>
          <w:sz w:val="17"/>
          <w:szCs w:val="17"/>
        </w:rPr>
      </w:pPr>
      <w:r>
        <w:rPr>
          <w:sz w:val="17"/>
        </w:rPr>
        <w:t>En la figura 1 se muestra un ejemplo de correspondencia de las letras y observaciones relativas a la transliteración.</w:t>
      </w:r>
    </w:p>
    <w:p w14:paraId="7CDFC8B9" w14:textId="3AAF68E1" w:rsidR="008C30D1" w:rsidRPr="00765953" w:rsidRDefault="00B07FB1" w:rsidP="004C48C5">
      <w:pPr>
        <w:pStyle w:val="ListParagraph"/>
        <w:spacing w:after="200" w:line="240" w:lineRule="auto"/>
        <w:ind w:left="0"/>
        <w:contextualSpacing w:val="0"/>
        <w:rPr>
          <w:sz w:val="17"/>
          <w:szCs w:val="17"/>
        </w:rPr>
      </w:pPr>
      <w:r>
        <w:rPr>
          <w:noProof/>
          <w:sz w:val="17"/>
        </w:rPr>
        <w:drawing>
          <wp:inline distT="0" distB="0" distL="0" distR="0" wp14:anchorId="7E1FA2EE" wp14:editId="6D40C5D1">
            <wp:extent cx="4228571" cy="2561905"/>
            <wp:effectExtent l="0" t="0" r="635" b="0"/>
            <wp:docPr id="1" name="Picture 1" descr="Ejemplo d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228571" cy="2561905"/>
                    </a:xfrm>
                    <a:prstGeom prst="rect">
                      <a:avLst/>
                    </a:prstGeom>
                  </pic:spPr>
                </pic:pic>
              </a:graphicData>
            </a:graphic>
          </wp:inline>
        </w:drawing>
      </w:r>
    </w:p>
    <w:p w14:paraId="1A4149D3" w14:textId="56C92AC7" w:rsidR="009F181F" w:rsidRPr="000E176E" w:rsidRDefault="009F181F" w:rsidP="004C48C5">
      <w:pPr>
        <w:pStyle w:val="Caption"/>
        <w:spacing w:line="240" w:lineRule="auto"/>
        <w:rPr>
          <w:b w:val="0"/>
          <w:bCs w:val="0"/>
          <w:sz w:val="17"/>
          <w:szCs w:val="17"/>
        </w:rPr>
      </w:pPr>
      <w:bookmarkStart w:id="19" w:name="_Ref148630193"/>
      <w:r>
        <w:rPr>
          <w:b w:val="0"/>
          <w:sz w:val="17"/>
        </w:rPr>
        <w:t xml:space="preserve">Figura </w:t>
      </w:r>
      <w:r w:rsidRPr="000E176E">
        <w:rPr>
          <w:b w:val="0"/>
          <w:sz w:val="17"/>
        </w:rPr>
        <w:fldChar w:fldCharType="begin"/>
      </w:r>
      <w:r w:rsidRPr="000E176E">
        <w:rPr>
          <w:b w:val="0"/>
          <w:sz w:val="17"/>
        </w:rPr>
        <w:instrText xml:space="preserve"> SEQ Figure \* ARABIC </w:instrText>
      </w:r>
      <w:r w:rsidRPr="000E176E">
        <w:rPr>
          <w:b w:val="0"/>
          <w:sz w:val="17"/>
        </w:rPr>
        <w:fldChar w:fldCharType="separate"/>
      </w:r>
      <w:r w:rsidR="001F7AA5">
        <w:rPr>
          <w:b w:val="0"/>
          <w:noProof/>
          <w:sz w:val="17"/>
        </w:rPr>
        <w:t>1</w:t>
      </w:r>
      <w:r w:rsidRPr="000E176E">
        <w:rPr>
          <w:b w:val="0"/>
          <w:sz w:val="17"/>
        </w:rPr>
        <w:fldChar w:fldCharType="end"/>
      </w:r>
      <w:bookmarkEnd w:id="19"/>
      <w:r>
        <w:rPr>
          <w:b w:val="0"/>
          <w:sz w:val="17"/>
        </w:rPr>
        <w:t>: Ejemplo de transliteración</w:t>
      </w:r>
    </w:p>
    <w:p w14:paraId="30244B62" w14:textId="77777777" w:rsidR="008C30D1" w:rsidRPr="00765953" w:rsidRDefault="008C30D1" w:rsidP="004C48C5">
      <w:pPr>
        <w:pStyle w:val="ListParagraph"/>
        <w:spacing w:after="200" w:line="240" w:lineRule="auto"/>
        <w:ind w:left="0"/>
        <w:contextualSpacing w:val="0"/>
        <w:jc w:val="both"/>
        <w:rPr>
          <w:sz w:val="17"/>
          <w:szCs w:val="17"/>
        </w:rPr>
      </w:pPr>
    </w:p>
    <w:p w14:paraId="4D6AECAB" w14:textId="77777777" w:rsidR="000E176E" w:rsidRDefault="000E176E" w:rsidP="004C48C5">
      <w:pPr>
        <w:spacing w:line="240" w:lineRule="auto"/>
        <w:rPr>
          <w:bCs/>
          <w:caps/>
          <w:kern w:val="32"/>
          <w:sz w:val="17"/>
          <w:szCs w:val="17"/>
        </w:rPr>
      </w:pPr>
      <w:r>
        <w:br w:type="page"/>
      </w:r>
    </w:p>
    <w:p w14:paraId="03E7CC03" w14:textId="29EEE8EF" w:rsidR="009F181F" w:rsidRPr="00765953" w:rsidRDefault="008C30D1" w:rsidP="004C48C5">
      <w:pPr>
        <w:pStyle w:val="Heading1"/>
        <w:spacing w:line="240" w:lineRule="auto"/>
      </w:pPr>
      <w:bookmarkStart w:id="20" w:name="_Toc173934242"/>
      <w:r>
        <w:lastRenderedPageBreak/>
        <w:t>Ejemplos de transcripción:</w:t>
      </w:r>
      <w:bookmarkEnd w:id="20"/>
    </w:p>
    <w:p w14:paraId="6A0CFE22" w14:textId="1A365D0A" w:rsidR="00027BF3" w:rsidRPr="00765953" w:rsidRDefault="00027BF3" w:rsidP="004C48C5">
      <w:pPr>
        <w:spacing w:line="240" w:lineRule="auto"/>
        <w:rPr>
          <w:sz w:val="17"/>
          <w:szCs w:val="17"/>
        </w:rPr>
      </w:pPr>
      <w:r>
        <w:rPr>
          <w:sz w:val="17"/>
        </w:rPr>
        <w:t>A continuación se muestran ejemplos en los que la transcripción puede dar lugar a imprecisiones:</w:t>
      </w:r>
    </w:p>
    <w:p w14:paraId="13CBD155" w14:textId="794C3299" w:rsidR="008C30D1" w:rsidRPr="001F7AA5" w:rsidRDefault="008C30D1" w:rsidP="004C48C5">
      <w:pPr>
        <w:pStyle w:val="ListParagraph"/>
        <w:spacing w:after="200" w:line="240" w:lineRule="auto"/>
        <w:ind w:left="0"/>
        <w:contextualSpacing w:val="0"/>
        <w:jc w:val="both"/>
        <w:rPr>
          <w:sz w:val="17"/>
          <w:szCs w:val="17"/>
          <w:lang w:val="de-DE"/>
        </w:rPr>
      </w:pPr>
      <w:r w:rsidRPr="001F7AA5">
        <w:rPr>
          <w:sz w:val="17"/>
          <w:lang w:val="de-DE"/>
        </w:rPr>
        <w:t xml:space="preserve">[ru]: </w:t>
      </w:r>
      <w:r>
        <w:rPr>
          <w:sz w:val="17"/>
        </w:rPr>
        <w:t>Ш</w:t>
      </w:r>
      <w:r w:rsidRPr="001F7AA5">
        <w:rPr>
          <w:sz w:val="17"/>
          <w:lang w:val="de-DE"/>
        </w:rPr>
        <w:t xml:space="preserve"> → [de]: sch</w:t>
      </w:r>
      <w:r w:rsidR="00F1455E" w:rsidRPr="00765953">
        <w:rPr>
          <w:rStyle w:val="FootnoteReference"/>
          <w:sz w:val="17"/>
          <w:szCs w:val="17"/>
        </w:rPr>
        <w:footnoteReference w:id="4"/>
      </w:r>
    </w:p>
    <w:p w14:paraId="0D2A78EF" w14:textId="46B60FCD" w:rsidR="008C30D1" w:rsidRPr="001F7AA5" w:rsidRDefault="008C30D1" w:rsidP="004C48C5">
      <w:pPr>
        <w:pStyle w:val="ListParagraph"/>
        <w:spacing w:after="200" w:line="240" w:lineRule="auto"/>
        <w:ind w:left="0"/>
        <w:contextualSpacing w:val="0"/>
        <w:jc w:val="both"/>
        <w:rPr>
          <w:sz w:val="17"/>
          <w:szCs w:val="17"/>
          <w:lang w:val="de-DE"/>
        </w:rPr>
      </w:pPr>
      <w:r w:rsidRPr="001F7AA5">
        <w:rPr>
          <w:sz w:val="17"/>
          <w:lang w:val="de-DE"/>
        </w:rPr>
        <w:t xml:space="preserve">[ru]: </w:t>
      </w:r>
      <w:r>
        <w:rPr>
          <w:sz w:val="17"/>
        </w:rPr>
        <w:t>Ш</w:t>
      </w:r>
      <w:r w:rsidRPr="001F7AA5">
        <w:rPr>
          <w:sz w:val="17"/>
          <w:lang w:val="de-DE"/>
        </w:rPr>
        <w:t xml:space="preserve"> → [en]: sh</w:t>
      </w:r>
    </w:p>
    <w:p w14:paraId="316E0E24" w14:textId="5189133F" w:rsidR="008C30D1" w:rsidRPr="00960987" w:rsidRDefault="008C30D1" w:rsidP="004C48C5">
      <w:pPr>
        <w:pStyle w:val="ListParagraph"/>
        <w:spacing w:after="200" w:line="240" w:lineRule="auto"/>
        <w:ind w:left="0"/>
        <w:contextualSpacing w:val="0"/>
        <w:jc w:val="both"/>
        <w:rPr>
          <w:sz w:val="17"/>
          <w:szCs w:val="17"/>
        </w:rPr>
      </w:pPr>
      <w:r>
        <w:rPr>
          <w:sz w:val="17"/>
        </w:rPr>
        <w:t xml:space="preserve">[ko]: </w:t>
      </w:r>
      <w:r>
        <w:rPr>
          <w:sz w:val="17"/>
        </w:rPr>
        <w:t>ㅑ</w:t>
      </w:r>
      <w:r>
        <w:rPr>
          <w:sz w:val="17"/>
        </w:rPr>
        <w:t>→ [de]: ja</w:t>
      </w:r>
      <w:r w:rsidR="00F1455E" w:rsidRPr="00765953">
        <w:rPr>
          <w:rStyle w:val="FootnoteReference"/>
          <w:sz w:val="17"/>
          <w:szCs w:val="17"/>
        </w:rPr>
        <w:footnoteReference w:id="5"/>
      </w:r>
      <w:r>
        <w:rPr>
          <w:sz w:val="17"/>
        </w:rPr>
        <w:t xml:space="preserve"> </w:t>
      </w:r>
    </w:p>
    <w:p w14:paraId="66214016" w14:textId="12B447AF" w:rsidR="008C30D1" w:rsidRPr="00960987" w:rsidRDefault="008C30D1" w:rsidP="004C48C5">
      <w:pPr>
        <w:pStyle w:val="ListParagraph"/>
        <w:spacing w:after="200" w:line="240" w:lineRule="auto"/>
        <w:ind w:left="0"/>
        <w:contextualSpacing w:val="0"/>
        <w:jc w:val="both"/>
        <w:rPr>
          <w:sz w:val="17"/>
          <w:szCs w:val="17"/>
        </w:rPr>
      </w:pPr>
      <w:r>
        <w:rPr>
          <w:sz w:val="17"/>
        </w:rPr>
        <w:t xml:space="preserve">[ko]: </w:t>
      </w:r>
      <w:r>
        <w:rPr>
          <w:sz w:val="17"/>
        </w:rPr>
        <w:t>ㅑ</w:t>
      </w:r>
      <w:r>
        <w:rPr>
          <w:sz w:val="17"/>
        </w:rPr>
        <w:t>→ [en]: ya</w:t>
      </w:r>
    </w:p>
    <w:p w14:paraId="24A470FF" w14:textId="68CD85FB" w:rsidR="008C30D1" w:rsidRPr="00960987" w:rsidRDefault="008C30D1" w:rsidP="004C48C5">
      <w:pPr>
        <w:pStyle w:val="ListParagraph"/>
        <w:spacing w:after="200" w:line="240" w:lineRule="auto"/>
        <w:ind w:left="0"/>
        <w:contextualSpacing w:val="0"/>
        <w:jc w:val="both"/>
        <w:rPr>
          <w:sz w:val="17"/>
          <w:szCs w:val="17"/>
        </w:rPr>
      </w:pPr>
      <w:r>
        <w:rPr>
          <w:sz w:val="17"/>
        </w:rPr>
        <w:t>[gr] : Ω → latín: O</w:t>
      </w:r>
      <w:r w:rsidR="00F1455E" w:rsidRPr="00765953">
        <w:rPr>
          <w:rStyle w:val="FootnoteReference"/>
          <w:sz w:val="17"/>
          <w:szCs w:val="17"/>
        </w:rPr>
        <w:footnoteReference w:id="6"/>
      </w:r>
    </w:p>
    <w:p w14:paraId="538FBAC8" w14:textId="12AE2E65" w:rsidR="008C30D1" w:rsidRPr="00960987" w:rsidRDefault="008C30D1" w:rsidP="004C48C5">
      <w:pPr>
        <w:pStyle w:val="ListParagraph"/>
        <w:spacing w:after="200" w:line="240" w:lineRule="auto"/>
        <w:ind w:left="0"/>
        <w:contextualSpacing w:val="0"/>
        <w:jc w:val="both"/>
        <w:rPr>
          <w:sz w:val="17"/>
          <w:szCs w:val="17"/>
        </w:rPr>
      </w:pPr>
      <w:r>
        <w:rPr>
          <w:sz w:val="17"/>
        </w:rPr>
        <w:t xml:space="preserve">[da]: Æ → [de]: Ä o AE, [en]: AE </w:t>
      </w:r>
      <w:r w:rsidR="00F1455E" w:rsidRPr="00765953">
        <w:rPr>
          <w:rStyle w:val="FootnoteReference"/>
          <w:sz w:val="17"/>
          <w:szCs w:val="17"/>
        </w:rPr>
        <w:footnoteReference w:id="7"/>
      </w:r>
    </w:p>
    <w:p w14:paraId="4BFD63D2" w14:textId="77777777" w:rsidR="008C30D1" w:rsidRPr="00960987" w:rsidRDefault="008C30D1" w:rsidP="004C48C5">
      <w:pPr>
        <w:pStyle w:val="ListParagraph"/>
        <w:spacing w:after="200" w:line="240" w:lineRule="auto"/>
        <w:ind w:left="0"/>
        <w:contextualSpacing w:val="0"/>
        <w:jc w:val="both"/>
        <w:rPr>
          <w:sz w:val="17"/>
          <w:szCs w:val="17"/>
        </w:rPr>
      </w:pPr>
    </w:p>
    <w:p w14:paraId="52EB4EF9" w14:textId="189986EB" w:rsidR="008C30D1" w:rsidRPr="00765953" w:rsidRDefault="008C30D1" w:rsidP="004C48C5">
      <w:pPr>
        <w:pStyle w:val="Heading1"/>
        <w:spacing w:line="240" w:lineRule="auto"/>
        <w:rPr>
          <w:b/>
        </w:rPr>
      </w:pPr>
      <w:bookmarkStart w:id="21" w:name="_Toc173934243"/>
      <w:r>
        <w:t>Ejemplos de traducción:</w:t>
      </w:r>
      <w:bookmarkEnd w:id="21"/>
    </w:p>
    <w:p w14:paraId="54D99314" w14:textId="0904E929" w:rsidR="00540F9C" w:rsidRPr="00765953" w:rsidRDefault="00540F9C" w:rsidP="004C48C5">
      <w:pPr>
        <w:spacing w:line="240" w:lineRule="auto"/>
        <w:rPr>
          <w:sz w:val="17"/>
          <w:szCs w:val="17"/>
        </w:rPr>
      </w:pPr>
      <w:r>
        <w:rPr>
          <w:sz w:val="17"/>
        </w:rPr>
        <w:t>En el primer ejemplo, está claro que la traducción directa puede dar lugar a problemas:</w:t>
      </w:r>
    </w:p>
    <w:p w14:paraId="28417E93" w14:textId="63BA2E13" w:rsidR="008C30D1" w:rsidRPr="001F7AA5" w:rsidRDefault="008C30D1" w:rsidP="004C48C5">
      <w:pPr>
        <w:pStyle w:val="ListParagraph"/>
        <w:spacing w:after="200" w:line="240" w:lineRule="auto"/>
        <w:ind w:left="0"/>
        <w:contextualSpacing w:val="0"/>
        <w:jc w:val="both"/>
        <w:rPr>
          <w:sz w:val="17"/>
          <w:szCs w:val="17"/>
          <w:lang w:val="de-DE"/>
        </w:rPr>
      </w:pPr>
      <w:r w:rsidRPr="001F7AA5">
        <w:rPr>
          <w:sz w:val="17"/>
          <w:lang w:val="de-DE"/>
        </w:rPr>
        <w:t>[de]: Aktiengesellschaft → [en]: corporation, stock co, …</w:t>
      </w:r>
    </w:p>
    <w:p w14:paraId="73A19841" w14:textId="435484D6" w:rsidR="008C30D1" w:rsidRPr="001F7AA5" w:rsidRDefault="008C30D1" w:rsidP="004C48C5">
      <w:pPr>
        <w:pStyle w:val="ListParagraph"/>
        <w:spacing w:after="200" w:line="240" w:lineRule="auto"/>
        <w:ind w:left="0"/>
        <w:contextualSpacing w:val="0"/>
        <w:jc w:val="both"/>
        <w:rPr>
          <w:sz w:val="17"/>
          <w:szCs w:val="17"/>
          <w:lang w:val="en-US"/>
        </w:rPr>
      </w:pPr>
      <w:r w:rsidRPr="001F7AA5">
        <w:rPr>
          <w:sz w:val="17"/>
          <w:lang w:val="en-US"/>
        </w:rPr>
        <w:t xml:space="preserve">[ru]: </w:t>
      </w:r>
      <w:r>
        <w:rPr>
          <w:sz w:val="17"/>
        </w:rPr>
        <w:t>ОАО</w:t>
      </w:r>
      <w:r w:rsidRPr="001F7AA5">
        <w:rPr>
          <w:sz w:val="17"/>
          <w:lang w:val="en-US"/>
        </w:rPr>
        <w:t xml:space="preserve"> </w:t>
      </w:r>
      <w:r>
        <w:rPr>
          <w:sz w:val="17"/>
        </w:rPr>
        <w:t>Силовы</w:t>
      </w:r>
      <w:r w:rsidRPr="001F7AA5">
        <w:rPr>
          <w:sz w:val="17"/>
          <w:lang w:val="en-US"/>
        </w:rPr>
        <w:t>́</w:t>
      </w:r>
      <w:r>
        <w:rPr>
          <w:sz w:val="17"/>
        </w:rPr>
        <w:t>е</w:t>
      </w:r>
      <w:r w:rsidRPr="001F7AA5">
        <w:rPr>
          <w:sz w:val="17"/>
          <w:lang w:val="en-US"/>
        </w:rPr>
        <w:t xml:space="preserve"> </w:t>
      </w:r>
      <w:r>
        <w:rPr>
          <w:sz w:val="17"/>
        </w:rPr>
        <w:t>маши</w:t>
      </w:r>
      <w:r w:rsidRPr="001F7AA5">
        <w:rPr>
          <w:sz w:val="17"/>
          <w:lang w:val="en-US"/>
        </w:rPr>
        <w:t>́</w:t>
      </w:r>
      <w:r>
        <w:rPr>
          <w:sz w:val="17"/>
        </w:rPr>
        <w:t>ны</w:t>
      </w:r>
      <w:r w:rsidRPr="001F7AA5">
        <w:rPr>
          <w:sz w:val="17"/>
          <w:lang w:val="en-US"/>
        </w:rPr>
        <w:t xml:space="preserve"> → [en] : OJSC “Power Machines” - O bien - [en]: Open Joint-stock Company “Power Machines”</w:t>
      </w:r>
    </w:p>
    <w:p w14:paraId="0F7F0701" w14:textId="1BDBECB5" w:rsidR="008C30D1" w:rsidRPr="001F7AA5" w:rsidRDefault="008C30D1" w:rsidP="004C48C5">
      <w:pPr>
        <w:pStyle w:val="ListParagraph"/>
        <w:spacing w:after="200" w:line="240" w:lineRule="auto"/>
        <w:ind w:left="0"/>
        <w:contextualSpacing w:val="0"/>
        <w:jc w:val="both"/>
        <w:rPr>
          <w:sz w:val="17"/>
          <w:szCs w:val="17"/>
          <w:lang w:val="en-US"/>
        </w:rPr>
      </w:pPr>
    </w:p>
    <w:p w14:paraId="173C5C4D" w14:textId="61578E50" w:rsidR="008C30D1" w:rsidRPr="00765953" w:rsidRDefault="00540F9C" w:rsidP="004C48C5">
      <w:pPr>
        <w:pStyle w:val="ListParagraph"/>
        <w:spacing w:after="200" w:line="240" w:lineRule="auto"/>
        <w:ind w:left="0"/>
        <w:contextualSpacing w:val="0"/>
        <w:jc w:val="both"/>
        <w:rPr>
          <w:sz w:val="17"/>
          <w:szCs w:val="17"/>
        </w:rPr>
      </w:pPr>
      <w:r>
        <w:rPr>
          <w:sz w:val="17"/>
        </w:rPr>
        <w:t xml:space="preserve">La figura 2 muestra casos límite típicos de romanización del nombre de una empresa china: </w:t>
      </w:r>
    </w:p>
    <w:p w14:paraId="01ADAC86" w14:textId="39898B74" w:rsidR="008C30D1" w:rsidRPr="00765953" w:rsidRDefault="008C30D1" w:rsidP="004C48C5">
      <w:pPr>
        <w:pStyle w:val="ListParagraph"/>
        <w:numPr>
          <w:ilvl w:val="0"/>
          <w:numId w:val="41"/>
        </w:numPr>
        <w:spacing w:after="200" w:line="240" w:lineRule="auto"/>
        <w:contextualSpacing w:val="0"/>
        <w:jc w:val="both"/>
        <w:rPr>
          <w:sz w:val="17"/>
          <w:szCs w:val="17"/>
        </w:rPr>
      </w:pPr>
      <w:r>
        <w:rPr>
          <w:sz w:val="17"/>
        </w:rPr>
        <w:t xml:space="preserve">[zh]: </w:t>
      </w:r>
      <w:r>
        <w:rPr>
          <w:sz w:val="17"/>
        </w:rPr>
        <w:t>北京东土科技股份有限公司</w:t>
      </w:r>
      <w:r w:rsidR="004C48C5">
        <w:rPr>
          <w:sz w:val="17"/>
        </w:rPr>
        <w:t xml:space="preserve"> </w:t>
      </w:r>
      <w:r>
        <w:rPr>
          <w:sz w:val="17"/>
        </w:rPr>
        <w:t>→ [en] transliteración (pinyin): běi jīng dōng tǔ kē jì gǔ fèn yǒu xiàn gōng sī ;</w:t>
      </w:r>
    </w:p>
    <w:p w14:paraId="7EC04D25" w14:textId="5C51261A" w:rsidR="008C30D1" w:rsidRPr="00765953" w:rsidRDefault="008C30D1" w:rsidP="004C48C5">
      <w:pPr>
        <w:pStyle w:val="ListParagraph"/>
        <w:numPr>
          <w:ilvl w:val="0"/>
          <w:numId w:val="41"/>
        </w:numPr>
        <w:spacing w:after="200" w:line="240" w:lineRule="auto"/>
        <w:contextualSpacing w:val="0"/>
        <w:jc w:val="both"/>
        <w:rPr>
          <w:sz w:val="17"/>
          <w:szCs w:val="17"/>
        </w:rPr>
      </w:pPr>
      <w:r>
        <w:rPr>
          <w:sz w:val="17"/>
        </w:rPr>
        <w:t xml:space="preserve">[zh]: </w:t>
      </w:r>
      <w:r>
        <w:rPr>
          <w:sz w:val="17"/>
        </w:rPr>
        <w:t>北京东土科技股份有限公司</w:t>
      </w:r>
      <w:r w:rsidR="004C48C5">
        <w:rPr>
          <w:sz w:val="17"/>
        </w:rPr>
        <w:t xml:space="preserve"> </w:t>
      </w:r>
      <w:r>
        <w:rPr>
          <w:sz w:val="17"/>
        </w:rPr>
        <w:t>→ [en] transcripción (pinyin): beijing dongtu keji gufen youxian gongsi</w:t>
      </w:r>
    </w:p>
    <w:p w14:paraId="325C74B0" w14:textId="2AE47FD9" w:rsidR="008C30D1" w:rsidRPr="001F7AA5" w:rsidRDefault="008C30D1" w:rsidP="004C48C5">
      <w:pPr>
        <w:pStyle w:val="ListParagraph"/>
        <w:numPr>
          <w:ilvl w:val="0"/>
          <w:numId w:val="41"/>
        </w:numPr>
        <w:spacing w:after="200" w:line="240" w:lineRule="auto"/>
        <w:contextualSpacing w:val="0"/>
        <w:rPr>
          <w:sz w:val="17"/>
          <w:szCs w:val="17"/>
          <w:lang w:val="en-US"/>
        </w:rPr>
      </w:pPr>
      <w:r w:rsidRPr="001F7AA5">
        <w:rPr>
          <w:sz w:val="17"/>
          <w:lang w:val="en-US"/>
        </w:rPr>
        <w:t xml:space="preserve">[zh]: </w:t>
      </w:r>
      <w:r>
        <w:rPr>
          <w:sz w:val="17"/>
        </w:rPr>
        <w:t>北京东土科技股份有限公司</w:t>
      </w:r>
      <w:r w:rsidR="004C48C5">
        <w:rPr>
          <w:sz w:val="17"/>
          <w:lang w:val="en-US"/>
        </w:rPr>
        <w:t xml:space="preserve"> </w:t>
      </w:r>
      <w:r w:rsidRPr="001F7AA5">
        <w:rPr>
          <w:sz w:val="17"/>
          <w:lang w:val="en-US"/>
        </w:rPr>
        <w:t>→ [en] traducción (inglés): Beijing, China Science and Technology Joint-stock Limited Company</w:t>
      </w:r>
    </w:p>
    <w:p w14:paraId="1FF5523D" w14:textId="55EBBEBA" w:rsidR="008C30D1" w:rsidRPr="001F7AA5" w:rsidRDefault="008C30D1" w:rsidP="004C48C5">
      <w:pPr>
        <w:pStyle w:val="ListParagraph"/>
        <w:numPr>
          <w:ilvl w:val="0"/>
          <w:numId w:val="41"/>
        </w:numPr>
        <w:spacing w:after="200" w:line="240" w:lineRule="auto"/>
        <w:contextualSpacing w:val="0"/>
        <w:jc w:val="both"/>
        <w:rPr>
          <w:sz w:val="17"/>
          <w:szCs w:val="17"/>
          <w:lang w:val="en-US"/>
        </w:rPr>
      </w:pPr>
      <w:r w:rsidRPr="001F7AA5">
        <w:rPr>
          <w:sz w:val="17"/>
          <w:lang w:val="en-US"/>
        </w:rPr>
        <w:t xml:space="preserve">[zh]: </w:t>
      </w:r>
      <w:r>
        <w:rPr>
          <w:sz w:val="17"/>
        </w:rPr>
        <w:t>北京东土科技股份有限公司</w:t>
      </w:r>
      <w:r w:rsidR="004C48C5">
        <w:rPr>
          <w:sz w:val="17"/>
          <w:lang w:val="en-US"/>
        </w:rPr>
        <w:t xml:space="preserve"> </w:t>
      </w:r>
      <w:r w:rsidRPr="001F7AA5">
        <w:rPr>
          <w:sz w:val="17"/>
          <w:lang w:val="en-US"/>
        </w:rPr>
        <w:t xml:space="preserve">→ en realidad: Kyland Technology Co., Ltd. </w:t>
      </w:r>
    </w:p>
    <w:p w14:paraId="2160C0E2" w14:textId="3CC8226C" w:rsidR="008C30D1" w:rsidRPr="00765953" w:rsidRDefault="008C30D1" w:rsidP="004C48C5">
      <w:pPr>
        <w:pStyle w:val="ListParagraph"/>
        <w:spacing w:after="200" w:line="240" w:lineRule="auto"/>
        <w:ind w:left="0"/>
        <w:contextualSpacing w:val="0"/>
        <w:rPr>
          <w:sz w:val="17"/>
          <w:szCs w:val="17"/>
        </w:rPr>
      </w:pPr>
      <w:r>
        <w:rPr>
          <w:noProof/>
          <w:sz w:val="17"/>
        </w:rPr>
        <w:drawing>
          <wp:inline distT="0" distB="0" distL="0" distR="0" wp14:anchorId="5B1FAAA4" wp14:editId="68E248E4">
            <wp:extent cx="3611880" cy="838980"/>
            <wp:effectExtent l="0" t="0" r="7620" b="0"/>
            <wp:docPr id="29" name="Grafik 1" descr="Una imagen que contiene texto, escritura, blanco, tipograf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weiß, Typografie enthält.&#10;&#10;Automatisch generierte Beschreibung"/>
                    <pic:cNvPicPr/>
                  </pic:nvPicPr>
                  <pic:blipFill>
                    <a:blip r:embed="rId16"/>
                    <a:stretch>
                      <a:fillRect/>
                    </a:stretch>
                  </pic:blipFill>
                  <pic:spPr>
                    <a:xfrm>
                      <a:off x="0" y="0"/>
                      <a:ext cx="3615910" cy="839916"/>
                    </a:xfrm>
                    <a:prstGeom prst="rect">
                      <a:avLst/>
                    </a:prstGeom>
                  </pic:spPr>
                </pic:pic>
              </a:graphicData>
            </a:graphic>
          </wp:inline>
        </w:drawing>
      </w:r>
    </w:p>
    <w:p w14:paraId="64DD6B9D" w14:textId="3152016B" w:rsidR="009F181F" w:rsidRPr="000E176E" w:rsidRDefault="009F181F" w:rsidP="004C48C5">
      <w:pPr>
        <w:pStyle w:val="Caption"/>
        <w:spacing w:line="240" w:lineRule="auto"/>
        <w:rPr>
          <w:sz w:val="17"/>
          <w:szCs w:val="17"/>
        </w:rPr>
      </w:pPr>
      <w:bookmarkStart w:id="22" w:name="_Ref148630303"/>
      <w:r>
        <w:rPr>
          <w:sz w:val="17"/>
        </w:rPr>
        <w:t xml:space="preserve">Figura </w:t>
      </w:r>
      <w:r w:rsidRPr="000E176E">
        <w:rPr>
          <w:sz w:val="17"/>
        </w:rPr>
        <w:fldChar w:fldCharType="begin"/>
      </w:r>
      <w:r w:rsidRPr="000E176E">
        <w:rPr>
          <w:sz w:val="17"/>
        </w:rPr>
        <w:instrText xml:space="preserve"> SEQ Figure \* ARABIC </w:instrText>
      </w:r>
      <w:r w:rsidRPr="000E176E">
        <w:rPr>
          <w:sz w:val="17"/>
        </w:rPr>
        <w:fldChar w:fldCharType="separate"/>
      </w:r>
      <w:r w:rsidR="001F7AA5">
        <w:rPr>
          <w:noProof/>
          <w:sz w:val="17"/>
        </w:rPr>
        <w:t>2</w:t>
      </w:r>
      <w:r w:rsidRPr="000E176E">
        <w:rPr>
          <w:sz w:val="17"/>
        </w:rPr>
        <w:fldChar w:fldCharType="end"/>
      </w:r>
      <w:bookmarkEnd w:id="22"/>
      <w:r>
        <w:rPr>
          <w:sz w:val="17"/>
        </w:rPr>
        <w:t>: Romanización del nombre chino de una empresa</w:t>
      </w:r>
    </w:p>
    <w:p w14:paraId="17D465F6" w14:textId="77777777" w:rsidR="008C30D1" w:rsidRPr="00765953" w:rsidRDefault="008C30D1" w:rsidP="004C48C5">
      <w:pPr>
        <w:pStyle w:val="ListParagraph"/>
        <w:spacing w:after="200" w:line="240" w:lineRule="auto"/>
        <w:ind w:left="0"/>
        <w:contextualSpacing w:val="0"/>
        <w:jc w:val="both"/>
        <w:rPr>
          <w:sz w:val="17"/>
          <w:szCs w:val="17"/>
        </w:rPr>
      </w:pPr>
    </w:p>
    <w:p w14:paraId="5B9DC2A2" w14:textId="15EF2BEF" w:rsidR="00FA5865" w:rsidRDefault="00442430" w:rsidP="004C48C5">
      <w:pPr>
        <w:spacing w:after="600" w:line="240" w:lineRule="auto"/>
        <w:ind w:left="5126"/>
        <w:jc w:val="right"/>
        <w:rPr>
          <w:sz w:val="17"/>
          <w:szCs w:val="17"/>
        </w:rPr>
      </w:pPr>
      <w:r>
        <w:rPr>
          <w:sz w:val="17"/>
        </w:rPr>
        <w:t>[Fin del Anexo a la norma propuesta y de la norma]</w:t>
      </w:r>
    </w:p>
    <w:p w14:paraId="43692AC5" w14:textId="7278ADA8" w:rsidR="003F0B1E" w:rsidRPr="00073A57" w:rsidRDefault="00FA5865" w:rsidP="004C48C5">
      <w:pPr>
        <w:spacing w:after="240" w:line="240" w:lineRule="auto"/>
        <w:jc w:val="right"/>
        <w:rPr>
          <w:sz w:val="17"/>
          <w:szCs w:val="17"/>
        </w:rPr>
      </w:pPr>
      <w:r w:rsidRPr="00073A57">
        <w:rPr>
          <w:sz w:val="17"/>
          <w:szCs w:val="17"/>
        </w:rPr>
        <w:t>[Fin del Anexo y del documento]</w:t>
      </w:r>
    </w:p>
    <w:sectPr w:rsidR="003F0B1E" w:rsidRPr="00073A57" w:rsidSect="004C48C5">
      <w:headerReference w:type="first" r:id="rId17"/>
      <w:footerReference w:type="first" r:id="rId18"/>
      <w:pgSz w:w="11907" w:h="16840" w:code="9"/>
      <w:pgMar w:top="562" w:right="1138" w:bottom="1411" w:left="1411" w:header="504" w:footer="576" w:gutter="0"/>
      <w:pgNumType w:start="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8AB2D" w14:textId="77777777" w:rsidR="000B61E0" w:rsidRDefault="000B61E0">
      <w:r>
        <w:separator/>
      </w:r>
    </w:p>
  </w:endnote>
  <w:endnote w:type="continuationSeparator" w:id="0">
    <w:p w14:paraId="7E6D62FB" w14:textId="77777777" w:rsidR="000B61E0" w:rsidRDefault="000B61E0" w:rsidP="00A326CA">
      <w:r>
        <w:separator/>
      </w:r>
    </w:p>
    <w:p w14:paraId="457B3D3B" w14:textId="77777777" w:rsidR="000B61E0" w:rsidRPr="001F7AA5" w:rsidRDefault="000B61E0" w:rsidP="00A326CA">
      <w:pPr>
        <w:rPr>
          <w:lang w:val="en-US"/>
        </w:rPr>
      </w:pPr>
      <w:r w:rsidRPr="001F7AA5">
        <w:rPr>
          <w:lang w:val="en-US"/>
        </w:rPr>
        <w:t>[Endnote continued from previous page]</w:t>
      </w:r>
    </w:p>
  </w:endnote>
  <w:endnote w:type="continuationNotice" w:id="1">
    <w:p w14:paraId="36CB43F3" w14:textId="77777777" w:rsidR="000B61E0" w:rsidRPr="001F7AA5" w:rsidRDefault="000B61E0" w:rsidP="00A326CA">
      <w:pPr>
        <w:spacing w:before="60"/>
        <w:jc w:val="right"/>
        <w:rPr>
          <w:szCs w:val="17"/>
          <w:lang w:val="en-US"/>
        </w:rPr>
      </w:pPr>
      <w:r w:rsidRPr="001F7AA5">
        <w:rPr>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5AD4E" w14:textId="41B9DD36" w:rsidR="00BC2BF8" w:rsidRPr="007907F5" w:rsidRDefault="00BC2BF8" w:rsidP="007907F5">
    <w:pPr>
      <w:pBdr>
        <w:top w:val="single" w:sz="6" w:space="6" w:color="auto"/>
      </w:pBdr>
      <w:tabs>
        <w:tab w:val="right" w:pos="9356"/>
      </w:tabs>
      <w:rPr>
        <w:rFonts w:cs="Times New Roman"/>
        <w:sz w:val="17"/>
      </w:rPr>
    </w:pPr>
    <w:r>
      <w:rPr>
        <w:sz w:val="17"/>
      </w:rPr>
      <w:t>es / 03-61-01</w:t>
    </w:r>
    <w:r>
      <w:rPr>
        <w:sz w:val="17"/>
      </w:rPr>
      <w:tab/>
      <w:t>Fecha:  Diciembre de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92A01" w14:textId="37CECB33" w:rsidR="00BC2BF8" w:rsidRPr="00264545" w:rsidRDefault="00BC2BF8" w:rsidP="00264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48B4B" w14:textId="77777777" w:rsidR="000B61E0" w:rsidRDefault="000B61E0">
      <w:r>
        <w:separator/>
      </w:r>
    </w:p>
  </w:footnote>
  <w:footnote w:type="continuationSeparator" w:id="0">
    <w:p w14:paraId="7F45DAD4" w14:textId="77777777" w:rsidR="000B61E0" w:rsidRDefault="000B61E0" w:rsidP="00A326CA">
      <w:r>
        <w:separator/>
      </w:r>
    </w:p>
    <w:p w14:paraId="35E8F280" w14:textId="77777777" w:rsidR="000B61E0" w:rsidRPr="001F7AA5" w:rsidRDefault="000B61E0" w:rsidP="00A326CA">
      <w:pPr>
        <w:spacing w:after="60"/>
        <w:rPr>
          <w:szCs w:val="17"/>
          <w:lang w:val="en-US"/>
        </w:rPr>
      </w:pPr>
      <w:r w:rsidRPr="001F7AA5">
        <w:rPr>
          <w:szCs w:val="17"/>
          <w:lang w:val="en-US"/>
        </w:rPr>
        <w:t>[Footnote continued from previous page]</w:t>
      </w:r>
    </w:p>
  </w:footnote>
  <w:footnote w:type="continuationNotice" w:id="1">
    <w:p w14:paraId="0FB6F0BC" w14:textId="77777777" w:rsidR="000B61E0" w:rsidRPr="001F7AA5" w:rsidRDefault="000B61E0" w:rsidP="00A326CA">
      <w:pPr>
        <w:spacing w:before="60"/>
        <w:jc w:val="right"/>
        <w:rPr>
          <w:szCs w:val="17"/>
          <w:lang w:val="en-US"/>
        </w:rPr>
      </w:pPr>
      <w:r w:rsidRPr="001F7AA5">
        <w:rPr>
          <w:szCs w:val="17"/>
          <w:lang w:val="en-US"/>
        </w:rPr>
        <w:t>[Footnote continued on next page]</w:t>
      </w:r>
    </w:p>
  </w:footnote>
  <w:footnote w:id="2">
    <w:p w14:paraId="08C1A62F" w14:textId="3A6EAA79" w:rsidR="00A92AD7" w:rsidRPr="000E176E" w:rsidRDefault="00A92AD7" w:rsidP="00073A57">
      <w:pPr>
        <w:pStyle w:val="FootnoteText"/>
        <w:spacing w:line="240" w:lineRule="auto"/>
        <w:rPr>
          <w:sz w:val="17"/>
          <w:szCs w:val="17"/>
        </w:rPr>
      </w:pPr>
      <w:r>
        <w:rPr>
          <w:rStyle w:val="FootnoteReference"/>
          <w:sz w:val="17"/>
          <w:szCs w:val="17"/>
        </w:rPr>
        <w:footnoteRef/>
      </w:r>
      <w:r w:rsidR="001F7AA5">
        <w:rPr>
          <w:sz w:val="17"/>
        </w:rPr>
        <w:t xml:space="preserve"> </w:t>
      </w:r>
      <w:r>
        <w:rPr>
          <w:sz w:val="17"/>
        </w:rPr>
        <w:t xml:space="preserve">UTF-8 es un sistema de codificación de Unicode. </w:t>
      </w:r>
    </w:p>
  </w:footnote>
  <w:footnote w:id="3">
    <w:p w14:paraId="0D536657" w14:textId="77777777" w:rsidR="00BE355A" w:rsidRPr="00CD5971" w:rsidRDefault="00BE355A" w:rsidP="00073A57">
      <w:pPr>
        <w:pStyle w:val="FootnoteText"/>
        <w:spacing w:line="240" w:lineRule="auto"/>
        <w:rPr>
          <w:sz w:val="16"/>
          <w:szCs w:val="16"/>
        </w:rPr>
      </w:pPr>
      <w:r>
        <w:rPr>
          <w:rStyle w:val="FootnoteReference"/>
          <w:sz w:val="16"/>
          <w:szCs w:val="16"/>
        </w:rPr>
        <w:footnoteRef/>
      </w:r>
      <w:r>
        <w:rPr>
          <w:sz w:val="16"/>
        </w:rPr>
        <w:t xml:space="preserve"> Encuesta sobre transliteración automática</w:t>
      </w:r>
    </w:p>
    <w:p w14:paraId="660C0D05" w14:textId="3E219F85" w:rsidR="00BE355A" w:rsidRPr="00CD5971" w:rsidRDefault="00F907B5" w:rsidP="00073A57">
      <w:pPr>
        <w:pStyle w:val="FootnoteText"/>
        <w:spacing w:line="240" w:lineRule="auto"/>
        <w:rPr>
          <w:sz w:val="16"/>
          <w:szCs w:val="16"/>
        </w:rPr>
      </w:pPr>
      <w:hyperlink r:id="rId1" w:history="1">
        <w:r w:rsidR="001F7AA5">
          <w:rPr>
            <w:rStyle w:val="Hyperlink"/>
            <w:sz w:val="16"/>
          </w:rPr>
          <w:t>https://www.researchgate.net/figure/Transliteration-examples-in-four-language-pairs-Letter-correspondence-shows-how-the_fig1_220566444</w:t>
        </w:r>
      </w:hyperlink>
      <w:r w:rsidR="001F7AA5">
        <w:rPr>
          <w:sz w:val="16"/>
        </w:rPr>
        <w:t xml:space="preserve"> </w:t>
      </w:r>
    </w:p>
  </w:footnote>
  <w:footnote w:id="4">
    <w:p w14:paraId="5EDAB472" w14:textId="0C8EB093" w:rsidR="00F1455E" w:rsidRPr="00CD5971" w:rsidRDefault="00F1455E" w:rsidP="00073A57">
      <w:pPr>
        <w:pStyle w:val="FootnoteText"/>
        <w:spacing w:line="240" w:lineRule="auto"/>
        <w:rPr>
          <w:sz w:val="16"/>
          <w:szCs w:val="16"/>
        </w:rPr>
      </w:pPr>
      <w:r>
        <w:rPr>
          <w:rStyle w:val="FootnoteReference"/>
          <w:sz w:val="16"/>
          <w:szCs w:val="16"/>
        </w:rPr>
        <w:footnoteRef/>
      </w:r>
      <w:r>
        <w:rPr>
          <w:sz w:val="16"/>
        </w:rPr>
        <w:t xml:space="preserve"> </w:t>
      </w:r>
      <w:hyperlink r:id="rId2" w:anchor="Russisch" w:history="1">
        <w:r>
          <w:rPr>
            <w:rStyle w:val="Hyperlink"/>
            <w:sz w:val="16"/>
          </w:rPr>
          <w:t>https://de.wikipedia.org/wiki/Kyrillisches_Alphabet#Russisch</w:t>
        </w:r>
      </w:hyperlink>
      <w:r>
        <w:rPr>
          <w:sz w:val="16"/>
        </w:rPr>
        <w:t xml:space="preserve"> </w:t>
      </w:r>
    </w:p>
  </w:footnote>
  <w:footnote w:id="5">
    <w:p w14:paraId="00CB73E4" w14:textId="20AB5F12" w:rsidR="00F1455E" w:rsidRPr="00CD5971" w:rsidRDefault="00F1455E" w:rsidP="00073A57">
      <w:pPr>
        <w:pStyle w:val="FootnoteText"/>
        <w:spacing w:line="240" w:lineRule="auto"/>
        <w:rPr>
          <w:sz w:val="16"/>
          <w:szCs w:val="16"/>
        </w:rPr>
      </w:pPr>
      <w:r>
        <w:rPr>
          <w:rStyle w:val="FootnoteReference"/>
          <w:sz w:val="16"/>
          <w:szCs w:val="16"/>
        </w:rPr>
        <w:footnoteRef/>
      </w:r>
      <w:r>
        <w:rPr>
          <w:sz w:val="16"/>
        </w:rPr>
        <w:t xml:space="preserve"> </w:t>
      </w:r>
      <w:hyperlink r:id="rId3" w:history="1">
        <w:r>
          <w:rPr>
            <w:rStyle w:val="Hyperlink"/>
            <w:sz w:val="16"/>
          </w:rPr>
          <w:t>https://de.wikipedia.org/wiki/Koreanisches_Alphabet</w:t>
        </w:r>
      </w:hyperlink>
      <w:r>
        <w:rPr>
          <w:sz w:val="16"/>
        </w:rPr>
        <w:t xml:space="preserve"> </w:t>
      </w:r>
    </w:p>
  </w:footnote>
  <w:footnote w:id="6">
    <w:p w14:paraId="66B0BFB2" w14:textId="474BBB2D" w:rsidR="00F1455E" w:rsidRDefault="00F1455E" w:rsidP="00073A57">
      <w:pPr>
        <w:pStyle w:val="FootnoteText"/>
        <w:spacing w:line="240" w:lineRule="auto"/>
      </w:pPr>
      <w:r>
        <w:rPr>
          <w:rStyle w:val="FootnoteReference"/>
          <w:sz w:val="16"/>
          <w:szCs w:val="16"/>
        </w:rPr>
        <w:footnoteRef/>
      </w:r>
      <w:r>
        <w:rPr>
          <w:sz w:val="16"/>
        </w:rPr>
        <w:t xml:space="preserve">  </w:t>
      </w:r>
      <w:hyperlink r:id="rId4" w:history="1">
        <w:r>
          <w:rPr>
            <w:rStyle w:val="Hyperlink"/>
            <w:sz w:val="16"/>
          </w:rPr>
          <w:t>https://en.wikipedia.org/wiki/Romanization_of_Greek</w:t>
        </w:r>
      </w:hyperlink>
      <w:r>
        <w:rPr>
          <w:sz w:val="16"/>
        </w:rPr>
        <w:t xml:space="preserve"> </w:t>
      </w:r>
    </w:p>
  </w:footnote>
  <w:footnote w:id="7">
    <w:p w14:paraId="5EE62A48" w14:textId="3FE5A987" w:rsidR="00F1455E" w:rsidRPr="00264545" w:rsidRDefault="00F1455E" w:rsidP="00073A57">
      <w:pPr>
        <w:pStyle w:val="FootnoteText"/>
        <w:spacing w:line="240" w:lineRule="auto"/>
        <w:rPr>
          <w:sz w:val="16"/>
          <w:szCs w:val="16"/>
        </w:rPr>
      </w:pPr>
      <w:r>
        <w:rPr>
          <w:rStyle w:val="FootnoteReference"/>
          <w:sz w:val="16"/>
          <w:szCs w:val="16"/>
        </w:rPr>
        <w:footnoteRef/>
      </w:r>
      <w:r>
        <w:rPr>
          <w:sz w:val="16"/>
        </w:rPr>
        <w:t xml:space="preserve"> </w:t>
      </w:r>
      <w:hyperlink r:id="rId5" w:history="1">
        <w:r>
          <w:rPr>
            <w:rStyle w:val="Hyperlink"/>
            <w:sz w:val="16"/>
          </w:rPr>
          <w:t>https://en.wikipedia.org/wiki/Dania_transcription</w:t>
        </w:r>
      </w:hyperlink>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2" w:type="dxa"/>
      <w:tblInd w:w="-318" w:type="dxa"/>
      <w:tblLook w:val="01E0" w:firstRow="1" w:lastRow="1" w:firstColumn="1" w:lastColumn="1" w:noHBand="0" w:noVBand="0"/>
    </w:tblPr>
    <w:tblGrid>
      <w:gridCol w:w="2411"/>
      <w:gridCol w:w="7371"/>
    </w:tblGrid>
    <w:tr w:rsidR="00BC2BF8" w:rsidRPr="009343AF" w14:paraId="56D01FB5" w14:textId="77777777" w:rsidTr="00B5084C">
      <w:tc>
        <w:tcPr>
          <w:tcW w:w="2411" w:type="dxa"/>
          <w:shd w:val="clear" w:color="auto" w:fill="auto"/>
        </w:tcPr>
        <w:p w14:paraId="7F0297D1" w14:textId="77777777" w:rsidR="00BC2BF8" w:rsidRPr="009343AF" w:rsidRDefault="00BC2BF8" w:rsidP="007907F5">
          <w:pPr>
            <w:ind w:left="80" w:right="-2"/>
            <w:rPr>
              <w:rFonts w:cs="Times New Roman"/>
              <w:sz w:val="17"/>
            </w:rPr>
          </w:pPr>
          <w:r>
            <w:rPr>
              <w:noProof/>
              <w:sz w:val="17"/>
            </w:rPr>
            <w:drawing>
              <wp:inline distT="0" distB="0" distL="0" distR="0" wp14:anchorId="597CFE4B" wp14:editId="2B3470A5">
                <wp:extent cx="1092200" cy="774700"/>
                <wp:effectExtent l="0" t="0" r="0" b="6350"/>
                <wp:docPr id="2" name="Picture 2" descr="OM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218718D3" w14:textId="77777777" w:rsidR="00BC2BF8" w:rsidRPr="009343AF" w:rsidRDefault="00BC2BF8" w:rsidP="007907F5">
          <w:pPr>
            <w:spacing w:after="120" w:line="240" w:lineRule="auto"/>
            <w:ind w:left="2866" w:right="-72"/>
            <w:jc w:val="right"/>
            <w:rPr>
              <w:rFonts w:cs="Times New Roman"/>
              <w:b/>
              <w:sz w:val="17"/>
            </w:rPr>
          </w:pPr>
          <w:r>
            <w:rPr>
              <w:b/>
              <w:sz w:val="17"/>
            </w:rPr>
            <w:t>MANUAL DE INFORMACIÓN Y DOCUMENTACIÓN EN MATERIA DE PROPIEDAD INDUSTRIAL</w:t>
          </w:r>
        </w:p>
      </w:tc>
    </w:tr>
  </w:tbl>
  <w:p w14:paraId="095D406B" w14:textId="403423C3" w:rsidR="00BC2BF8" w:rsidRPr="009343AF" w:rsidRDefault="00BC2BF8" w:rsidP="007907F5">
    <w:pPr>
      <w:pBdr>
        <w:top w:val="single" w:sz="6" w:space="4" w:color="auto"/>
        <w:bottom w:val="single" w:sz="6" w:space="4" w:color="auto"/>
      </w:pBdr>
      <w:tabs>
        <w:tab w:val="right" w:pos="9356"/>
      </w:tabs>
      <w:spacing w:before="120" w:line="240" w:lineRule="auto"/>
      <w:rPr>
        <w:rFonts w:cs="Times New Roman"/>
        <w:sz w:val="17"/>
      </w:rPr>
    </w:pPr>
    <w:r>
      <w:rPr>
        <w:sz w:val="17"/>
      </w:rPr>
      <w:t>Ref.:  Normas técnicas – ST.61</w:t>
    </w:r>
    <w:r>
      <w:rPr>
        <w:sz w:val="17"/>
      </w:rPr>
      <w:tab/>
      <w:t>página:  3.61.</w:t>
    </w:r>
    <w:r>
      <w:rPr>
        <w:rFonts w:cs="Times New Roman"/>
        <w:sz w:val="17"/>
      </w:rPr>
      <w:fldChar w:fldCharType="begin"/>
    </w:r>
    <w:r w:rsidRPr="006F3935">
      <w:rPr>
        <w:rFonts w:cs="Times New Roman"/>
        <w:sz w:val="17"/>
      </w:rPr>
      <w:instrText xml:space="preserve"> PAGE   \* MERGEFORMAT </w:instrText>
    </w:r>
    <w:r>
      <w:rPr>
        <w:rFonts w:cs="Times New Roman"/>
        <w:sz w:val="17"/>
      </w:rPr>
      <w:fldChar w:fldCharType="separate"/>
    </w:r>
    <w:r w:rsidR="008C30D1">
      <w:rPr>
        <w:rFonts w:cs="Times New Roman"/>
        <w:sz w:val="17"/>
      </w:rPr>
      <w:t>2</w:t>
    </w:r>
    <w:r>
      <w:rPr>
        <w:rFonts w:cs="Times New Roman"/>
        <w:sz w:val="17"/>
      </w:rPr>
      <w:fldChar w:fldCharType="end"/>
    </w:r>
    <w:r>
      <w:rPr>
        <w:sz w:val="17"/>
      </w:rPr>
      <w:t xml:space="preserve"> </w:t>
    </w:r>
  </w:p>
  <w:p w14:paraId="390EA809" w14:textId="13600AD3" w:rsidR="00BC2BF8" w:rsidRPr="00FC3CF4" w:rsidRDefault="00BC2BF8" w:rsidP="00FC3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ADC7" w14:textId="61C4C68F" w:rsidR="0002096C" w:rsidRPr="002A5D77" w:rsidRDefault="0002096C" w:rsidP="0002096C">
    <w:pPr>
      <w:pStyle w:val="Header"/>
      <w:spacing w:line="240" w:lineRule="auto"/>
      <w:jc w:val="right"/>
      <w:rPr>
        <w:sz w:val="22"/>
        <w:szCs w:val="22"/>
      </w:rPr>
    </w:pPr>
    <w:r>
      <w:rPr>
        <w:sz w:val="22"/>
      </w:rPr>
      <w:t>CWS/12/</w:t>
    </w:r>
    <w:r w:rsidR="00F907B5">
      <w:rPr>
        <w:sz w:val="22"/>
      </w:rPr>
      <w:t>1</w:t>
    </w:r>
    <w:r>
      <w:rPr>
        <w:sz w:val="22"/>
      </w:rPr>
      <w:t>6</w:t>
    </w:r>
  </w:p>
  <w:p w14:paraId="10E57B59" w14:textId="766B80E8" w:rsidR="002A5D77" w:rsidRPr="002A5D77" w:rsidRDefault="0002096C" w:rsidP="0002096C">
    <w:pPr>
      <w:pStyle w:val="Header"/>
      <w:spacing w:line="240" w:lineRule="auto"/>
      <w:jc w:val="right"/>
      <w:rPr>
        <w:sz w:val="22"/>
        <w:szCs w:val="22"/>
      </w:rPr>
    </w:pPr>
    <w:r>
      <w:rPr>
        <w:sz w:val="22"/>
      </w:rPr>
      <w:t xml:space="preserve">Anexo, página </w:t>
    </w:r>
    <w:r>
      <w:rPr>
        <w:sz w:val="22"/>
      </w:rPr>
      <w:fldChar w:fldCharType="begin"/>
    </w:r>
    <w:r>
      <w:rPr>
        <w:sz w:val="22"/>
      </w:rPr>
      <w:instrText xml:space="preserve"> PAGE  \* Arabic  \* MERGEFORMAT </w:instrText>
    </w:r>
    <w:r>
      <w:rPr>
        <w:sz w:val="22"/>
      </w:rPr>
      <w:fldChar w:fldCharType="separate"/>
    </w:r>
    <w:r>
      <w:rPr>
        <w:sz w:val="22"/>
      </w:rPr>
      <w:t>2</w:t>
    </w:r>
    <w:r>
      <w:rPr>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D55F3" w14:textId="77777777" w:rsidR="006F68EF" w:rsidRDefault="0002096C" w:rsidP="0002096C">
    <w:pPr>
      <w:pStyle w:val="Header"/>
      <w:spacing w:line="240" w:lineRule="auto"/>
      <w:jc w:val="right"/>
      <w:rPr>
        <w:sz w:val="22"/>
      </w:rPr>
    </w:pPr>
    <w:r>
      <w:rPr>
        <w:sz w:val="22"/>
      </w:rPr>
      <w:t>CWS/12/16</w:t>
    </w:r>
  </w:p>
  <w:p w14:paraId="6341B733" w14:textId="5B073E37" w:rsidR="0002096C" w:rsidRPr="000E176E" w:rsidRDefault="0002096C" w:rsidP="0002096C">
    <w:pPr>
      <w:pStyle w:val="Header"/>
      <w:spacing w:line="240" w:lineRule="auto"/>
      <w:jc w:val="right"/>
      <w:rPr>
        <w:sz w:val="22"/>
        <w:szCs w:val="22"/>
      </w:rPr>
    </w:pPr>
    <w:r>
      <w:rPr>
        <w:sz w:val="22"/>
      </w:rPr>
      <w:t>ANEXO</w:t>
    </w:r>
  </w:p>
  <w:p w14:paraId="571B9DE5" w14:textId="3027DFE2" w:rsidR="00BC2BF8" w:rsidRPr="000E176E" w:rsidRDefault="00BC2BF8" w:rsidP="000E176E">
    <w:pPr>
      <w:pStyle w:val="Header"/>
      <w:spacing w:line="240" w:lineRule="auto"/>
      <w:jc w:val="right"/>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29E3" w14:textId="54710E8A" w:rsidR="004C48C5" w:rsidRPr="002A5D77" w:rsidRDefault="004C48C5" w:rsidP="004C48C5">
    <w:pPr>
      <w:pStyle w:val="Header"/>
      <w:spacing w:line="240" w:lineRule="auto"/>
      <w:jc w:val="right"/>
      <w:rPr>
        <w:sz w:val="22"/>
        <w:szCs w:val="22"/>
      </w:rPr>
    </w:pPr>
    <w:r>
      <w:rPr>
        <w:sz w:val="22"/>
      </w:rPr>
      <w:t>CWS/12/</w:t>
    </w:r>
    <w:r w:rsidR="00F907B5">
      <w:rPr>
        <w:sz w:val="22"/>
      </w:rPr>
      <w:t>1</w:t>
    </w:r>
    <w:r>
      <w:rPr>
        <w:sz w:val="22"/>
      </w:rPr>
      <w:t>6</w:t>
    </w:r>
  </w:p>
  <w:p w14:paraId="03F0DFA1" w14:textId="77777777" w:rsidR="004C48C5" w:rsidRPr="002A5D77" w:rsidRDefault="004C48C5" w:rsidP="004C48C5">
    <w:pPr>
      <w:pStyle w:val="Header"/>
      <w:spacing w:line="240" w:lineRule="auto"/>
      <w:jc w:val="right"/>
      <w:rPr>
        <w:sz w:val="22"/>
        <w:szCs w:val="22"/>
      </w:rPr>
    </w:pPr>
    <w:r>
      <w:rPr>
        <w:sz w:val="22"/>
      </w:rPr>
      <w:t xml:space="preserve">Anexo, página </w:t>
    </w:r>
    <w:r>
      <w:rPr>
        <w:sz w:val="22"/>
      </w:rPr>
      <w:fldChar w:fldCharType="begin"/>
    </w:r>
    <w:r>
      <w:rPr>
        <w:sz w:val="22"/>
      </w:rPr>
      <w:instrText xml:space="preserve"> PAGE  \* Arabic  \* MERGEFORMAT </w:instrText>
    </w:r>
    <w:r>
      <w:rPr>
        <w:sz w:val="22"/>
      </w:rPr>
      <w:fldChar w:fldCharType="separate"/>
    </w:r>
    <w:r>
      <w:rPr>
        <w:sz w:val="22"/>
      </w:rPr>
      <w:t>4</w:t>
    </w:r>
    <w:r>
      <w:rPr>
        <w:sz w:val="22"/>
      </w:rPr>
      <w:fldChar w:fldCharType="end"/>
    </w:r>
  </w:p>
  <w:p w14:paraId="42F4573A" w14:textId="2CCF7B57" w:rsidR="002A5D77" w:rsidRPr="002A5D77" w:rsidRDefault="002A5D77" w:rsidP="002A5D77">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82E0658"/>
    <w:multiLevelType w:val="hybridMultilevel"/>
    <w:tmpl w:val="39FA8C48"/>
    <w:lvl w:ilvl="0" w:tplc="37F04184">
      <w:start w:val="1"/>
      <w:numFmt w:val="bullet"/>
      <w:lvlText w:val=""/>
      <w:lvlJc w:val="left"/>
      <w:pPr>
        <w:ind w:left="1080" w:hanging="360"/>
      </w:pPr>
      <w:rPr>
        <w:rFonts w:ascii="Symbol" w:hAnsi="Symbol"/>
      </w:rPr>
    </w:lvl>
    <w:lvl w:ilvl="1" w:tplc="D3D88618">
      <w:start w:val="1"/>
      <w:numFmt w:val="bullet"/>
      <w:lvlText w:val=""/>
      <w:lvlJc w:val="left"/>
      <w:pPr>
        <w:ind w:left="1080" w:hanging="360"/>
      </w:pPr>
      <w:rPr>
        <w:rFonts w:ascii="Symbol" w:hAnsi="Symbol"/>
      </w:rPr>
    </w:lvl>
    <w:lvl w:ilvl="2" w:tplc="B0B6A9AE">
      <w:start w:val="1"/>
      <w:numFmt w:val="bullet"/>
      <w:lvlText w:val=""/>
      <w:lvlJc w:val="left"/>
      <w:pPr>
        <w:ind w:left="1080" w:hanging="360"/>
      </w:pPr>
      <w:rPr>
        <w:rFonts w:ascii="Symbol" w:hAnsi="Symbol"/>
      </w:rPr>
    </w:lvl>
    <w:lvl w:ilvl="3" w:tplc="F4D63844">
      <w:start w:val="1"/>
      <w:numFmt w:val="bullet"/>
      <w:lvlText w:val=""/>
      <w:lvlJc w:val="left"/>
      <w:pPr>
        <w:ind w:left="1080" w:hanging="360"/>
      </w:pPr>
      <w:rPr>
        <w:rFonts w:ascii="Symbol" w:hAnsi="Symbol"/>
      </w:rPr>
    </w:lvl>
    <w:lvl w:ilvl="4" w:tplc="FEC6A3C8">
      <w:start w:val="1"/>
      <w:numFmt w:val="bullet"/>
      <w:lvlText w:val=""/>
      <w:lvlJc w:val="left"/>
      <w:pPr>
        <w:ind w:left="1080" w:hanging="360"/>
      </w:pPr>
      <w:rPr>
        <w:rFonts w:ascii="Symbol" w:hAnsi="Symbol"/>
      </w:rPr>
    </w:lvl>
    <w:lvl w:ilvl="5" w:tplc="CF929DEE">
      <w:start w:val="1"/>
      <w:numFmt w:val="bullet"/>
      <w:lvlText w:val=""/>
      <w:lvlJc w:val="left"/>
      <w:pPr>
        <w:ind w:left="1080" w:hanging="360"/>
      </w:pPr>
      <w:rPr>
        <w:rFonts w:ascii="Symbol" w:hAnsi="Symbol"/>
      </w:rPr>
    </w:lvl>
    <w:lvl w:ilvl="6" w:tplc="50ECF936">
      <w:start w:val="1"/>
      <w:numFmt w:val="bullet"/>
      <w:lvlText w:val=""/>
      <w:lvlJc w:val="left"/>
      <w:pPr>
        <w:ind w:left="1080" w:hanging="360"/>
      </w:pPr>
      <w:rPr>
        <w:rFonts w:ascii="Symbol" w:hAnsi="Symbol"/>
      </w:rPr>
    </w:lvl>
    <w:lvl w:ilvl="7" w:tplc="114ACA08">
      <w:start w:val="1"/>
      <w:numFmt w:val="bullet"/>
      <w:lvlText w:val=""/>
      <w:lvlJc w:val="left"/>
      <w:pPr>
        <w:ind w:left="1080" w:hanging="360"/>
      </w:pPr>
      <w:rPr>
        <w:rFonts w:ascii="Symbol" w:hAnsi="Symbol"/>
      </w:rPr>
    </w:lvl>
    <w:lvl w:ilvl="8" w:tplc="3C5ACCAA">
      <w:start w:val="1"/>
      <w:numFmt w:val="bullet"/>
      <w:lvlText w:val=""/>
      <w:lvlJc w:val="left"/>
      <w:pPr>
        <w:ind w:left="1080" w:hanging="360"/>
      </w:pPr>
      <w:rPr>
        <w:rFonts w:ascii="Symbol" w:hAnsi="Symbol"/>
      </w:rPr>
    </w:lvl>
  </w:abstractNum>
  <w:abstractNum w:abstractNumId="2" w15:restartNumberingAfterBreak="0">
    <w:nsid w:val="09134ECF"/>
    <w:multiLevelType w:val="hybridMultilevel"/>
    <w:tmpl w:val="258E02AE"/>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04CC5"/>
    <w:multiLevelType w:val="hybridMultilevel"/>
    <w:tmpl w:val="CE94A6C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01">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464E"/>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74E1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03A9C"/>
    <w:multiLevelType w:val="hybridMultilevel"/>
    <w:tmpl w:val="3FE803A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A5D75E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92D9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F736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731D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F3D8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80FC9"/>
    <w:multiLevelType w:val="hybridMultilevel"/>
    <w:tmpl w:val="EFA66CAC"/>
    <w:lvl w:ilvl="0" w:tplc="A2D095D6">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D612F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E797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F3E0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4568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366E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377F0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33879"/>
    <w:multiLevelType w:val="hybridMultilevel"/>
    <w:tmpl w:val="8D9C4662"/>
    <w:lvl w:ilvl="0" w:tplc="E96A4A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F703A5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17FF5"/>
    <w:multiLevelType w:val="hybridMultilevel"/>
    <w:tmpl w:val="82989C30"/>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C728B"/>
    <w:multiLevelType w:val="hybridMultilevel"/>
    <w:tmpl w:val="EFA66CAC"/>
    <w:lvl w:ilvl="0" w:tplc="A2D095D6">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513A2"/>
    <w:multiLevelType w:val="hybridMultilevel"/>
    <w:tmpl w:val="5420C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6C7AEA"/>
    <w:multiLevelType w:val="hybridMultilevel"/>
    <w:tmpl w:val="8D9C4662"/>
    <w:lvl w:ilvl="0" w:tplc="E96A4A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D14230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137F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2560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1781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50F5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A20DA"/>
    <w:multiLevelType w:val="hybridMultilevel"/>
    <w:tmpl w:val="7B60B398"/>
    <w:lvl w:ilvl="0" w:tplc="743CAEF2">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D40839"/>
    <w:multiLevelType w:val="hybridMultilevel"/>
    <w:tmpl w:val="311EB1C6"/>
    <w:lvl w:ilvl="0" w:tplc="6C36BB98">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E6CC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A6199"/>
    <w:multiLevelType w:val="hybridMultilevel"/>
    <w:tmpl w:val="CAE4260C"/>
    <w:lvl w:ilvl="0" w:tplc="2434209C">
      <w:start w:val="1"/>
      <w:numFmt w:val="decimal"/>
      <w:lvlText w:val="%1."/>
      <w:lvlJc w:val="left"/>
      <w:pPr>
        <w:ind w:left="1650" w:hanging="570"/>
      </w:pPr>
      <w:rPr>
        <w:rFonts w:hint="default"/>
        <w:sz w:val="17"/>
        <w:szCs w:val="17"/>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F43379"/>
    <w:multiLevelType w:val="hybridMultilevel"/>
    <w:tmpl w:val="C7F82062"/>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D1678B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054068">
    <w:abstractNumId w:val="20"/>
  </w:num>
  <w:num w:numId="2" w16cid:durableId="119343227">
    <w:abstractNumId w:val="0"/>
  </w:num>
  <w:num w:numId="3" w16cid:durableId="46075305">
    <w:abstractNumId w:val="5"/>
  </w:num>
  <w:num w:numId="4" w16cid:durableId="1344818809">
    <w:abstractNumId w:val="36"/>
  </w:num>
  <w:num w:numId="5" w16cid:durableId="339699218">
    <w:abstractNumId w:val="6"/>
  </w:num>
  <w:num w:numId="6" w16cid:durableId="450436034">
    <w:abstractNumId w:val="35"/>
  </w:num>
  <w:num w:numId="7" w16cid:durableId="794718010">
    <w:abstractNumId w:val="37"/>
  </w:num>
  <w:num w:numId="8" w16cid:durableId="2120829703">
    <w:abstractNumId w:val="19"/>
  </w:num>
  <w:num w:numId="9" w16cid:durableId="2032487789">
    <w:abstractNumId w:val="13"/>
  </w:num>
  <w:num w:numId="10" w16cid:durableId="1346712250">
    <w:abstractNumId w:val="29"/>
  </w:num>
  <w:num w:numId="11" w16cid:durableId="1578978479">
    <w:abstractNumId w:val="26"/>
  </w:num>
  <w:num w:numId="12" w16cid:durableId="2129808728">
    <w:abstractNumId w:val="24"/>
  </w:num>
  <w:num w:numId="13" w16cid:durableId="770013207">
    <w:abstractNumId w:val="34"/>
  </w:num>
  <w:num w:numId="14" w16cid:durableId="143744825">
    <w:abstractNumId w:val="39"/>
  </w:num>
  <w:num w:numId="15" w16cid:durableId="1387602488">
    <w:abstractNumId w:val="3"/>
  </w:num>
  <w:num w:numId="16" w16cid:durableId="1536847718">
    <w:abstractNumId w:val="32"/>
  </w:num>
  <w:num w:numId="17" w16cid:durableId="281109196">
    <w:abstractNumId w:val="11"/>
  </w:num>
  <w:num w:numId="18" w16cid:durableId="130945870">
    <w:abstractNumId w:val="21"/>
  </w:num>
  <w:num w:numId="19" w16cid:durableId="1729113855">
    <w:abstractNumId w:val="17"/>
  </w:num>
  <w:num w:numId="20" w16cid:durableId="409544882">
    <w:abstractNumId w:val="4"/>
  </w:num>
  <w:num w:numId="21" w16cid:durableId="913977624">
    <w:abstractNumId w:val="16"/>
  </w:num>
  <w:num w:numId="22" w16cid:durableId="1359626581">
    <w:abstractNumId w:val="33"/>
  </w:num>
  <w:num w:numId="23" w16cid:durableId="681855184">
    <w:abstractNumId w:val="9"/>
  </w:num>
  <w:num w:numId="24" w16cid:durableId="773135066">
    <w:abstractNumId w:val="18"/>
  </w:num>
  <w:num w:numId="25" w16cid:durableId="1435395918">
    <w:abstractNumId w:val="31"/>
  </w:num>
  <w:num w:numId="26" w16cid:durableId="1405714308">
    <w:abstractNumId w:val="23"/>
  </w:num>
  <w:num w:numId="27" w16cid:durableId="1237319891">
    <w:abstractNumId w:val="30"/>
  </w:num>
  <w:num w:numId="28" w16cid:durableId="1267887148">
    <w:abstractNumId w:val="38"/>
  </w:num>
  <w:num w:numId="29" w16cid:durableId="73942206">
    <w:abstractNumId w:val="12"/>
  </w:num>
  <w:num w:numId="30" w16cid:durableId="1637488195">
    <w:abstractNumId w:val="41"/>
  </w:num>
  <w:num w:numId="31" w16cid:durableId="1321428346">
    <w:abstractNumId w:val="7"/>
  </w:num>
  <w:num w:numId="32" w16cid:durableId="1921597315">
    <w:abstractNumId w:val="10"/>
  </w:num>
  <w:num w:numId="33" w16cid:durableId="46927145">
    <w:abstractNumId w:val="15"/>
  </w:num>
  <w:num w:numId="34" w16cid:durableId="303773583">
    <w:abstractNumId w:val="28"/>
  </w:num>
  <w:num w:numId="35" w16cid:durableId="304622821">
    <w:abstractNumId w:val="25"/>
  </w:num>
  <w:num w:numId="36" w16cid:durableId="1666740701">
    <w:abstractNumId w:val="22"/>
  </w:num>
  <w:num w:numId="37" w16cid:durableId="1233927965">
    <w:abstractNumId w:val="14"/>
  </w:num>
  <w:num w:numId="38" w16cid:durableId="1176918467">
    <w:abstractNumId w:val="27"/>
  </w:num>
  <w:num w:numId="39" w16cid:durableId="480732174">
    <w:abstractNumId w:val="8"/>
  </w:num>
  <w:num w:numId="40" w16cid:durableId="1167554090">
    <w:abstractNumId w:val="40"/>
  </w:num>
  <w:num w:numId="41" w16cid:durableId="1567034274">
    <w:abstractNumId w:val="2"/>
  </w:num>
  <w:num w:numId="42" w16cid:durableId="364525344">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n-US" w:vendorID="64" w:dllVersion="6" w:nlCheck="1" w:checkStyle="0"/>
  <w:activeWritingStyle w:appName="MSWord" w:lang="fr-CA" w:vendorID="64" w:dllVersion="6" w:nlCheck="1" w:checkStyle="0"/>
  <w:activeWritingStyle w:appName="MSWord" w:lang="en-CA" w:vendorID="64" w:dllVersion="6" w:nlCheck="1" w:checkStyle="0"/>
  <w:activeWritingStyle w:appName="MSWord" w:lang="en-AU" w:vendorID="64" w:dllVersion="6" w:nlCheck="1" w:checkStyle="1"/>
  <w:activeWritingStyle w:appName="MSWord" w:lang="en-GB" w:vendorID="64" w:dllVersion="6" w:nlCheck="1" w:checkStyle="0"/>
  <w:activeWritingStyle w:appName="MSWord" w:lang="en-US" w:vendorID="64" w:dllVersion="0" w:nlCheck="1" w:checkStyle="0"/>
  <w:activeWritingStyle w:appName="MSWord" w:lang="en-US" w:vendorID="64" w:dllVersion="4096" w:nlCheck="1" w:checkStyle="0"/>
  <w:activeWritingStyle w:appName="MSWord" w:lang="ko-KR" w:vendorID="64" w:dllVersion="0" w:nlCheck="1" w:checkStyle="0"/>
  <w:activeWritingStyle w:appName="MSWord" w:lang="en-AU" w:vendorID="64" w:dllVersion="0" w:nlCheck="1" w:checkStyle="0"/>
  <w:activeWritingStyle w:appName="MSWord" w:lang="fr-CH"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EB"/>
    <w:rsid w:val="0000102F"/>
    <w:rsid w:val="00002858"/>
    <w:rsid w:val="00003C15"/>
    <w:rsid w:val="00004040"/>
    <w:rsid w:val="0000412D"/>
    <w:rsid w:val="000042C3"/>
    <w:rsid w:val="00005303"/>
    <w:rsid w:val="00005A22"/>
    <w:rsid w:val="0000695D"/>
    <w:rsid w:val="00006AD3"/>
    <w:rsid w:val="00006BA4"/>
    <w:rsid w:val="000076EB"/>
    <w:rsid w:val="00010912"/>
    <w:rsid w:val="0001307F"/>
    <w:rsid w:val="00013735"/>
    <w:rsid w:val="00013F64"/>
    <w:rsid w:val="00015612"/>
    <w:rsid w:val="00015DF4"/>
    <w:rsid w:val="000171FA"/>
    <w:rsid w:val="0002096C"/>
    <w:rsid w:val="000216C4"/>
    <w:rsid w:val="0002178B"/>
    <w:rsid w:val="00021A17"/>
    <w:rsid w:val="000237E0"/>
    <w:rsid w:val="000237FD"/>
    <w:rsid w:val="00023E71"/>
    <w:rsid w:val="00025D2B"/>
    <w:rsid w:val="00026707"/>
    <w:rsid w:val="00027BF3"/>
    <w:rsid w:val="00030118"/>
    <w:rsid w:val="00030B97"/>
    <w:rsid w:val="00030E90"/>
    <w:rsid w:val="000321CA"/>
    <w:rsid w:val="00033557"/>
    <w:rsid w:val="00033FDE"/>
    <w:rsid w:val="00036174"/>
    <w:rsid w:val="000366B4"/>
    <w:rsid w:val="000377E3"/>
    <w:rsid w:val="000412DD"/>
    <w:rsid w:val="000413B7"/>
    <w:rsid w:val="00043535"/>
    <w:rsid w:val="00052BC5"/>
    <w:rsid w:val="00052E31"/>
    <w:rsid w:val="000541EE"/>
    <w:rsid w:val="00054664"/>
    <w:rsid w:val="000551CE"/>
    <w:rsid w:val="00056F7E"/>
    <w:rsid w:val="00057FE5"/>
    <w:rsid w:val="0006031D"/>
    <w:rsid w:val="00062643"/>
    <w:rsid w:val="00062B0D"/>
    <w:rsid w:val="00063CE2"/>
    <w:rsid w:val="00064265"/>
    <w:rsid w:val="00071087"/>
    <w:rsid w:val="0007137D"/>
    <w:rsid w:val="00071736"/>
    <w:rsid w:val="00071D72"/>
    <w:rsid w:val="000730C1"/>
    <w:rsid w:val="00073A57"/>
    <w:rsid w:val="00074DB9"/>
    <w:rsid w:val="00075EDA"/>
    <w:rsid w:val="000779BE"/>
    <w:rsid w:val="00080468"/>
    <w:rsid w:val="00081591"/>
    <w:rsid w:val="00082908"/>
    <w:rsid w:val="00083B7D"/>
    <w:rsid w:val="00084B82"/>
    <w:rsid w:val="000857B3"/>
    <w:rsid w:val="0008761A"/>
    <w:rsid w:val="000876D4"/>
    <w:rsid w:val="0008793C"/>
    <w:rsid w:val="0009122A"/>
    <w:rsid w:val="000916A6"/>
    <w:rsid w:val="000948EF"/>
    <w:rsid w:val="000A162F"/>
    <w:rsid w:val="000A1F61"/>
    <w:rsid w:val="000A2E0A"/>
    <w:rsid w:val="000A3259"/>
    <w:rsid w:val="000A37EB"/>
    <w:rsid w:val="000A3EF3"/>
    <w:rsid w:val="000A700C"/>
    <w:rsid w:val="000B1460"/>
    <w:rsid w:val="000B198B"/>
    <w:rsid w:val="000B2E9D"/>
    <w:rsid w:val="000B3E93"/>
    <w:rsid w:val="000B3F9E"/>
    <w:rsid w:val="000B5000"/>
    <w:rsid w:val="000B506F"/>
    <w:rsid w:val="000B61E0"/>
    <w:rsid w:val="000B7C0D"/>
    <w:rsid w:val="000C0D9E"/>
    <w:rsid w:val="000C144B"/>
    <w:rsid w:val="000C32AD"/>
    <w:rsid w:val="000C3E47"/>
    <w:rsid w:val="000C59DE"/>
    <w:rsid w:val="000D0C16"/>
    <w:rsid w:val="000D0C4E"/>
    <w:rsid w:val="000D0F16"/>
    <w:rsid w:val="000D129E"/>
    <w:rsid w:val="000D181C"/>
    <w:rsid w:val="000D1C65"/>
    <w:rsid w:val="000D3D9A"/>
    <w:rsid w:val="000D5A86"/>
    <w:rsid w:val="000D6DDC"/>
    <w:rsid w:val="000D7129"/>
    <w:rsid w:val="000D733E"/>
    <w:rsid w:val="000E0041"/>
    <w:rsid w:val="000E0957"/>
    <w:rsid w:val="000E176E"/>
    <w:rsid w:val="000E3B76"/>
    <w:rsid w:val="000E523C"/>
    <w:rsid w:val="000E6A67"/>
    <w:rsid w:val="000F0581"/>
    <w:rsid w:val="000F13AD"/>
    <w:rsid w:val="000F15A0"/>
    <w:rsid w:val="000F1BA8"/>
    <w:rsid w:val="000F23D1"/>
    <w:rsid w:val="000F48A8"/>
    <w:rsid w:val="000F54CC"/>
    <w:rsid w:val="000F5E56"/>
    <w:rsid w:val="000F71D6"/>
    <w:rsid w:val="000F7F3F"/>
    <w:rsid w:val="00100A06"/>
    <w:rsid w:val="001035C4"/>
    <w:rsid w:val="00103B70"/>
    <w:rsid w:val="00106A1A"/>
    <w:rsid w:val="001103B3"/>
    <w:rsid w:val="0011083B"/>
    <w:rsid w:val="001154C7"/>
    <w:rsid w:val="00115CDB"/>
    <w:rsid w:val="00120D16"/>
    <w:rsid w:val="001219E2"/>
    <w:rsid w:val="00121A15"/>
    <w:rsid w:val="00121F0F"/>
    <w:rsid w:val="001223A5"/>
    <w:rsid w:val="001228E2"/>
    <w:rsid w:val="001233B1"/>
    <w:rsid w:val="0012353B"/>
    <w:rsid w:val="00124D06"/>
    <w:rsid w:val="00125893"/>
    <w:rsid w:val="00125E9B"/>
    <w:rsid w:val="0013017E"/>
    <w:rsid w:val="00131484"/>
    <w:rsid w:val="001333CA"/>
    <w:rsid w:val="00135DD7"/>
    <w:rsid w:val="0014038B"/>
    <w:rsid w:val="00140497"/>
    <w:rsid w:val="00140D4D"/>
    <w:rsid w:val="001424E4"/>
    <w:rsid w:val="001426BB"/>
    <w:rsid w:val="00143089"/>
    <w:rsid w:val="0014523A"/>
    <w:rsid w:val="00145B81"/>
    <w:rsid w:val="0014627D"/>
    <w:rsid w:val="00146C7A"/>
    <w:rsid w:val="001525F8"/>
    <w:rsid w:val="00152AD9"/>
    <w:rsid w:val="00152FFA"/>
    <w:rsid w:val="001531CB"/>
    <w:rsid w:val="001536CF"/>
    <w:rsid w:val="00155268"/>
    <w:rsid w:val="001555B8"/>
    <w:rsid w:val="00156495"/>
    <w:rsid w:val="001575A3"/>
    <w:rsid w:val="00157939"/>
    <w:rsid w:val="00160E25"/>
    <w:rsid w:val="00162429"/>
    <w:rsid w:val="00162ADD"/>
    <w:rsid w:val="00163169"/>
    <w:rsid w:val="0016336C"/>
    <w:rsid w:val="00163D92"/>
    <w:rsid w:val="00164081"/>
    <w:rsid w:val="00164F03"/>
    <w:rsid w:val="0016587D"/>
    <w:rsid w:val="00165E42"/>
    <w:rsid w:val="00166739"/>
    <w:rsid w:val="00167352"/>
    <w:rsid w:val="00167936"/>
    <w:rsid w:val="00167AEE"/>
    <w:rsid w:val="001705AA"/>
    <w:rsid w:val="00170652"/>
    <w:rsid w:val="0017081A"/>
    <w:rsid w:val="001708F5"/>
    <w:rsid w:val="00170B52"/>
    <w:rsid w:val="001713DB"/>
    <w:rsid w:val="00172386"/>
    <w:rsid w:val="00172D36"/>
    <w:rsid w:val="0017329E"/>
    <w:rsid w:val="001736E1"/>
    <w:rsid w:val="0017438F"/>
    <w:rsid w:val="00175322"/>
    <w:rsid w:val="0017612B"/>
    <w:rsid w:val="00176918"/>
    <w:rsid w:val="00180D5D"/>
    <w:rsid w:val="00181949"/>
    <w:rsid w:val="001836EE"/>
    <w:rsid w:val="00183854"/>
    <w:rsid w:val="00184900"/>
    <w:rsid w:val="0018775C"/>
    <w:rsid w:val="00187C6C"/>
    <w:rsid w:val="00190F24"/>
    <w:rsid w:val="00191820"/>
    <w:rsid w:val="001923A1"/>
    <w:rsid w:val="00194694"/>
    <w:rsid w:val="00194F40"/>
    <w:rsid w:val="00195326"/>
    <w:rsid w:val="001959AB"/>
    <w:rsid w:val="0019609E"/>
    <w:rsid w:val="00197741"/>
    <w:rsid w:val="00197986"/>
    <w:rsid w:val="001A00E0"/>
    <w:rsid w:val="001A0824"/>
    <w:rsid w:val="001A134E"/>
    <w:rsid w:val="001A170C"/>
    <w:rsid w:val="001A23AF"/>
    <w:rsid w:val="001A289C"/>
    <w:rsid w:val="001A3309"/>
    <w:rsid w:val="001A3656"/>
    <w:rsid w:val="001A4702"/>
    <w:rsid w:val="001A5367"/>
    <w:rsid w:val="001A5F92"/>
    <w:rsid w:val="001A67F5"/>
    <w:rsid w:val="001A68EB"/>
    <w:rsid w:val="001A6A62"/>
    <w:rsid w:val="001A6F45"/>
    <w:rsid w:val="001A7B57"/>
    <w:rsid w:val="001B01C9"/>
    <w:rsid w:val="001B10C2"/>
    <w:rsid w:val="001B1B11"/>
    <w:rsid w:val="001B1B4F"/>
    <w:rsid w:val="001B2ED0"/>
    <w:rsid w:val="001B348B"/>
    <w:rsid w:val="001B379F"/>
    <w:rsid w:val="001B3F36"/>
    <w:rsid w:val="001B5F88"/>
    <w:rsid w:val="001B7DA5"/>
    <w:rsid w:val="001C1F9E"/>
    <w:rsid w:val="001C3944"/>
    <w:rsid w:val="001C485F"/>
    <w:rsid w:val="001C4A56"/>
    <w:rsid w:val="001C4D18"/>
    <w:rsid w:val="001C517C"/>
    <w:rsid w:val="001C60BF"/>
    <w:rsid w:val="001D20DD"/>
    <w:rsid w:val="001D3089"/>
    <w:rsid w:val="001D3A8E"/>
    <w:rsid w:val="001D6ED4"/>
    <w:rsid w:val="001E0838"/>
    <w:rsid w:val="001E0EFB"/>
    <w:rsid w:val="001E1292"/>
    <w:rsid w:val="001E2851"/>
    <w:rsid w:val="001E343D"/>
    <w:rsid w:val="001E36C4"/>
    <w:rsid w:val="001E598E"/>
    <w:rsid w:val="001F2129"/>
    <w:rsid w:val="001F3837"/>
    <w:rsid w:val="001F3AC0"/>
    <w:rsid w:val="001F45BD"/>
    <w:rsid w:val="001F5D2F"/>
    <w:rsid w:val="001F6E0C"/>
    <w:rsid w:val="001F7AA5"/>
    <w:rsid w:val="00200079"/>
    <w:rsid w:val="00201583"/>
    <w:rsid w:val="00202C18"/>
    <w:rsid w:val="0020513E"/>
    <w:rsid w:val="00205D8B"/>
    <w:rsid w:val="00205DD2"/>
    <w:rsid w:val="002065E4"/>
    <w:rsid w:val="002075F9"/>
    <w:rsid w:val="00207C45"/>
    <w:rsid w:val="002101A9"/>
    <w:rsid w:val="00210C81"/>
    <w:rsid w:val="0021108E"/>
    <w:rsid w:val="00212A8F"/>
    <w:rsid w:val="00213111"/>
    <w:rsid w:val="00215030"/>
    <w:rsid w:val="002171D0"/>
    <w:rsid w:val="00217DDA"/>
    <w:rsid w:val="00224505"/>
    <w:rsid w:val="00225655"/>
    <w:rsid w:val="00225A81"/>
    <w:rsid w:val="00225EC0"/>
    <w:rsid w:val="002313B2"/>
    <w:rsid w:val="00232C3D"/>
    <w:rsid w:val="00232D2B"/>
    <w:rsid w:val="00232F03"/>
    <w:rsid w:val="00234787"/>
    <w:rsid w:val="00235C5D"/>
    <w:rsid w:val="00236345"/>
    <w:rsid w:val="00237667"/>
    <w:rsid w:val="00237C7D"/>
    <w:rsid w:val="00240A1B"/>
    <w:rsid w:val="002412D5"/>
    <w:rsid w:val="0024138E"/>
    <w:rsid w:val="00241D9A"/>
    <w:rsid w:val="00242259"/>
    <w:rsid w:val="002438D0"/>
    <w:rsid w:val="00243EEE"/>
    <w:rsid w:val="0024690E"/>
    <w:rsid w:val="00250ECF"/>
    <w:rsid w:val="00251348"/>
    <w:rsid w:val="00252394"/>
    <w:rsid w:val="00254132"/>
    <w:rsid w:val="00254217"/>
    <w:rsid w:val="00254367"/>
    <w:rsid w:val="00254A0B"/>
    <w:rsid w:val="00256A41"/>
    <w:rsid w:val="002570E3"/>
    <w:rsid w:val="0025720B"/>
    <w:rsid w:val="00257A5B"/>
    <w:rsid w:val="00260380"/>
    <w:rsid w:val="00260B39"/>
    <w:rsid w:val="00261711"/>
    <w:rsid w:val="002639EF"/>
    <w:rsid w:val="00264545"/>
    <w:rsid w:val="00264AA6"/>
    <w:rsid w:val="00265D52"/>
    <w:rsid w:val="00265FA7"/>
    <w:rsid w:val="0026761A"/>
    <w:rsid w:val="00271077"/>
    <w:rsid w:val="00273ECA"/>
    <w:rsid w:val="00276F5E"/>
    <w:rsid w:val="00277827"/>
    <w:rsid w:val="00277DDE"/>
    <w:rsid w:val="0028058A"/>
    <w:rsid w:val="00280A4E"/>
    <w:rsid w:val="0028389C"/>
    <w:rsid w:val="0028420F"/>
    <w:rsid w:val="002853D3"/>
    <w:rsid w:val="002866C0"/>
    <w:rsid w:val="00287596"/>
    <w:rsid w:val="002904BC"/>
    <w:rsid w:val="0029059E"/>
    <w:rsid w:val="00291172"/>
    <w:rsid w:val="00291226"/>
    <w:rsid w:val="002914A4"/>
    <w:rsid w:val="00291A32"/>
    <w:rsid w:val="00292148"/>
    <w:rsid w:val="002929A7"/>
    <w:rsid w:val="002943B1"/>
    <w:rsid w:val="00294534"/>
    <w:rsid w:val="002956F3"/>
    <w:rsid w:val="002965FB"/>
    <w:rsid w:val="0029690C"/>
    <w:rsid w:val="00297D13"/>
    <w:rsid w:val="002A0B57"/>
    <w:rsid w:val="002A0EB4"/>
    <w:rsid w:val="002A176E"/>
    <w:rsid w:val="002A2289"/>
    <w:rsid w:val="002A5D77"/>
    <w:rsid w:val="002A7E92"/>
    <w:rsid w:val="002B2785"/>
    <w:rsid w:val="002B44A1"/>
    <w:rsid w:val="002B5292"/>
    <w:rsid w:val="002B5C27"/>
    <w:rsid w:val="002C1035"/>
    <w:rsid w:val="002C125C"/>
    <w:rsid w:val="002C270A"/>
    <w:rsid w:val="002C415D"/>
    <w:rsid w:val="002C53C4"/>
    <w:rsid w:val="002C55AA"/>
    <w:rsid w:val="002C6FDB"/>
    <w:rsid w:val="002C71E4"/>
    <w:rsid w:val="002C7B7D"/>
    <w:rsid w:val="002D0ADB"/>
    <w:rsid w:val="002D28D6"/>
    <w:rsid w:val="002D2ECF"/>
    <w:rsid w:val="002E0A4C"/>
    <w:rsid w:val="002E1652"/>
    <w:rsid w:val="002E45B4"/>
    <w:rsid w:val="002E5062"/>
    <w:rsid w:val="002E768B"/>
    <w:rsid w:val="002E7E8B"/>
    <w:rsid w:val="002F05C3"/>
    <w:rsid w:val="002F3088"/>
    <w:rsid w:val="002F4CFB"/>
    <w:rsid w:val="002F51F4"/>
    <w:rsid w:val="002F53C1"/>
    <w:rsid w:val="002F595A"/>
    <w:rsid w:val="002F5965"/>
    <w:rsid w:val="0030069A"/>
    <w:rsid w:val="00300D1E"/>
    <w:rsid w:val="00301D3F"/>
    <w:rsid w:val="00302849"/>
    <w:rsid w:val="00302BA6"/>
    <w:rsid w:val="00303AE9"/>
    <w:rsid w:val="003041C5"/>
    <w:rsid w:val="00305061"/>
    <w:rsid w:val="003050DD"/>
    <w:rsid w:val="00307031"/>
    <w:rsid w:val="00307384"/>
    <w:rsid w:val="003113EF"/>
    <w:rsid w:val="00312AB8"/>
    <w:rsid w:val="00314072"/>
    <w:rsid w:val="00315BA6"/>
    <w:rsid w:val="00315E6D"/>
    <w:rsid w:val="003162B7"/>
    <w:rsid w:val="00316BB2"/>
    <w:rsid w:val="00316BF8"/>
    <w:rsid w:val="00321B16"/>
    <w:rsid w:val="003226B8"/>
    <w:rsid w:val="00323CF7"/>
    <w:rsid w:val="003243AB"/>
    <w:rsid w:val="0032477B"/>
    <w:rsid w:val="00324DB5"/>
    <w:rsid w:val="00326589"/>
    <w:rsid w:val="0033060D"/>
    <w:rsid w:val="003306AC"/>
    <w:rsid w:val="00330EF0"/>
    <w:rsid w:val="00331B03"/>
    <w:rsid w:val="00333732"/>
    <w:rsid w:val="00333B35"/>
    <w:rsid w:val="00333E7E"/>
    <w:rsid w:val="0033515E"/>
    <w:rsid w:val="00340702"/>
    <w:rsid w:val="00340F6D"/>
    <w:rsid w:val="0034190B"/>
    <w:rsid w:val="0034251C"/>
    <w:rsid w:val="00345A57"/>
    <w:rsid w:val="00345C10"/>
    <w:rsid w:val="00347079"/>
    <w:rsid w:val="0034737C"/>
    <w:rsid w:val="00350D32"/>
    <w:rsid w:val="00350F8E"/>
    <w:rsid w:val="0035150E"/>
    <w:rsid w:val="00351748"/>
    <w:rsid w:val="00351FDC"/>
    <w:rsid w:val="00352A36"/>
    <w:rsid w:val="00355456"/>
    <w:rsid w:val="003611ED"/>
    <w:rsid w:val="003617B5"/>
    <w:rsid w:val="003625DA"/>
    <w:rsid w:val="00363C7C"/>
    <w:rsid w:val="003643B3"/>
    <w:rsid w:val="00365612"/>
    <w:rsid w:val="0036577B"/>
    <w:rsid w:val="00366031"/>
    <w:rsid w:val="003668D4"/>
    <w:rsid w:val="00367D2D"/>
    <w:rsid w:val="00370A16"/>
    <w:rsid w:val="003714F1"/>
    <w:rsid w:val="00371EC3"/>
    <w:rsid w:val="00372D66"/>
    <w:rsid w:val="00372E6F"/>
    <w:rsid w:val="003737B9"/>
    <w:rsid w:val="00375A20"/>
    <w:rsid w:val="003770AF"/>
    <w:rsid w:val="003778A5"/>
    <w:rsid w:val="00380B11"/>
    <w:rsid w:val="00380CF5"/>
    <w:rsid w:val="003818C8"/>
    <w:rsid w:val="00381EFA"/>
    <w:rsid w:val="00382DC7"/>
    <w:rsid w:val="0038474B"/>
    <w:rsid w:val="00384C88"/>
    <w:rsid w:val="003860B3"/>
    <w:rsid w:val="003864DD"/>
    <w:rsid w:val="003872DC"/>
    <w:rsid w:val="00390B07"/>
    <w:rsid w:val="003912A5"/>
    <w:rsid w:val="00391371"/>
    <w:rsid w:val="0039226E"/>
    <w:rsid w:val="003922A6"/>
    <w:rsid w:val="00392AE7"/>
    <w:rsid w:val="003930C3"/>
    <w:rsid w:val="003958B9"/>
    <w:rsid w:val="00395952"/>
    <w:rsid w:val="003A02D4"/>
    <w:rsid w:val="003A0670"/>
    <w:rsid w:val="003A143C"/>
    <w:rsid w:val="003A364D"/>
    <w:rsid w:val="003A39D9"/>
    <w:rsid w:val="003A503C"/>
    <w:rsid w:val="003A5A8D"/>
    <w:rsid w:val="003A65DB"/>
    <w:rsid w:val="003B08AC"/>
    <w:rsid w:val="003B1271"/>
    <w:rsid w:val="003B1B21"/>
    <w:rsid w:val="003B1BA7"/>
    <w:rsid w:val="003B3666"/>
    <w:rsid w:val="003B4363"/>
    <w:rsid w:val="003B5204"/>
    <w:rsid w:val="003B56BC"/>
    <w:rsid w:val="003B7707"/>
    <w:rsid w:val="003C0137"/>
    <w:rsid w:val="003C0F16"/>
    <w:rsid w:val="003C0FEB"/>
    <w:rsid w:val="003C31BA"/>
    <w:rsid w:val="003C334B"/>
    <w:rsid w:val="003C3758"/>
    <w:rsid w:val="003C39B3"/>
    <w:rsid w:val="003C3BC0"/>
    <w:rsid w:val="003C55B6"/>
    <w:rsid w:val="003C7AF8"/>
    <w:rsid w:val="003D0277"/>
    <w:rsid w:val="003D0A1C"/>
    <w:rsid w:val="003D2665"/>
    <w:rsid w:val="003D2F29"/>
    <w:rsid w:val="003D37B3"/>
    <w:rsid w:val="003D421E"/>
    <w:rsid w:val="003D4CE0"/>
    <w:rsid w:val="003D669E"/>
    <w:rsid w:val="003E0174"/>
    <w:rsid w:val="003E2884"/>
    <w:rsid w:val="003E2F4E"/>
    <w:rsid w:val="003E34B3"/>
    <w:rsid w:val="003E39E7"/>
    <w:rsid w:val="003E4664"/>
    <w:rsid w:val="003E49DF"/>
    <w:rsid w:val="003E5BDF"/>
    <w:rsid w:val="003E5CF4"/>
    <w:rsid w:val="003E6E5E"/>
    <w:rsid w:val="003F0B1E"/>
    <w:rsid w:val="003F0C97"/>
    <w:rsid w:val="003F16FD"/>
    <w:rsid w:val="003F1AD4"/>
    <w:rsid w:val="003F28DD"/>
    <w:rsid w:val="003F2B62"/>
    <w:rsid w:val="003F710D"/>
    <w:rsid w:val="003F7B00"/>
    <w:rsid w:val="004005C7"/>
    <w:rsid w:val="00401237"/>
    <w:rsid w:val="0040264E"/>
    <w:rsid w:val="00403956"/>
    <w:rsid w:val="004048D8"/>
    <w:rsid w:val="0040561A"/>
    <w:rsid w:val="00406689"/>
    <w:rsid w:val="00406AA1"/>
    <w:rsid w:val="0040783D"/>
    <w:rsid w:val="00410224"/>
    <w:rsid w:val="004102C1"/>
    <w:rsid w:val="00411E57"/>
    <w:rsid w:val="00414A28"/>
    <w:rsid w:val="004152A2"/>
    <w:rsid w:val="004152C3"/>
    <w:rsid w:val="00416778"/>
    <w:rsid w:val="00417729"/>
    <w:rsid w:val="00417935"/>
    <w:rsid w:val="0042236B"/>
    <w:rsid w:val="0042292A"/>
    <w:rsid w:val="00422983"/>
    <w:rsid w:val="00422E5C"/>
    <w:rsid w:val="00424640"/>
    <w:rsid w:val="0042681E"/>
    <w:rsid w:val="00431F79"/>
    <w:rsid w:val="0043324F"/>
    <w:rsid w:val="0043421B"/>
    <w:rsid w:val="0043694E"/>
    <w:rsid w:val="0044157C"/>
    <w:rsid w:val="00442430"/>
    <w:rsid w:val="00442DED"/>
    <w:rsid w:val="00444802"/>
    <w:rsid w:val="0044712F"/>
    <w:rsid w:val="00450239"/>
    <w:rsid w:val="00451719"/>
    <w:rsid w:val="00451738"/>
    <w:rsid w:val="00451ACE"/>
    <w:rsid w:val="0045377A"/>
    <w:rsid w:val="00453F4C"/>
    <w:rsid w:val="0045467E"/>
    <w:rsid w:val="00456852"/>
    <w:rsid w:val="00457DD4"/>
    <w:rsid w:val="00460A62"/>
    <w:rsid w:val="00460F69"/>
    <w:rsid w:val="0046268B"/>
    <w:rsid w:val="00462B59"/>
    <w:rsid w:val="0046320B"/>
    <w:rsid w:val="0046351B"/>
    <w:rsid w:val="00464557"/>
    <w:rsid w:val="00465133"/>
    <w:rsid w:val="00465440"/>
    <w:rsid w:val="004679ED"/>
    <w:rsid w:val="00467FA6"/>
    <w:rsid w:val="004707CA"/>
    <w:rsid w:val="00471426"/>
    <w:rsid w:val="00472778"/>
    <w:rsid w:val="004737BF"/>
    <w:rsid w:val="004748DB"/>
    <w:rsid w:val="004775F8"/>
    <w:rsid w:val="0047766D"/>
    <w:rsid w:val="00477E26"/>
    <w:rsid w:val="00480B5B"/>
    <w:rsid w:val="00481D68"/>
    <w:rsid w:val="00486582"/>
    <w:rsid w:val="00486EEB"/>
    <w:rsid w:val="004900F1"/>
    <w:rsid w:val="004903EC"/>
    <w:rsid w:val="004908F4"/>
    <w:rsid w:val="004917D2"/>
    <w:rsid w:val="00492B94"/>
    <w:rsid w:val="00492C8B"/>
    <w:rsid w:val="00492EBD"/>
    <w:rsid w:val="0049343F"/>
    <w:rsid w:val="00493BFA"/>
    <w:rsid w:val="00493FC9"/>
    <w:rsid w:val="004941FC"/>
    <w:rsid w:val="004945B8"/>
    <w:rsid w:val="00495097"/>
    <w:rsid w:val="004955FF"/>
    <w:rsid w:val="00495C2C"/>
    <w:rsid w:val="00496C35"/>
    <w:rsid w:val="00496D21"/>
    <w:rsid w:val="00496D95"/>
    <w:rsid w:val="00497393"/>
    <w:rsid w:val="00497C33"/>
    <w:rsid w:val="004A07C9"/>
    <w:rsid w:val="004A0919"/>
    <w:rsid w:val="004A30BC"/>
    <w:rsid w:val="004A5677"/>
    <w:rsid w:val="004A6358"/>
    <w:rsid w:val="004A69D8"/>
    <w:rsid w:val="004A6A4E"/>
    <w:rsid w:val="004A7BFA"/>
    <w:rsid w:val="004B2492"/>
    <w:rsid w:val="004B4F5C"/>
    <w:rsid w:val="004B52DD"/>
    <w:rsid w:val="004B7FCA"/>
    <w:rsid w:val="004C030F"/>
    <w:rsid w:val="004C04C6"/>
    <w:rsid w:val="004C077E"/>
    <w:rsid w:val="004C0C09"/>
    <w:rsid w:val="004C1D82"/>
    <w:rsid w:val="004C2470"/>
    <w:rsid w:val="004C486B"/>
    <w:rsid w:val="004C48C5"/>
    <w:rsid w:val="004C5641"/>
    <w:rsid w:val="004C5E2F"/>
    <w:rsid w:val="004C5EC3"/>
    <w:rsid w:val="004C610F"/>
    <w:rsid w:val="004C674B"/>
    <w:rsid w:val="004C7834"/>
    <w:rsid w:val="004D4BCF"/>
    <w:rsid w:val="004D63A7"/>
    <w:rsid w:val="004D64B1"/>
    <w:rsid w:val="004D68F0"/>
    <w:rsid w:val="004D6F76"/>
    <w:rsid w:val="004D6FA3"/>
    <w:rsid w:val="004E5561"/>
    <w:rsid w:val="004E5AAA"/>
    <w:rsid w:val="004E62B8"/>
    <w:rsid w:val="004E691B"/>
    <w:rsid w:val="004E72C8"/>
    <w:rsid w:val="004E744C"/>
    <w:rsid w:val="004F037F"/>
    <w:rsid w:val="004F08CF"/>
    <w:rsid w:val="004F2BAE"/>
    <w:rsid w:val="004F5E19"/>
    <w:rsid w:val="00500A32"/>
    <w:rsid w:val="00501FF9"/>
    <w:rsid w:val="00502317"/>
    <w:rsid w:val="00503300"/>
    <w:rsid w:val="00504D2F"/>
    <w:rsid w:val="00504EAF"/>
    <w:rsid w:val="005078B2"/>
    <w:rsid w:val="00510151"/>
    <w:rsid w:val="00510B84"/>
    <w:rsid w:val="00510C9F"/>
    <w:rsid w:val="005125F8"/>
    <w:rsid w:val="00513197"/>
    <w:rsid w:val="00514F25"/>
    <w:rsid w:val="00515DCD"/>
    <w:rsid w:val="0051701E"/>
    <w:rsid w:val="00520009"/>
    <w:rsid w:val="00520E24"/>
    <w:rsid w:val="005211E4"/>
    <w:rsid w:val="00521AFF"/>
    <w:rsid w:val="005233B4"/>
    <w:rsid w:val="00523AFF"/>
    <w:rsid w:val="00523C25"/>
    <w:rsid w:val="005251A1"/>
    <w:rsid w:val="00526706"/>
    <w:rsid w:val="00527303"/>
    <w:rsid w:val="00530CB1"/>
    <w:rsid w:val="005330E1"/>
    <w:rsid w:val="00534048"/>
    <w:rsid w:val="0053488C"/>
    <w:rsid w:val="00535138"/>
    <w:rsid w:val="00536C4F"/>
    <w:rsid w:val="00536C94"/>
    <w:rsid w:val="00540330"/>
    <w:rsid w:val="005406AB"/>
    <w:rsid w:val="00540A6B"/>
    <w:rsid w:val="00540F6E"/>
    <w:rsid w:val="00540F71"/>
    <w:rsid w:val="00540F9C"/>
    <w:rsid w:val="00540FA3"/>
    <w:rsid w:val="00540FB4"/>
    <w:rsid w:val="00541394"/>
    <w:rsid w:val="00543644"/>
    <w:rsid w:val="005448C2"/>
    <w:rsid w:val="00546226"/>
    <w:rsid w:val="00546611"/>
    <w:rsid w:val="00547343"/>
    <w:rsid w:val="00551424"/>
    <w:rsid w:val="00551621"/>
    <w:rsid w:val="00553AE5"/>
    <w:rsid w:val="00560BE4"/>
    <w:rsid w:val="005615F5"/>
    <w:rsid w:val="0056427E"/>
    <w:rsid w:val="00564565"/>
    <w:rsid w:val="005657D5"/>
    <w:rsid w:val="00566A5A"/>
    <w:rsid w:val="005671E9"/>
    <w:rsid w:val="0057199F"/>
    <w:rsid w:val="00571D37"/>
    <w:rsid w:val="00571F38"/>
    <w:rsid w:val="005730E4"/>
    <w:rsid w:val="00581CBE"/>
    <w:rsid w:val="005822C7"/>
    <w:rsid w:val="005822E0"/>
    <w:rsid w:val="00582DA8"/>
    <w:rsid w:val="00583F91"/>
    <w:rsid w:val="00585519"/>
    <w:rsid w:val="005857D2"/>
    <w:rsid w:val="005857F0"/>
    <w:rsid w:val="005879D2"/>
    <w:rsid w:val="00587EB4"/>
    <w:rsid w:val="00591226"/>
    <w:rsid w:val="0059227D"/>
    <w:rsid w:val="005A2958"/>
    <w:rsid w:val="005A62B4"/>
    <w:rsid w:val="005A6609"/>
    <w:rsid w:val="005A6654"/>
    <w:rsid w:val="005A6B7A"/>
    <w:rsid w:val="005B184B"/>
    <w:rsid w:val="005B278E"/>
    <w:rsid w:val="005B579E"/>
    <w:rsid w:val="005B62FC"/>
    <w:rsid w:val="005B68A2"/>
    <w:rsid w:val="005C30DF"/>
    <w:rsid w:val="005C50E3"/>
    <w:rsid w:val="005C7C30"/>
    <w:rsid w:val="005D15D2"/>
    <w:rsid w:val="005D1937"/>
    <w:rsid w:val="005D1F0E"/>
    <w:rsid w:val="005D309D"/>
    <w:rsid w:val="005D35BF"/>
    <w:rsid w:val="005D52FC"/>
    <w:rsid w:val="005D536D"/>
    <w:rsid w:val="005D55CB"/>
    <w:rsid w:val="005D60DE"/>
    <w:rsid w:val="005D79AA"/>
    <w:rsid w:val="005D7BDD"/>
    <w:rsid w:val="005E0947"/>
    <w:rsid w:val="005E0F48"/>
    <w:rsid w:val="005E0F5E"/>
    <w:rsid w:val="005E10C9"/>
    <w:rsid w:val="005E1833"/>
    <w:rsid w:val="005E384D"/>
    <w:rsid w:val="005E3EE3"/>
    <w:rsid w:val="005E3F2A"/>
    <w:rsid w:val="005E3F73"/>
    <w:rsid w:val="005E40C4"/>
    <w:rsid w:val="005E4B2B"/>
    <w:rsid w:val="005E4F02"/>
    <w:rsid w:val="005E6805"/>
    <w:rsid w:val="005E7FA8"/>
    <w:rsid w:val="005F00F4"/>
    <w:rsid w:val="005F0848"/>
    <w:rsid w:val="005F0FBC"/>
    <w:rsid w:val="005F1658"/>
    <w:rsid w:val="005F1B9B"/>
    <w:rsid w:val="005F3C2B"/>
    <w:rsid w:val="005F4933"/>
    <w:rsid w:val="005F5893"/>
    <w:rsid w:val="005F7751"/>
    <w:rsid w:val="006011C4"/>
    <w:rsid w:val="00602161"/>
    <w:rsid w:val="00602277"/>
    <w:rsid w:val="00603D00"/>
    <w:rsid w:val="006049E9"/>
    <w:rsid w:val="006062D2"/>
    <w:rsid w:val="0060685F"/>
    <w:rsid w:val="00606C18"/>
    <w:rsid w:val="00607075"/>
    <w:rsid w:val="0061037F"/>
    <w:rsid w:val="006104EC"/>
    <w:rsid w:val="00612DAF"/>
    <w:rsid w:val="0061315E"/>
    <w:rsid w:val="00613295"/>
    <w:rsid w:val="00613F1D"/>
    <w:rsid w:val="00614497"/>
    <w:rsid w:val="00614FC5"/>
    <w:rsid w:val="00617555"/>
    <w:rsid w:val="00620207"/>
    <w:rsid w:val="00622F3B"/>
    <w:rsid w:val="00624557"/>
    <w:rsid w:val="00625086"/>
    <w:rsid w:val="0062666D"/>
    <w:rsid w:val="00627FEF"/>
    <w:rsid w:val="0063087E"/>
    <w:rsid w:val="00633067"/>
    <w:rsid w:val="0063355F"/>
    <w:rsid w:val="00633B73"/>
    <w:rsid w:val="006343DB"/>
    <w:rsid w:val="00636EDD"/>
    <w:rsid w:val="00637206"/>
    <w:rsid w:val="00637681"/>
    <w:rsid w:val="00640459"/>
    <w:rsid w:val="00640EB2"/>
    <w:rsid w:val="006463B3"/>
    <w:rsid w:val="00646BB6"/>
    <w:rsid w:val="00647226"/>
    <w:rsid w:val="006478EC"/>
    <w:rsid w:val="00647FCD"/>
    <w:rsid w:val="00650044"/>
    <w:rsid w:val="0065093C"/>
    <w:rsid w:val="00651326"/>
    <w:rsid w:val="00651551"/>
    <w:rsid w:val="00651E35"/>
    <w:rsid w:val="00652D4D"/>
    <w:rsid w:val="00653156"/>
    <w:rsid w:val="00660161"/>
    <w:rsid w:val="0066073F"/>
    <w:rsid w:val="006634EC"/>
    <w:rsid w:val="0066425E"/>
    <w:rsid w:val="006662D7"/>
    <w:rsid w:val="006669AA"/>
    <w:rsid w:val="006679FB"/>
    <w:rsid w:val="00670925"/>
    <w:rsid w:val="006720C1"/>
    <w:rsid w:val="006720CC"/>
    <w:rsid w:val="006741F6"/>
    <w:rsid w:val="00675640"/>
    <w:rsid w:val="0067592D"/>
    <w:rsid w:val="00675AA6"/>
    <w:rsid w:val="0067697B"/>
    <w:rsid w:val="00677494"/>
    <w:rsid w:val="006800D1"/>
    <w:rsid w:val="00680202"/>
    <w:rsid w:val="00681A59"/>
    <w:rsid w:val="0068275C"/>
    <w:rsid w:val="00682DC6"/>
    <w:rsid w:val="00683C0F"/>
    <w:rsid w:val="0068462B"/>
    <w:rsid w:val="00684E34"/>
    <w:rsid w:val="00685A47"/>
    <w:rsid w:val="00687B3C"/>
    <w:rsid w:val="006923FE"/>
    <w:rsid w:val="006927DA"/>
    <w:rsid w:val="0069413D"/>
    <w:rsid w:val="00694BE8"/>
    <w:rsid w:val="006951D4"/>
    <w:rsid w:val="00695C46"/>
    <w:rsid w:val="006A16E0"/>
    <w:rsid w:val="006A1F40"/>
    <w:rsid w:val="006A21FC"/>
    <w:rsid w:val="006A2C05"/>
    <w:rsid w:val="006A2E10"/>
    <w:rsid w:val="006A3A8D"/>
    <w:rsid w:val="006A5880"/>
    <w:rsid w:val="006A5C39"/>
    <w:rsid w:val="006A7169"/>
    <w:rsid w:val="006B191B"/>
    <w:rsid w:val="006B1CBC"/>
    <w:rsid w:val="006B2BF6"/>
    <w:rsid w:val="006B2EB2"/>
    <w:rsid w:val="006B4C09"/>
    <w:rsid w:val="006B5BE7"/>
    <w:rsid w:val="006B789F"/>
    <w:rsid w:val="006C17C9"/>
    <w:rsid w:val="006C1CF0"/>
    <w:rsid w:val="006C239E"/>
    <w:rsid w:val="006C24D6"/>
    <w:rsid w:val="006C3634"/>
    <w:rsid w:val="006C3E26"/>
    <w:rsid w:val="006C6840"/>
    <w:rsid w:val="006C6C96"/>
    <w:rsid w:val="006D068F"/>
    <w:rsid w:val="006D0AB9"/>
    <w:rsid w:val="006D163B"/>
    <w:rsid w:val="006D5BF5"/>
    <w:rsid w:val="006D6830"/>
    <w:rsid w:val="006D68FD"/>
    <w:rsid w:val="006D7410"/>
    <w:rsid w:val="006D7C83"/>
    <w:rsid w:val="006E00C6"/>
    <w:rsid w:val="006E0163"/>
    <w:rsid w:val="006E02DC"/>
    <w:rsid w:val="006E1023"/>
    <w:rsid w:val="006E1A45"/>
    <w:rsid w:val="006E2350"/>
    <w:rsid w:val="006E254C"/>
    <w:rsid w:val="006E3755"/>
    <w:rsid w:val="006E4368"/>
    <w:rsid w:val="006E688F"/>
    <w:rsid w:val="006E700D"/>
    <w:rsid w:val="006F197C"/>
    <w:rsid w:val="006F3158"/>
    <w:rsid w:val="006F3935"/>
    <w:rsid w:val="006F5543"/>
    <w:rsid w:val="006F5AAB"/>
    <w:rsid w:val="006F68EF"/>
    <w:rsid w:val="006F6F3F"/>
    <w:rsid w:val="006F7168"/>
    <w:rsid w:val="006F7FDF"/>
    <w:rsid w:val="007051E3"/>
    <w:rsid w:val="007061A1"/>
    <w:rsid w:val="007067F0"/>
    <w:rsid w:val="00707367"/>
    <w:rsid w:val="00707CA5"/>
    <w:rsid w:val="00707F44"/>
    <w:rsid w:val="0071025C"/>
    <w:rsid w:val="00710C71"/>
    <w:rsid w:val="00710DDA"/>
    <w:rsid w:val="00711F21"/>
    <w:rsid w:val="0071275D"/>
    <w:rsid w:val="00712A13"/>
    <w:rsid w:val="007143B5"/>
    <w:rsid w:val="0071547E"/>
    <w:rsid w:val="00715DBD"/>
    <w:rsid w:val="0071706B"/>
    <w:rsid w:val="007208E7"/>
    <w:rsid w:val="00720FEB"/>
    <w:rsid w:val="007232F7"/>
    <w:rsid w:val="007236BA"/>
    <w:rsid w:val="00723B55"/>
    <w:rsid w:val="007242B1"/>
    <w:rsid w:val="00724C36"/>
    <w:rsid w:val="0072620F"/>
    <w:rsid w:val="00727432"/>
    <w:rsid w:val="00730C59"/>
    <w:rsid w:val="007314A2"/>
    <w:rsid w:val="00731BB8"/>
    <w:rsid w:val="00732E1C"/>
    <w:rsid w:val="0073314D"/>
    <w:rsid w:val="0073587B"/>
    <w:rsid w:val="00737751"/>
    <w:rsid w:val="00740832"/>
    <w:rsid w:val="007411A2"/>
    <w:rsid w:val="007417FF"/>
    <w:rsid w:val="00741986"/>
    <w:rsid w:val="0074404D"/>
    <w:rsid w:val="00744DEE"/>
    <w:rsid w:val="00745A6F"/>
    <w:rsid w:val="00745AC1"/>
    <w:rsid w:val="007479C6"/>
    <w:rsid w:val="00752487"/>
    <w:rsid w:val="00753041"/>
    <w:rsid w:val="007539AF"/>
    <w:rsid w:val="007550A6"/>
    <w:rsid w:val="007552A1"/>
    <w:rsid w:val="007566A4"/>
    <w:rsid w:val="00757DB4"/>
    <w:rsid w:val="00760729"/>
    <w:rsid w:val="00760A28"/>
    <w:rsid w:val="007610E5"/>
    <w:rsid w:val="00763B67"/>
    <w:rsid w:val="00765953"/>
    <w:rsid w:val="0076636B"/>
    <w:rsid w:val="007677AA"/>
    <w:rsid w:val="007704CC"/>
    <w:rsid w:val="00770B79"/>
    <w:rsid w:val="007719FC"/>
    <w:rsid w:val="00772A95"/>
    <w:rsid w:val="00772C26"/>
    <w:rsid w:val="00772D6A"/>
    <w:rsid w:val="00772F4A"/>
    <w:rsid w:val="00773930"/>
    <w:rsid w:val="00773EFF"/>
    <w:rsid w:val="00775CD1"/>
    <w:rsid w:val="00775F9A"/>
    <w:rsid w:val="00777457"/>
    <w:rsid w:val="007777EA"/>
    <w:rsid w:val="00777ACA"/>
    <w:rsid w:val="00780386"/>
    <w:rsid w:val="00780B55"/>
    <w:rsid w:val="00781622"/>
    <w:rsid w:val="00783025"/>
    <w:rsid w:val="007842CF"/>
    <w:rsid w:val="00784306"/>
    <w:rsid w:val="0078497F"/>
    <w:rsid w:val="007850B8"/>
    <w:rsid w:val="007907F5"/>
    <w:rsid w:val="007909E4"/>
    <w:rsid w:val="00790F66"/>
    <w:rsid w:val="007921ED"/>
    <w:rsid w:val="00792220"/>
    <w:rsid w:val="00792A17"/>
    <w:rsid w:val="00793236"/>
    <w:rsid w:val="00793496"/>
    <w:rsid w:val="00793DC7"/>
    <w:rsid w:val="00795144"/>
    <w:rsid w:val="007A22A4"/>
    <w:rsid w:val="007A26AD"/>
    <w:rsid w:val="007A4E66"/>
    <w:rsid w:val="007A74FB"/>
    <w:rsid w:val="007A78DA"/>
    <w:rsid w:val="007A7B24"/>
    <w:rsid w:val="007A7DDE"/>
    <w:rsid w:val="007B01C1"/>
    <w:rsid w:val="007B1803"/>
    <w:rsid w:val="007B1C33"/>
    <w:rsid w:val="007B312C"/>
    <w:rsid w:val="007B3934"/>
    <w:rsid w:val="007B4865"/>
    <w:rsid w:val="007B4EA2"/>
    <w:rsid w:val="007B5CAC"/>
    <w:rsid w:val="007B75B9"/>
    <w:rsid w:val="007B75DB"/>
    <w:rsid w:val="007B7698"/>
    <w:rsid w:val="007C2633"/>
    <w:rsid w:val="007C2E0C"/>
    <w:rsid w:val="007C3797"/>
    <w:rsid w:val="007C3FD5"/>
    <w:rsid w:val="007C530B"/>
    <w:rsid w:val="007C5C61"/>
    <w:rsid w:val="007C66B9"/>
    <w:rsid w:val="007C7907"/>
    <w:rsid w:val="007C7B64"/>
    <w:rsid w:val="007D1BC2"/>
    <w:rsid w:val="007D4230"/>
    <w:rsid w:val="007D52CF"/>
    <w:rsid w:val="007D60CC"/>
    <w:rsid w:val="007D795F"/>
    <w:rsid w:val="007D7C6E"/>
    <w:rsid w:val="007E1FFC"/>
    <w:rsid w:val="007E33FD"/>
    <w:rsid w:val="007E4D48"/>
    <w:rsid w:val="007E5E67"/>
    <w:rsid w:val="007E6670"/>
    <w:rsid w:val="007F099A"/>
    <w:rsid w:val="007F2D7A"/>
    <w:rsid w:val="007F368C"/>
    <w:rsid w:val="007F410D"/>
    <w:rsid w:val="007F411F"/>
    <w:rsid w:val="007F448A"/>
    <w:rsid w:val="007F45C1"/>
    <w:rsid w:val="007F4CE3"/>
    <w:rsid w:val="007F5011"/>
    <w:rsid w:val="007F5088"/>
    <w:rsid w:val="007F5DA9"/>
    <w:rsid w:val="00801BEE"/>
    <w:rsid w:val="00804E90"/>
    <w:rsid w:val="00804FB9"/>
    <w:rsid w:val="00805819"/>
    <w:rsid w:val="00805E00"/>
    <w:rsid w:val="00807732"/>
    <w:rsid w:val="00812F7C"/>
    <w:rsid w:val="008133FE"/>
    <w:rsid w:val="00813844"/>
    <w:rsid w:val="00814E95"/>
    <w:rsid w:val="00815CB0"/>
    <w:rsid w:val="00815F9A"/>
    <w:rsid w:val="0082003A"/>
    <w:rsid w:val="008201C8"/>
    <w:rsid w:val="0082126B"/>
    <w:rsid w:val="008219C8"/>
    <w:rsid w:val="008227CE"/>
    <w:rsid w:val="0082294B"/>
    <w:rsid w:val="008232F9"/>
    <w:rsid w:val="008234E5"/>
    <w:rsid w:val="00823D25"/>
    <w:rsid w:val="00824A2F"/>
    <w:rsid w:val="00825424"/>
    <w:rsid w:val="0082555E"/>
    <w:rsid w:val="00825678"/>
    <w:rsid w:val="00826255"/>
    <w:rsid w:val="00826718"/>
    <w:rsid w:val="008270F0"/>
    <w:rsid w:val="0083049A"/>
    <w:rsid w:val="00831F87"/>
    <w:rsid w:val="008327D6"/>
    <w:rsid w:val="0083357C"/>
    <w:rsid w:val="008340FA"/>
    <w:rsid w:val="00834440"/>
    <w:rsid w:val="00836490"/>
    <w:rsid w:val="008369F4"/>
    <w:rsid w:val="00842A18"/>
    <w:rsid w:val="008447DD"/>
    <w:rsid w:val="00845428"/>
    <w:rsid w:val="008470C0"/>
    <w:rsid w:val="008474FB"/>
    <w:rsid w:val="00847520"/>
    <w:rsid w:val="00847C36"/>
    <w:rsid w:val="00847EAB"/>
    <w:rsid w:val="00850C56"/>
    <w:rsid w:val="00851801"/>
    <w:rsid w:val="008519E8"/>
    <w:rsid w:val="00854294"/>
    <w:rsid w:val="00854E2F"/>
    <w:rsid w:val="008556FE"/>
    <w:rsid w:val="00857535"/>
    <w:rsid w:val="0085788D"/>
    <w:rsid w:val="00861860"/>
    <w:rsid w:val="008631F9"/>
    <w:rsid w:val="00865157"/>
    <w:rsid w:val="00865457"/>
    <w:rsid w:val="00865E93"/>
    <w:rsid w:val="00865E99"/>
    <w:rsid w:val="00865EA0"/>
    <w:rsid w:val="008672A8"/>
    <w:rsid w:val="008672EA"/>
    <w:rsid w:val="00867AD4"/>
    <w:rsid w:val="008728A7"/>
    <w:rsid w:val="00872AB3"/>
    <w:rsid w:val="008737C9"/>
    <w:rsid w:val="00873D94"/>
    <w:rsid w:val="00875277"/>
    <w:rsid w:val="008763B5"/>
    <w:rsid w:val="00883271"/>
    <w:rsid w:val="00884AE6"/>
    <w:rsid w:val="00890111"/>
    <w:rsid w:val="008902DC"/>
    <w:rsid w:val="0089643C"/>
    <w:rsid w:val="00896814"/>
    <w:rsid w:val="008A04DA"/>
    <w:rsid w:val="008A189B"/>
    <w:rsid w:val="008A20A9"/>
    <w:rsid w:val="008A25B4"/>
    <w:rsid w:val="008A2921"/>
    <w:rsid w:val="008A35B9"/>
    <w:rsid w:val="008A3686"/>
    <w:rsid w:val="008A387C"/>
    <w:rsid w:val="008A5327"/>
    <w:rsid w:val="008A5B7C"/>
    <w:rsid w:val="008A6197"/>
    <w:rsid w:val="008A6614"/>
    <w:rsid w:val="008B0544"/>
    <w:rsid w:val="008B10D3"/>
    <w:rsid w:val="008B2B9A"/>
    <w:rsid w:val="008B4518"/>
    <w:rsid w:val="008B4CAE"/>
    <w:rsid w:val="008B5195"/>
    <w:rsid w:val="008B5DE8"/>
    <w:rsid w:val="008B6724"/>
    <w:rsid w:val="008B71CD"/>
    <w:rsid w:val="008C28F8"/>
    <w:rsid w:val="008C30D1"/>
    <w:rsid w:val="008C65B5"/>
    <w:rsid w:val="008C7601"/>
    <w:rsid w:val="008C78F9"/>
    <w:rsid w:val="008C7992"/>
    <w:rsid w:val="008C7A88"/>
    <w:rsid w:val="008D171C"/>
    <w:rsid w:val="008D1AEF"/>
    <w:rsid w:val="008D1C42"/>
    <w:rsid w:val="008D2089"/>
    <w:rsid w:val="008D2806"/>
    <w:rsid w:val="008D299E"/>
    <w:rsid w:val="008D3EBB"/>
    <w:rsid w:val="008D5760"/>
    <w:rsid w:val="008D622C"/>
    <w:rsid w:val="008D7119"/>
    <w:rsid w:val="008D7918"/>
    <w:rsid w:val="008D7D29"/>
    <w:rsid w:val="008E01AC"/>
    <w:rsid w:val="008E06B2"/>
    <w:rsid w:val="008E1984"/>
    <w:rsid w:val="008E4371"/>
    <w:rsid w:val="008F04DF"/>
    <w:rsid w:val="008F2B0B"/>
    <w:rsid w:val="008F3494"/>
    <w:rsid w:val="008F3D6C"/>
    <w:rsid w:val="008F4A0B"/>
    <w:rsid w:val="008F4ACE"/>
    <w:rsid w:val="008F4B1C"/>
    <w:rsid w:val="008F7622"/>
    <w:rsid w:val="008F7B55"/>
    <w:rsid w:val="00900897"/>
    <w:rsid w:val="009017FD"/>
    <w:rsid w:val="009040E8"/>
    <w:rsid w:val="00904F06"/>
    <w:rsid w:val="009054B6"/>
    <w:rsid w:val="00905C05"/>
    <w:rsid w:val="009068ED"/>
    <w:rsid w:val="00906A8D"/>
    <w:rsid w:val="00914F0C"/>
    <w:rsid w:val="009163CC"/>
    <w:rsid w:val="0092116C"/>
    <w:rsid w:val="00921524"/>
    <w:rsid w:val="00921C43"/>
    <w:rsid w:val="00921FEB"/>
    <w:rsid w:val="009221A4"/>
    <w:rsid w:val="0092460F"/>
    <w:rsid w:val="00926A25"/>
    <w:rsid w:val="00926A9E"/>
    <w:rsid w:val="00927045"/>
    <w:rsid w:val="009274BE"/>
    <w:rsid w:val="0093005A"/>
    <w:rsid w:val="00931539"/>
    <w:rsid w:val="00932B6C"/>
    <w:rsid w:val="0093541E"/>
    <w:rsid w:val="0093561D"/>
    <w:rsid w:val="00935D7B"/>
    <w:rsid w:val="00936222"/>
    <w:rsid w:val="0093720F"/>
    <w:rsid w:val="009376AE"/>
    <w:rsid w:val="009410EF"/>
    <w:rsid w:val="009431BB"/>
    <w:rsid w:val="00944C2E"/>
    <w:rsid w:val="00945C96"/>
    <w:rsid w:val="00945FD9"/>
    <w:rsid w:val="00946B82"/>
    <w:rsid w:val="00951498"/>
    <w:rsid w:val="00951751"/>
    <w:rsid w:val="00954736"/>
    <w:rsid w:val="00955656"/>
    <w:rsid w:val="00956046"/>
    <w:rsid w:val="00956BAB"/>
    <w:rsid w:val="00956F5F"/>
    <w:rsid w:val="00957568"/>
    <w:rsid w:val="00960987"/>
    <w:rsid w:val="0096263D"/>
    <w:rsid w:val="009627C3"/>
    <w:rsid w:val="00963061"/>
    <w:rsid w:val="00965F9F"/>
    <w:rsid w:val="00965FB8"/>
    <w:rsid w:val="00966D5D"/>
    <w:rsid w:val="00966FDE"/>
    <w:rsid w:val="009713A0"/>
    <w:rsid w:val="00971BDC"/>
    <w:rsid w:val="009733C6"/>
    <w:rsid w:val="00973BAC"/>
    <w:rsid w:val="009745A3"/>
    <w:rsid w:val="00974734"/>
    <w:rsid w:val="00977119"/>
    <w:rsid w:val="009836BE"/>
    <w:rsid w:val="009842CB"/>
    <w:rsid w:val="00987B00"/>
    <w:rsid w:val="00990A54"/>
    <w:rsid w:val="00991EAC"/>
    <w:rsid w:val="00991F00"/>
    <w:rsid w:val="00992674"/>
    <w:rsid w:val="00992826"/>
    <w:rsid w:val="009932FA"/>
    <w:rsid w:val="00995CAE"/>
    <w:rsid w:val="00996449"/>
    <w:rsid w:val="0099649B"/>
    <w:rsid w:val="009A116E"/>
    <w:rsid w:val="009A154F"/>
    <w:rsid w:val="009A1E41"/>
    <w:rsid w:val="009A2361"/>
    <w:rsid w:val="009A49FE"/>
    <w:rsid w:val="009A4FED"/>
    <w:rsid w:val="009A58C3"/>
    <w:rsid w:val="009A6424"/>
    <w:rsid w:val="009A7301"/>
    <w:rsid w:val="009A74C8"/>
    <w:rsid w:val="009B2817"/>
    <w:rsid w:val="009B39F7"/>
    <w:rsid w:val="009B41E1"/>
    <w:rsid w:val="009B4B34"/>
    <w:rsid w:val="009B5D40"/>
    <w:rsid w:val="009B65C3"/>
    <w:rsid w:val="009B7464"/>
    <w:rsid w:val="009C10C0"/>
    <w:rsid w:val="009C216E"/>
    <w:rsid w:val="009C2300"/>
    <w:rsid w:val="009C6A84"/>
    <w:rsid w:val="009C7ABA"/>
    <w:rsid w:val="009C7B63"/>
    <w:rsid w:val="009C7BC2"/>
    <w:rsid w:val="009C7CDF"/>
    <w:rsid w:val="009D0281"/>
    <w:rsid w:val="009D1550"/>
    <w:rsid w:val="009D220C"/>
    <w:rsid w:val="009D34A7"/>
    <w:rsid w:val="009D3BCC"/>
    <w:rsid w:val="009D3FC7"/>
    <w:rsid w:val="009D55CB"/>
    <w:rsid w:val="009E05D0"/>
    <w:rsid w:val="009E1474"/>
    <w:rsid w:val="009E4454"/>
    <w:rsid w:val="009E4C7F"/>
    <w:rsid w:val="009F0ED5"/>
    <w:rsid w:val="009F147C"/>
    <w:rsid w:val="009F181F"/>
    <w:rsid w:val="009F1C22"/>
    <w:rsid w:val="009F3298"/>
    <w:rsid w:val="009F39AE"/>
    <w:rsid w:val="009F3D36"/>
    <w:rsid w:val="009F4219"/>
    <w:rsid w:val="009F50BA"/>
    <w:rsid w:val="009F5462"/>
    <w:rsid w:val="009F796C"/>
    <w:rsid w:val="009F7D25"/>
    <w:rsid w:val="009F7D50"/>
    <w:rsid w:val="009F7D96"/>
    <w:rsid w:val="00A0045B"/>
    <w:rsid w:val="00A00C39"/>
    <w:rsid w:val="00A0227F"/>
    <w:rsid w:val="00A03087"/>
    <w:rsid w:val="00A03B71"/>
    <w:rsid w:val="00A03D8B"/>
    <w:rsid w:val="00A03E5E"/>
    <w:rsid w:val="00A046A2"/>
    <w:rsid w:val="00A05518"/>
    <w:rsid w:val="00A07364"/>
    <w:rsid w:val="00A100A7"/>
    <w:rsid w:val="00A1077C"/>
    <w:rsid w:val="00A11C3E"/>
    <w:rsid w:val="00A129FF"/>
    <w:rsid w:val="00A143FD"/>
    <w:rsid w:val="00A14D51"/>
    <w:rsid w:val="00A16459"/>
    <w:rsid w:val="00A165ED"/>
    <w:rsid w:val="00A21BCD"/>
    <w:rsid w:val="00A23144"/>
    <w:rsid w:val="00A23706"/>
    <w:rsid w:val="00A23DE1"/>
    <w:rsid w:val="00A23FA3"/>
    <w:rsid w:val="00A24F61"/>
    <w:rsid w:val="00A27342"/>
    <w:rsid w:val="00A3093A"/>
    <w:rsid w:val="00A30A17"/>
    <w:rsid w:val="00A31A7E"/>
    <w:rsid w:val="00A326CA"/>
    <w:rsid w:val="00A32B1A"/>
    <w:rsid w:val="00A331B9"/>
    <w:rsid w:val="00A338A1"/>
    <w:rsid w:val="00A3411B"/>
    <w:rsid w:val="00A36ADD"/>
    <w:rsid w:val="00A36EE4"/>
    <w:rsid w:val="00A37601"/>
    <w:rsid w:val="00A42822"/>
    <w:rsid w:val="00A432C9"/>
    <w:rsid w:val="00A45310"/>
    <w:rsid w:val="00A468EC"/>
    <w:rsid w:val="00A46E4E"/>
    <w:rsid w:val="00A539BE"/>
    <w:rsid w:val="00A5423E"/>
    <w:rsid w:val="00A548DC"/>
    <w:rsid w:val="00A55D87"/>
    <w:rsid w:val="00A6001D"/>
    <w:rsid w:val="00A6053D"/>
    <w:rsid w:val="00A6130D"/>
    <w:rsid w:val="00A62173"/>
    <w:rsid w:val="00A62D3C"/>
    <w:rsid w:val="00A641E6"/>
    <w:rsid w:val="00A6505B"/>
    <w:rsid w:val="00A657F0"/>
    <w:rsid w:val="00A67C6C"/>
    <w:rsid w:val="00A67C86"/>
    <w:rsid w:val="00A70420"/>
    <w:rsid w:val="00A7343B"/>
    <w:rsid w:val="00A7359A"/>
    <w:rsid w:val="00A74C54"/>
    <w:rsid w:val="00A76A16"/>
    <w:rsid w:val="00A76EC9"/>
    <w:rsid w:val="00A811D3"/>
    <w:rsid w:val="00A81503"/>
    <w:rsid w:val="00A81BD2"/>
    <w:rsid w:val="00A821BE"/>
    <w:rsid w:val="00A8245E"/>
    <w:rsid w:val="00A82AC4"/>
    <w:rsid w:val="00A83BE6"/>
    <w:rsid w:val="00A847C9"/>
    <w:rsid w:val="00A858E0"/>
    <w:rsid w:val="00A859F0"/>
    <w:rsid w:val="00A85DFA"/>
    <w:rsid w:val="00A8718F"/>
    <w:rsid w:val="00A90E38"/>
    <w:rsid w:val="00A92AD7"/>
    <w:rsid w:val="00A9344A"/>
    <w:rsid w:val="00A93910"/>
    <w:rsid w:val="00A93D2A"/>
    <w:rsid w:val="00A93DCF"/>
    <w:rsid w:val="00A94A6A"/>
    <w:rsid w:val="00A94AE7"/>
    <w:rsid w:val="00A953E1"/>
    <w:rsid w:val="00A96722"/>
    <w:rsid w:val="00A96900"/>
    <w:rsid w:val="00AA2CA0"/>
    <w:rsid w:val="00AA428F"/>
    <w:rsid w:val="00AA575C"/>
    <w:rsid w:val="00AA5B85"/>
    <w:rsid w:val="00AB0A75"/>
    <w:rsid w:val="00AB11DA"/>
    <w:rsid w:val="00AB125A"/>
    <w:rsid w:val="00AB38A1"/>
    <w:rsid w:val="00AB4083"/>
    <w:rsid w:val="00AB5072"/>
    <w:rsid w:val="00AB560B"/>
    <w:rsid w:val="00AB6F06"/>
    <w:rsid w:val="00AC0882"/>
    <w:rsid w:val="00AC095B"/>
    <w:rsid w:val="00AC0B7A"/>
    <w:rsid w:val="00AC1339"/>
    <w:rsid w:val="00AC19B0"/>
    <w:rsid w:val="00AC2655"/>
    <w:rsid w:val="00AC341C"/>
    <w:rsid w:val="00AC48E9"/>
    <w:rsid w:val="00AC4B99"/>
    <w:rsid w:val="00AC4C29"/>
    <w:rsid w:val="00AC62BE"/>
    <w:rsid w:val="00AC68B1"/>
    <w:rsid w:val="00AC6F66"/>
    <w:rsid w:val="00AC7831"/>
    <w:rsid w:val="00AD1288"/>
    <w:rsid w:val="00AD1812"/>
    <w:rsid w:val="00AD2130"/>
    <w:rsid w:val="00AD3F84"/>
    <w:rsid w:val="00AD56E0"/>
    <w:rsid w:val="00AD5BC4"/>
    <w:rsid w:val="00AD61AA"/>
    <w:rsid w:val="00AE05CD"/>
    <w:rsid w:val="00AE0600"/>
    <w:rsid w:val="00AE15E5"/>
    <w:rsid w:val="00AE2EB2"/>
    <w:rsid w:val="00AE3F4B"/>
    <w:rsid w:val="00AE42A8"/>
    <w:rsid w:val="00AE49D4"/>
    <w:rsid w:val="00AE4B47"/>
    <w:rsid w:val="00AE70EB"/>
    <w:rsid w:val="00AE7E21"/>
    <w:rsid w:val="00AF0E5B"/>
    <w:rsid w:val="00AF11C1"/>
    <w:rsid w:val="00AF21BA"/>
    <w:rsid w:val="00AF2DF1"/>
    <w:rsid w:val="00AF3E5B"/>
    <w:rsid w:val="00AF4001"/>
    <w:rsid w:val="00B00175"/>
    <w:rsid w:val="00B004D0"/>
    <w:rsid w:val="00B07FB1"/>
    <w:rsid w:val="00B10592"/>
    <w:rsid w:val="00B10BA4"/>
    <w:rsid w:val="00B111D8"/>
    <w:rsid w:val="00B139A0"/>
    <w:rsid w:val="00B1460A"/>
    <w:rsid w:val="00B149DB"/>
    <w:rsid w:val="00B15048"/>
    <w:rsid w:val="00B15E94"/>
    <w:rsid w:val="00B1615A"/>
    <w:rsid w:val="00B16BA7"/>
    <w:rsid w:val="00B21CC9"/>
    <w:rsid w:val="00B2255C"/>
    <w:rsid w:val="00B22AEE"/>
    <w:rsid w:val="00B23EFD"/>
    <w:rsid w:val="00B24245"/>
    <w:rsid w:val="00B25441"/>
    <w:rsid w:val="00B25899"/>
    <w:rsid w:val="00B25A45"/>
    <w:rsid w:val="00B26D2E"/>
    <w:rsid w:val="00B26DC7"/>
    <w:rsid w:val="00B273F2"/>
    <w:rsid w:val="00B301B2"/>
    <w:rsid w:val="00B30BAC"/>
    <w:rsid w:val="00B310AE"/>
    <w:rsid w:val="00B3114C"/>
    <w:rsid w:val="00B319E1"/>
    <w:rsid w:val="00B31A54"/>
    <w:rsid w:val="00B321D1"/>
    <w:rsid w:val="00B32B8A"/>
    <w:rsid w:val="00B35323"/>
    <w:rsid w:val="00B360C3"/>
    <w:rsid w:val="00B37755"/>
    <w:rsid w:val="00B37E0A"/>
    <w:rsid w:val="00B40134"/>
    <w:rsid w:val="00B40557"/>
    <w:rsid w:val="00B40860"/>
    <w:rsid w:val="00B41B06"/>
    <w:rsid w:val="00B4206A"/>
    <w:rsid w:val="00B43152"/>
    <w:rsid w:val="00B43E88"/>
    <w:rsid w:val="00B45534"/>
    <w:rsid w:val="00B460DA"/>
    <w:rsid w:val="00B47509"/>
    <w:rsid w:val="00B4795D"/>
    <w:rsid w:val="00B5084C"/>
    <w:rsid w:val="00B51678"/>
    <w:rsid w:val="00B5363F"/>
    <w:rsid w:val="00B541E6"/>
    <w:rsid w:val="00B54883"/>
    <w:rsid w:val="00B55394"/>
    <w:rsid w:val="00B561DB"/>
    <w:rsid w:val="00B60EF6"/>
    <w:rsid w:val="00B62081"/>
    <w:rsid w:val="00B63311"/>
    <w:rsid w:val="00B639E8"/>
    <w:rsid w:val="00B63EA1"/>
    <w:rsid w:val="00B64652"/>
    <w:rsid w:val="00B655C0"/>
    <w:rsid w:val="00B65A7A"/>
    <w:rsid w:val="00B70064"/>
    <w:rsid w:val="00B71A04"/>
    <w:rsid w:val="00B723AF"/>
    <w:rsid w:val="00B72859"/>
    <w:rsid w:val="00B73974"/>
    <w:rsid w:val="00B7414E"/>
    <w:rsid w:val="00B74A87"/>
    <w:rsid w:val="00B7748E"/>
    <w:rsid w:val="00B77686"/>
    <w:rsid w:val="00B77A05"/>
    <w:rsid w:val="00B80B41"/>
    <w:rsid w:val="00B829A9"/>
    <w:rsid w:val="00B841C9"/>
    <w:rsid w:val="00B845E1"/>
    <w:rsid w:val="00B84677"/>
    <w:rsid w:val="00B86CA7"/>
    <w:rsid w:val="00B93121"/>
    <w:rsid w:val="00B957DA"/>
    <w:rsid w:val="00BA139A"/>
    <w:rsid w:val="00BA4A4A"/>
    <w:rsid w:val="00BA5D60"/>
    <w:rsid w:val="00BA60BE"/>
    <w:rsid w:val="00BB0A8B"/>
    <w:rsid w:val="00BB1432"/>
    <w:rsid w:val="00BB4F99"/>
    <w:rsid w:val="00BB55CE"/>
    <w:rsid w:val="00BB6694"/>
    <w:rsid w:val="00BB6C5D"/>
    <w:rsid w:val="00BC06FE"/>
    <w:rsid w:val="00BC2559"/>
    <w:rsid w:val="00BC25E6"/>
    <w:rsid w:val="00BC2A9B"/>
    <w:rsid w:val="00BC2BF8"/>
    <w:rsid w:val="00BC65A4"/>
    <w:rsid w:val="00BC739E"/>
    <w:rsid w:val="00BC7687"/>
    <w:rsid w:val="00BD0EF2"/>
    <w:rsid w:val="00BD1EBE"/>
    <w:rsid w:val="00BD2988"/>
    <w:rsid w:val="00BD2AD5"/>
    <w:rsid w:val="00BD2DA6"/>
    <w:rsid w:val="00BD3DAC"/>
    <w:rsid w:val="00BD4600"/>
    <w:rsid w:val="00BD590D"/>
    <w:rsid w:val="00BE071C"/>
    <w:rsid w:val="00BE0CCC"/>
    <w:rsid w:val="00BE18CF"/>
    <w:rsid w:val="00BE1C6E"/>
    <w:rsid w:val="00BE284F"/>
    <w:rsid w:val="00BE355A"/>
    <w:rsid w:val="00BF05E0"/>
    <w:rsid w:val="00BF2690"/>
    <w:rsid w:val="00BF336C"/>
    <w:rsid w:val="00BF5441"/>
    <w:rsid w:val="00BF56CA"/>
    <w:rsid w:val="00BF5CFE"/>
    <w:rsid w:val="00BF5FFD"/>
    <w:rsid w:val="00BF6E55"/>
    <w:rsid w:val="00C00A14"/>
    <w:rsid w:val="00C00C91"/>
    <w:rsid w:val="00C00F8D"/>
    <w:rsid w:val="00C013DA"/>
    <w:rsid w:val="00C02829"/>
    <w:rsid w:val="00C03268"/>
    <w:rsid w:val="00C032AE"/>
    <w:rsid w:val="00C040D2"/>
    <w:rsid w:val="00C04918"/>
    <w:rsid w:val="00C0713B"/>
    <w:rsid w:val="00C07866"/>
    <w:rsid w:val="00C10659"/>
    <w:rsid w:val="00C11612"/>
    <w:rsid w:val="00C11EB0"/>
    <w:rsid w:val="00C14080"/>
    <w:rsid w:val="00C1547C"/>
    <w:rsid w:val="00C1628B"/>
    <w:rsid w:val="00C177B7"/>
    <w:rsid w:val="00C20540"/>
    <w:rsid w:val="00C20EC5"/>
    <w:rsid w:val="00C21D9E"/>
    <w:rsid w:val="00C2321C"/>
    <w:rsid w:val="00C236B8"/>
    <w:rsid w:val="00C23CE3"/>
    <w:rsid w:val="00C254F3"/>
    <w:rsid w:val="00C261AC"/>
    <w:rsid w:val="00C264D0"/>
    <w:rsid w:val="00C315C2"/>
    <w:rsid w:val="00C32AD9"/>
    <w:rsid w:val="00C353AB"/>
    <w:rsid w:val="00C3663F"/>
    <w:rsid w:val="00C3713C"/>
    <w:rsid w:val="00C3774A"/>
    <w:rsid w:val="00C37C5B"/>
    <w:rsid w:val="00C4022D"/>
    <w:rsid w:val="00C402FD"/>
    <w:rsid w:val="00C4067D"/>
    <w:rsid w:val="00C40A83"/>
    <w:rsid w:val="00C41376"/>
    <w:rsid w:val="00C41686"/>
    <w:rsid w:val="00C4171E"/>
    <w:rsid w:val="00C437A4"/>
    <w:rsid w:val="00C4513E"/>
    <w:rsid w:val="00C50F85"/>
    <w:rsid w:val="00C5252D"/>
    <w:rsid w:val="00C53C0E"/>
    <w:rsid w:val="00C55928"/>
    <w:rsid w:val="00C5657E"/>
    <w:rsid w:val="00C579C0"/>
    <w:rsid w:val="00C6068B"/>
    <w:rsid w:val="00C60A2E"/>
    <w:rsid w:val="00C62593"/>
    <w:rsid w:val="00C62ABB"/>
    <w:rsid w:val="00C62FC2"/>
    <w:rsid w:val="00C63026"/>
    <w:rsid w:val="00C63E9A"/>
    <w:rsid w:val="00C65FAC"/>
    <w:rsid w:val="00C6718D"/>
    <w:rsid w:val="00C703AC"/>
    <w:rsid w:val="00C73270"/>
    <w:rsid w:val="00C74161"/>
    <w:rsid w:val="00C75733"/>
    <w:rsid w:val="00C75F97"/>
    <w:rsid w:val="00C77602"/>
    <w:rsid w:val="00C81BEF"/>
    <w:rsid w:val="00C83AAC"/>
    <w:rsid w:val="00C845F4"/>
    <w:rsid w:val="00C84D09"/>
    <w:rsid w:val="00C86258"/>
    <w:rsid w:val="00C90726"/>
    <w:rsid w:val="00C90C3C"/>
    <w:rsid w:val="00C934EB"/>
    <w:rsid w:val="00C9464B"/>
    <w:rsid w:val="00C94730"/>
    <w:rsid w:val="00C95F6C"/>
    <w:rsid w:val="00C9626F"/>
    <w:rsid w:val="00C969A8"/>
    <w:rsid w:val="00C96D86"/>
    <w:rsid w:val="00C97B5D"/>
    <w:rsid w:val="00CA127A"/>
    <w:rsid w:val="00CA1709"/>
    <w:rsid w:val="00CA2BFD"/>
    <w:rsid w:val="00CA2FFA"/>
    <w:rsid w:val="00CA47E6"/>
    <w:rsid w:val="00CA56CE"/>
    <w:rsid w:val="00CA5B79"/>
    <w:rsid w:val="00CA5F8D"/>
    <w:rsid w:val="00CB01EF"/>
    <w:rsid w:val="00CB1B10"/>
    <w:rsid w:val="00CB29E3"/>
    <w:rsid w:val="00CB4EF1"/>
    <w:rsid w:val="00CB52BE"/>
    <w:rsid w:val="00CB5C21"/>
    <w:rsid w:val="00CC06FA"/>
    <w:rsid w:val="00CC079E"/>
    <w:rsid w:val="00CC0CE4"/>
    <w:rsid w:val="00CC1209"/>
    <w:rsid w:val="00CC19EC"/>
    <w:rsid w:val="00CC1B44"/>
    <w:rsid w:val="00CC24E7"/>
    <w:rsid w:val="00CC259D"/>
    <w:rsid w:val="00CC2A7E"/>
    <w:rsid w:val="00CC3198"/>
    <w:rsid w:val="00CC31F3"/>
    <w:rsid w:val="00CC3207"/>
    <w:rsid w:val="00CC4341"/>
    <w:rsid w:val="00CC4EA6"/>
    <w:rsid w:val="00CC63A2"/>
    <w:rsid w:val="00CC6EEC"/>
    <w:rsid w:val="00CD08EB"/>
    <w:rsid w:val="00CD0962"/>
    <w:rsid w:val="00CD0DA6"/>
    <w:rsid w:val="00CD0F31"/>
    <w:rsid w:val="00CD112F"/>
    <w:rsid w:val="00CD2347"/>
    <w:rsid w:val="00CD3EE0"/>
    <w:rsid w:val="00CD4672"/>
    <w:rsid w:val="00CD539C"/>
    <w:rsid w:val="00CD5971"/>
    <w:rsid w:val="00CD60F6"/>
    <w:rsid w:val="00CD6F3E"/>
    <w:rsid w:val="00CD79BB"/>
    <w:rsid w:val="00CE0C37"/>
    <w:rsid w:val="00CE2057"/>
    <w:rsid w:val="00CE24F0"/>
    <w:rsid w:val="00CE3580"/>
    <w:rsid w:val="00CE3DB6"/>
    <w:rsid w:val="00CE479D"/>
    <w:rsid w:val="00CE4D80"/>
    <w:rsid w:val="00CE5CEB"/>
    <w:rsid w:val="00CE738D"/>
    <w:rsid w:val="00CE7C66"/>
    <w:rsid w:val="00CF0F38"/>
    <w:rsid w:val="00CF19AB"/>
    <w:rsid w:val="00CF19BF"/>
    <w:rsid w:val="00CF235A"/>
    <w:rsid w:val="00CF26E1"/>
    <w:rsid w:val="00CF3764"/>
    <w:rsid w:val="00CF3C6D"/>
    <w:rsid w:val="00CF4C0D"/>
    <w:rsid w:val="00CF5EAD"/>
    <w:rsid w:val="00CF651A"/>
    <w:rsid w:val="00CF6B36"/>
    <w:rsid w:val="00D00BB0"/>
    <w:rsid w:val="00D011C3"/>
    <w:rsid w:val="00D012D8"/>
    <w:rsid w:val="00D01C7B"/>
    <w:rsid w:val="00D04F67"/>
    <w:rsid w:val="00D04F7A"/>
    <w:rsid w:val="00D04FEA"/>
    <w:rsid w:val="00D05FA7"/>
    <w:rsid w:val="00D07096"/>
    <w:rsid w:val="00D1050E"/>
    <w:rsid w:val="00D11FA1"/>
    <w:rsid w:val="00D14D7E"/>
    <w:rsid w:val="00D14F0B"/>
    <w:rsid w:val="00D17B49"/>
    <w:rsid w:val="00D2024F"/>
    <w:rsid w:val="00D203F0"/>
    <w:rsid w:val="00D22FB1"/>
    <w:rsid w:val="00D2405D"/>
    <w:rsid w:val="00D24337"/>
    <w:rsid w:val="00D25D39"/>
    <w:rsid w:val="00D27175"/>
    <w:rsid w:val="00D3122D"/>
    <w:rsid w:val="00D31E44"/>
    <w:rsid w:val="00D320F3"/>
    <w:rsid w:val="00D325B6"/>
    <w:rsid w:val="00D33289"/>
    <w:rsid w:val="00D3360D"/>
    <w:rsid w:val="00D33620"/>
    <w:rsid w:val="00D339BA"/>
    <w:rsid w:val="00D33F3D"/>
    <w:rsid w:val="00D34E6F"/>
    <w:rsid w:val="00D35990"/>
    <w:rsid w:val="00D35C4B"/>
    <w:rsid w:val="00D36647"/>
    <w:rsid w:val="00D36DAA"/>
    <w:rsid w:val="00D37BF5"/>
    <w:rsid w:val="00D37C9E"/>
    <w:rsid w:val="00D37EFE"/>
    <w:rsid w:val="00D41ECC"/>
    <w:rsid w:val="00D433DB"/>
    <w:rsid w:val="00D45D47"/>
    <w:rsid w:val="00D4758D"/>
    <w:rsid w:val="00D50469"/>
    <w:rsid w:val="00D509CE"/>
    <w:rsid w:val="00D50CED"/>
    <w:rsid w:val="00D5130F"/>
    <w:rsid w:val="00D51679"/>
    <w:rsid w:val="00D516E3"/>
    <w:rsid w:val="00D517D6"/>
    <w:rsid w:val="00D52B70"/>
    <w:rsid w:val="00D533C1"/>
    <w:rsid w:val="00D535CE"/>
    <w:rsid w:val="00D54333"/>
    <w:rsid w:val="00D54B3F"/>
    <w:rsid w:val="00D57FD2"/>
    <w:rsid w:val="00D57FD3"/>
    <w:rsid w:val="00D60725"/>
    <w:rsid w:val="00D60AF3"/>
    <w:rsid w:val="00D622BF"/>
    <w:rsid w:val="00D6246B"/>
    <w:rsid w:val="00D64C0A"/>
    <w:rsid w:val="00D6574F"/>
    <w:rsid w:val="00D70226"/>
    <w:rsid w:val="00D707BF"/>
    <w:rsid w:val="00D708ED"/>
    <w:rsid w:val="00D71E3C"/>
    <w:rsid w:val="00D73A42"/>
    <w:rsid w:val="00D74B9F"/>
    <w:rsid w:val="00D75563"/>
    <w:rsid w:val="00D75B47"/>
    <w:rsid w:val="00D76598"/>
    <w:rsid w:val="00D76A38"/>
    <w:rsid w:val="00D76CF5"/>
    <w:rsid w:val="00D8029B"/>
    <w:rsid w:val="00D81E9F"/>
    <w:rsid w:val="00D8261B"/>
    <w:rsid w:val="00D838DE"/>
    <w:rsid w:val="00D83F9E"/>
    <w:rsid w:val="00D83FD8"/>
    <w:rsid w:val="00D84418"/>
    <w:rsid w:val="00D86006"/>
    <w:rsid w:val="00D86F90"/>
    <w:rsid w:val="00D872DA"/>
    <w:rsid w:val="00D872E7"/>
    <w:rsid w:val="00D87840"/>
    <w:rsid w:val="00D90006"/>
    <w:rsid w:val="00D91914"/>
    <w:rsid w:val="00D922FD"/>
    <w:rsid w:val="00D92433"/>
    <w:rsid w:val="00D92966"/>
    <w:rsid w:val="00D92B47"/>
    <w:rsid w:val="00D92C3C"/>
    <w:rsid w:val="00D9307B"/>
    <w:rsid w:val="00D94ADB"/>
    <w:rsid w:val="00D953B2"/>
    <w:rsid w:val="00D959FC"/>
    <w:rsid w:val="00D96DCE"/>
    <w:rsid w:val="00D96F44"/>
    <w:rsid w:val="00D97DDD"/>
    <w:rsid w:val="00D97FA4"/>
    <w:rsid w:val="00DA18A3"/>
    <w:rsid w:val="00DA4742"/>
    <w:rsid w:val="00DA5778"/>
    <w:rsid w:val="00DA6EFE"/>
    <w:rsid w:val="00DA7FEF"/>
    <w:rsid w:val="00DB06C8"/>
    <w:rsid w:val="00DB18B0"/>
    <w:rsid w:val="00DB219D"/>
    <w:rsid w:val="00DB3A86"/>
    <w:rsid w:val="00DB4213"/>
    <w:rsid w:val="00DB47D8"/>
    <w:rsid w:val="00DB4824"/>
    <w:rsid w:val="00DB5C5C"/>
    <w:rsid w:val="00DB60CA"/>
    <w:rsid w:val="00DB72C8"/>
    <w:rsid w:val="00DC1169"/>
    <w:rsid w:val="00DC339B"/>
    <w:rsid w:val="00DC339E"/>
    <w:rsid w:val="00DC3BB8"/>
    <w:rsid w:val="00DC6523"/>
    <w:rsid w:val="00DD0DA9"/>
    <w:rsid w:val="00DD1586"/>
    <w:rsid w:val="00DD270F"/>
    <w:rsid w:val="00DD4C78"/>
    <w:rsid w:val="00DD57AB"/>
    <w:rsid w:val="00DD615A"/>
    <w:rsid w:val="00DD6397"/>
    <w:rsid w:val="00DD6F98"/>
    <w:rsid w:val="00DD7620"/>
    <w:rsid w:val="00DD7D7D"/>
    <w:rsid w:val="00DE0E33"/>
    <w:rsid w:val="00DE4CFB"/>
    <w:rsid w:val="00DE570F"/>
    <w:rsid w:val="00DE5C7F"/>
    <w:rsid w:val="00DE6474"/>
    <w:rsid w:val="00DF1582"/>
    <w:rsid w:val="00DF1E15"/>
    <w:rsid w:val="00DF22C4"/>
    <w:rsid w:val="00DF23AD"/>
    <w:rsid w:val="00DF3256"/>
    <w:rsid w:val="00DF329B"/>
    <w:rsid w:val="00DF3C67"/>
    <w:rsid w:val="00DF4677"/>
    <w:rsid w:val="00DF4779"/>
    <w:rsid w:val="00DF4A94"/>
    <w:rsid w:val="00DF4E9B"/>
    <w:rsid w:val="00DF6176"/>
    <w:rsid w:val="00DF61F5"/>
    <w:rsid w:val="00DF626D"/>
    <w:rsid w:val="00DF6A79"/>
    <w:rsid w:val="00E00734"/>
    <w:rsid w:val="00E007DA"/>
    <w:rsid w:val="00E00809"/>
    <w:rsid w:val="00E00E94"/>
    <w:rsid w:val="00E016E8"/>
    <w:rsid w:val="00E02317"/>
    <w:rsid w:val="00E02339"/>
    <w:rsid w:val="00E023E4"/>
    <w:rsid w:val="00E0281A"/>
    <w:rsid w:val="00E02FE6"/>
    <w:rsid w:val="00E03CC6"/>
    <w:rsid w:val="00E04A26"/>
    <w:rsid w:val="00E04C3C"/>
    <w:rsid w:val="00E04E95"/>
    <w:rsid w:val="00E0661B"/>
    <w:rsid w:val="00E10EAD"/>
    <w:rsid w:val="00E1224F"/>
    <w:rsid w:val="00E12388"/>
    <w:rsid w:val="00E1334F"/>
    <w:rsid w:val="00E13D49"/>
    <w:rsid w:val="00E15E1C"/>
    <w:rsid w:val="00E15ECB"/>
    <w:rsid w:val="00E169DF"/>
    <w:rsid w:val="00E16ED2"/>
    <w:rsid w:val="00E17784"/>
    <w:rsid w:val="00E17EC7"/>
    <w:rsid w:val="00E209B8"/>
    <w:rsid w:val="00E21ADA"/>
    <w:rsid w:val="00E22605"/>
    <w:rsid w:val="00E2315C"/>
    <w:rsid w:val="00E25260"/>
    <w:rsid w:val="00E253C1"/>
    <w:rsid w:val="00E25643"/>
    <w:rsid w:val="00E2574A"/>
    <w:rsid w:val="00E25CF6"/>
    <w:rsid w:val="00E26115"/>
    <w:rsid w:val="00E263EC"/>
    <w:rsid w:val="00E27864"/>
    <w:rsid w:val="00E278D7"/>
    <w:rsid w:val="00E30E7B"/>
    <w:rsid w:val="00E30F25"/>
    <w:rsid w:val="00E31F35"/>
    <w:rsid w:val="00E360B6"/>
    <w:rsid w:val="00E374FD"/>
    <w:rsid w:val="00E41A0A"/>
    <w:rsid w:val="00E42AF7"/>
    <w:rsid w:val="00E4358E"/>
    <w:rsid w:val="00E43EB6"/>
    <w:rsid w:val="00E44C1A"/>
    <w:rsid w:val="00E45193"/>
    <w:rsid w:val="00E4546E"/>
    <w:rsid w:val="00E50517"/>
    <w:rsid w:val="00E5395F"/>
    <w:rsid w:val="00E53B63"/>
    <w:rsid w:val="00E55A03"/>
    <w:rsid w:val="00E5799D"/>
    <w:rsid w:val="00E57B49"/>
    <w:rsid w:val="00E603F4"/>
    <w:rsid w:val="00E62117"/>
    <w:rsid w:val="00E62EA7"/>
    <w:rsid w:val="00E650AB"/>
    <w:rsid w:val="00E657A2"/>
    <w:rsid w:val="00E65A38"/>
    <w:rsid w:val="00E66324"/>
    <w:rsid w:val="00E671ED"/>
    <w:rsid w:val="00E73C63"/>
    <w:rsid w:val="00E7429F"/>
    <w:rsid w:val="00E74311"/>
    <w:rsid w:val="00E743E9"/>
    <w:rsid w:val="00E76611"/>
    <w:rsid w:val="00E772F3"/>
    <w:rsid w:val="00E826E7"/>
    <w:rsid w:val="00E82E17"/>
    <w:rsid w:val="00E8301E"/>
    <w:rsid w:val="00E85932"/>
    <w:rsid w:val="00E85C5D"/>
    <w:rsid w:val="00E87859"/>
    <w:rsid w:val="00E87CA1"/>
    <w:rsid w:val="00E90823"/>
    <w:rsid w:val="00E92429"/>
    <w:rsid w:val="00E926FD"/>
    <w:rsid w:val="00E92C4F"/>
    <w:rsid w:val="00E9578C"/>
    <w:rsid w:val="00E96379"/>
    <w:rsid w:val="00EA0D6F"/>
    <w:rsid w:val="00EA129B"/>
    <w:rsid w:val="00EA194E"/>
    <w:rsid w:val="00EA2B6D"/>
    <w:rsid w:val="00EA6B30"/>
    <w:rsid w:val="00EA6EC4"/>
    <w:rsid w:val="00EB1E57"/>
    <w:rsid w:val="00EB27C6"/>
    <w:rsid w:val="00EB2D51"/>
    <w:rsid w:val="00EB32B5"/>
    <w:rsid w:val="00EB3BB7"/>
    <w:rsid w:val="00EB483B"/>
    <w:rsid w:val="00EB4C19"/>
    <w:rsid w:val="00EB4FDF"/>
    <w:rsid w:val="00EB50E5"/>
    <w:rsid w:val="00EB5549"/>
    <w:rsid w:val="00EB5564"/>
    <w:rsid w:val="00EB65BF"/>
    <w:rsid w:val="00EB674A"/>
    <w:rsid w:val="00EB6CA5"/>
    <w:rsid w:val="00EB7A42"/>
    <w:rsid w:val="00EC0397"/>
    <w:rsid w:val="00EC1671"/>
    <w:rsid w:val="00EC477A"/>
    <w:rsid w:val="00EC56F6"/>
    <w:rsid w:val="00EC6133"/>
    <w:rsid w:val="00EC754B"/>
    <w:rsid w:val="00EC78EB"/>
    <w:rsid w:val="00EC7BBB"/>
    <w:rsid w:val="00ED0867"/>
    <w:rsid w:val="00ED19F5"/>
    <w:rsid w:val="00ED2A21"/>
    <w:rsid w:val="00ED3B52"/>
    <w:rsid w:val="00ED4266"/>
    <w:rsid w:val="00ED4DDD"/>
    <w:rsid w:val="00ED6766"/>
    <w:rsid w:val="00ED6979"/>
    <w:rsid w:val="00EE04C1"/>
    <w:rsid w:val="00EE2F7B"/>
    <w:rsid w:val="00EE670C"/>
    <w:rsid w:val="00EE6C14"/>
    <w:rsid w:val="00EE7EE5"/>
    <w:rsid w:val="00EF09EA"/>
    <w:rsid w:val="00EF0C1F"/>
    <w:rsid w:val="00EF2624"/>
    <w:rsid w:val="00EF7252"/>
    <w:rsid w:val="00EF7EBC"/>
    <w:rsid w:val="00F00036"/>
    <w:rsid w:val="00F00346"/>
    <w:rsid w:val="00F027A8"/>
    <w:rsid w:val="00F02CC0"/>
    <w:rsid w:val="00F034A5"/>
    <w:rsid w:val="00F03AC6"/>
    <w:rsid w:val="00F03ADA"/>
    <w:rsid w:val="00F0448F"/>
    <w:rsid w:val="00F058B2"/>
    <w:rsid w:val="00F05E9E"/>
    <w:rsid w:val="00F06C75"/>
    <w:rsid w:val="00F117FA"/>
    <w:rsid w:val="00F12958"/>
    <w:rsid w:val="00F12A06"/>
    <w:rsid w:val="00F12A82"/>
    <w:rsid w:val="00F13A42"/>
    <w:rsid w:val="00F1455E"/>
    <w:rsid w:val="00F15778"/>
    <w:rsid w:val="00F21531"/>
    <w:rsid w:val="00F21DFA"/>
    <w:rsid w:val="00F23D9A"/>
    <w:rsid w:val="00F256C9"/>
    <w:rsid w:val="00F30488"/>
    <w:rsid w:val="00F3237C"/>
    <w:rsid w:val="00F327AF"/>
    <w:rsid w:val="00F32AF2"/>
    <w:rsid w:val="00F347E6"/>
    <w:rsid w:val="00F34A0D"/>
    <w:rsid w:val="00F34FC7"/>
    <w:rsid w:val="00F352B4"/>
    <w:rsid w:val="00F366F2"/>
    <w:rsid w:val="00F410C5"/>
    <w:rsid w:val="00F42BE8"/>
    <w:rsid w:val="00F42FEE"/>
    <w:rsid w:val="00F433F1"/>
    <w:rsid w:val="00F4350C"/>
    <w:rsid w:val="00F438B2"/>
    <w:rsid w:val="00F43988"/>
    <w:rsid w:val="00F441CE"/>
    <w:rsid w:val="00F4510E"/>
    <w:rsid w:val="00F454AF"/>
    <w:rsid w:val="00F45C85"/>
    <w:rsid w:val="00F4684D"/>
    <w:rsid w:val="00F46A69"/>
    <w:rsid w:val="00F502AF"/>
    <w:rsid w:val="00F50879"/>
    <w:rsid w:val="00F50DDA"/>
    <w:rsid w:val="00F5169D"/>
    <w:rsid w:val="00F51985"/>
    <w:rsid w:val="00F51C1B"/>
    <w:rsid w:val="00F52BFE"/>
    <w:rsid w:val="00F54327"/>
    <w:rsid w:val="00F558A4"/>
    <w:rsid w:val="00F55CBD"/>
    <w:rsid w:val="00F60BBC"/>
    <w:rsid w:val="00F63AB9"/>
    <w:rsid w:val="00F64BA3"/>
    <w:rsid w:val="00F653C6"/>
    <w:rsid w:val="00F666E8"/>
    <w:rsid w:val="00F67422"/>
    <w:rsid w:val="00F67A44"/>
    <w:rsid w:val="00F71867"/>
    <w:rsid w:val="00F72C2A"/>
    <w:rsid w:val="00F739BD"/>
    <w:rsid w:val="00F739C5"/>
    <w:rsid w:val="00F76F07"/>
    <w:rsid w:val="00F774C3"/>
    <w:rsid w:val="00F77662"/>
    <w:rsid w:val="00F77701"/>
    <w:rsid w:val="00F77C18"/>
    <w:rsid w:val="00F80754"/>
    <w:rsid w:val="00F81629"/>
    <w:rsid w:val="00F8206A"/>
    <w:rsid w:val="00F82B72"/>
    <w:rsid w:val="00F834CF"/>
    <w:rsid w:val="00F83B71"/>
    <w:rsid w:val="00F83DB5"/>
    <w:rsid w:val="00F848D3"/>
    <w:rsid w:val="00F852BD"/>
    <w:rsid w:val="00F857BE"/>
    <w:rsid w:val="00F87145"/>
    <w:rsid w:val="00F87264"/>
    <w:rsid w:val="00F8742A"/>
    <w:rsid w:val="00F900DD"/>
    <w:rsid w:val="00F907B5"/>
    <w:rsid w:val="00F91346"/>
    <w:rsid w:val="00F9147A"/>
    <w:rsid w:val="00F92365"/>
    <w:rsid w:val="00F92816"/>
    <w:rsid w:val="00F92B7A"/>
    <w:rsid w:val="00F92BEC"/>
    <w:rsid w:val="00F941CB"/>
    <w:rsid w:val="00F946CE"/>
    <w:rsid w:val="00F94958"/>
    <w:rsid w:val="00FA0169"/>
    <w:rsid w:val="00FA0E3B"/>
    <w:rsid w:val="00FA216A"/>
    <w:rsid w:val="00FA3BD3"/>
    <w:rsid w:val="00FA5865"/>
    <w:rsid w:val="00FA5CBF"/>
    <w:rsid w:val="00FA5F59"/>
    <w:rsid w:val="00FA7BB9"/>
    <w:rsid w:val="00FB1AAC"/>
    <w:rsid w:val="00FB2592"/>
    <w:rsid w:val="00FB36FB"/>
    <w:rsid w:val="00FB3F76"/>
    <w:rsid w:val="00FC004E"/>
    <w:rsid w:val="00FC0E81"/>
    <w:rsid w:val="00FC3002"/>
    <w:rsid w:val="00FC3517"/>
    <w:rsid w:val="00FC3657"/>
    <w:rsid w:val="00FC382C"/>
    <w:rsid w:val="00FC3BB3"/>
    <w:rsid w:val="00FC3CF4"/>
    <w:rsid w:val="00FC65DE"/>
    <w:rsid w:val="00FC6A7F"/>
    <w:rsid w:val="00FC7F60"/>
    <w:rsid w:val="00FD0512"/>
    <w:rsid w:val="00FD16C3"/>
    <w:rsid w:val="00FD1CE2"/>
    <w:rsid w:val="00FD2C05"/>
    <w:rsid w:val="00FD3BD2"/>
    <w:rsid w:val="00FD4390"/>
    <w:rsid w:val="00FD45B4"/>
    <w:rsid w:val="00FD532C"/>
    <w:rsid w:val="00FD6247"/>
    <w:rsid w:val="00FE038C"/>
    <w:rsid w:val="00FE1252"/>
    <w:rsid w:val="00FE129D"/>
    <w:rsid w:val="00FE132A"/>
    <w:rsid w:val="00FE1BFA"/>
    <w:rsid w:val="00FE1E15"/>
    <w:rsid w:val="00FE3376"/>
    <w:rsid w:val="00FE3B87"/>
    <w:rsid w:val="00FE3D1E"/>
    <w:rsid w:val="00FE4779"/>
    <w:rsid w:val="00FE4C0F"/>
    <w:rsid w:val="00FF0331"/>
    <w:rsid w:val="00FF07F6"/>
    <w:rsid w:val="00FF1E89"/>
    <w:rsid w:val="00FF22D0"/>
    <w:rsid w:val="00FF47E8"/>
    <w:rsid w:val="00FF689D"/>
    <w:rsid w:val="00FF719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D0000"/>
  <w15:docId w15:val="{463F6D35-3599-4855-BEFD-B9F6A74E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s-E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34E"/>
    <w:pPr>
      <w:spacing w:line="360" w:lineRule="auto"/>
    </w:pPr>
    <w:rPr>
      <w:rFonts w:ascii="Arial" w:eastAsia="SimSun" w:hAnsi="Arial" w:cs="Arial"/>
      <w:sz w:val="24"/>
      <w:lang w:eastAsia="zh-CN"/>
    </w:rPr>
  </w:style>
  <w:style w:type="paragraph" w:styleId="Heading1">
    <w:name w:val="heading 1"/>
    <w:basedOn w:val="Normal"/>
    <w:next w:val="Normal"/>
    <w:link w:val="Heading1Char"/>
    <w:qFormat/>
    <w:rsid w:val="00C07866"/>
    <w:pPr>
      <w:keepNext/>
      <w:spacing w:before="240" w:after="60"/>
      <w:outlineLvl w:val="0"/>
    </w:pPr>
    <w:rPr>
      <w:bCs/>
      <w:caps/>
      <w:kern w:val="32"/>
      <w:sz w:val="17"/>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uiPriority w:val="99"/>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semiHidden/>
    <w:rsid w:val="000237FD"/>
    <w:rPr>
      <w:sz w:val="22"/>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EE670C"/>
    <w:pPr>
      <w:tabs>
        <w:tab w:val="right" w:leader="dot" w:pos="9075"/>
      </w:tabs>
    </w:pPr>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C62593"/>
    <w:pPr>
      <w:tabs>
        <w:tab w:val="right" w:leader="dot" w:pos="9345"/>
      </w:tabs>
      <w:spacing w:after="100" w:line="240" w:lineRule="auto"/>
      <w:ind w:left="216"/>
    </w:pPr>
    <w:rPr>
      <w:rFonts w:eastAsia="MS Mincho"/>
      <w:szCs w:val="22"/>
      <w:lang w:eastAsia="ja-JP"/>
    </w:rPr>
  </w:style>
  <w:style w:type="paragraph" w:styleId="BalloonText">
    <w:name w:val="Balloon Text"/>
    <w:basedOn w:val="Normal"/>
    <w:link w:val="BalloonTextChar"/>
    <w:rsid w:val="000237E0"/>
    <w:rPr>
      <w:rFonts w:ascii="Tahoma" w:hAnsi="Tahoma" w:cs="Tahoma"/>
      <w:sz w:val="22"/>
      <w:szCs w:val="16"/>
    </w:rPr>
  </w:style>
  <w:style w:type="character" w:customStyle="1" w:styleId="BalloonTextChar">
    <w:name w:val="Balloon Text Char"/>
    <w:link w:val="BalloonText"/>
    <w:rsid w:val="000237E0"/>
    <w:rPr>
      <w:rFonts w:ascii="Tahoma" w:eastAsia="SimSun" w:hAnsi="Tahoma" w:cs="Tahoma"/>
      <w:sz w:val="22"/>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uiPriority w:val="99"/>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4"/>
      <w:lang w:eastAsia="zh-CN"/>
    </w:rPr>
  </w:style>
  <w:style w:type="character" w:styleId="FollowedHyperlink">
    <w:name w:val="FollowedHyperlink"/>
    <w:basedOn w:val="DefaultParagraphFont"/>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07866"/>
    <w:rPr>
      <w:rFonts w:ascii="Arial" w:eastAsia="SimSun" w:hAnsi="Arial" w:cs="Arial"/>
      <w:bCs/>
      <w:caps/>
      <w:kern w:val="32"/>
      <w:sz w:val="17"/>
      <w:szCs w:val="32"/>
      <w:lang w:eastAsia="zh-CN"/>
    </w:rPr>
  </w:style>
  <w:style w:type="character" w:customStyle="1" w:styleId="FooterChar">
    <w:name w:val="Footer Char"/>
    <w:basedOn w:val="DefaultParagraphFont"/>
    <w:link w:val="Footer"/>
    <w:uiPriority w:val="99"/>
    <w:rsid w:val="00BF2690"/>
    <w:rPr>
      <w:rFonts w:ascii="Arial" w:eastAsia="SimSun" w:hAnsi="Arial" w:cs="Arial"/>
      <w:sz w:val="22"/>
      <w:lang w:eastAsia="zh-CN"/>
    </w:rPr>
  </w:style>
  <w:style w:type="paragraph" w:customStyle="1" w:styleId="subsection">
    <w:name w:val="subsection"/>
    <w:basedOn w:val="Normal"/>
    <w:rsid w:val="004903EC"/>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4903EC"/>
    <w:pPr>
      <w:spacing w:before="100" w:beforeAutospacing="1" w:after="100" w:afterAutospacing="1"/>
    </w:pPr>
    <w:rPr>
      <w:rFonts w:ascii="Times New Roman" w:eastAsia="Times New Roman" w:hAnsi="Times New Roman" w:cs="Times New Roman"/>
      <w:szCs w:val="24"/>
    </w:rPr>
  </w:style>
  <w:style w:type="paragraph" w:customStyle="1" w:styleId="Heading1-notTOC">
    <w:name w:val="Heading 1 - not TOC"/>
    <w:basedOn w:val="Heading1"/>
    <w:link w:val="Heading1-notTOCChar"/>
    <w:qFormat/>
    <w:rsid w:val="00EA6B30"/>
    <w:pPr>
      <w:keepNext w:val="0"/>
      <w:widowControl w:val="0"/>
      <w:kinsoku w:val="0"/>
      <w:spacing w:before="0" w:after="340"/>
      <w:jc w:val="center"/>
    </w:pPr>
    <w:rPr>
      <w:bCs w:val="0"/>
      <w:caps w:val="0"/>
      <w:kern w:val="0"/>
      <w:sz w:val="20"/>
      <w:szCs w:val="17"/>
    </w:rPr>
  </w:style>
  <w:style w:type="character" w:customStyle="1" w:styleId="Heading1-notTOCChar">
    <w:name w:val="Heading 1 - not TOC Char"/>
    <w:basedOn w:val="Heading1Char"/>
    <w:link w:val="Heading1-notTOC"/>
    <w:rsid w:val="00EA6B30"/>
    <w:rPr>
      <w:rFonts w:ascii="Arial" w:eastAsia="SimSun" w:hAnsi="Arial" w:cs="Arial"/>
      <w:b w:val="0"/>
      <w:bCs w:val="0"/>
      <w:caps w:val="0"/>
      <w:kern w:val="32"/>
      <w:sz w:val="22"/>
      <w:szCs w:val="17"/>
      <w:lang w:eastAsia="zh-CN"/>
    </w:rPr>
  </w:style>
  <w:style w:type="paragraph" w:customStyle="1" w:styleId="StyleFootnoteText85pt">
    <w:name w:val="Style Footnote Text + 8.5 pt"/>
    <w:basedOn w:val="FootnoteText"/>
    <w:rsid w:val="00FC3CF4"/>
    <w:rPr>
      <w:sz w:val="20"/>
    </w:rPr>
  </w:style>
  <w:style w:type="paragraph" w:customStyle="1" w:styleId="StyleFootnoteText85pt1">
    <w:name w:val="Style Footnote Text + 8.5 pt1"/>
    <w:basedOn w:val="FootnoteText"/>
    <w:rsid w:val="00FC3CF4"/>
    <w:rPr>
      <w:sz w:val="24"/>
    </w:rPr>
  </w:style>
  <w:style w:type="paragraph" w:customStyle="1" w:styleId="StyleFootnoteText85pt2">
    <w:name w:val="Style Footnote Text + 8.5 pt2"/>
    <w:basedOn w:val="FootnoteText"/>
    <w:rsid w:val="00FC3CF4"/>
    <w:rPr>
      <w:sz w:val="24"/>
    </w:rPr>
  </w:style>
  <w:style w:type="paragraph" w:customStyle="1" w:styleId="diagram1">
    <w:name w:val="diagram1"/>
    <w:basedOn w:val="Normal"/>
    <w:link w:val="diagram1Char"/>
    <w:qFormat/>
    <w:rsid w:val="00FC3CF4"/>
    <w:rPr>
      <w:noProof/>
      <w:sz w:val="17"/>
      <w:szCs w:val="17"/>
      <w:lang w:eastAsia="en-US"/>
    </w:rPr>
  </w:style>
  <w:style w:type="paragraph" w:customStyle="1" w:styleId="StyleHeading110ptNotAllcapsCenteredBefore0ptAft">
    <w:name w:val="Style Heading 1 + 10 pt Not All caps Centered Before:  0 pt Aft..."/>
    <w:basedOn w:val="Heading1"/>
    <w:rsid w:val="00FC3CF4"/>
    <w:pPr>
      <w:spacing w:before="0" w:after="340"/>
      <w:jc w:val="center"/>
    </w:pPr>
    <w:rPr>
      <w:rFonts w:eastAsia="Times New Roman" w:cs="Times New Roman"/>
      <w:caps w:val="0"/>
      <w:kern w:val="0"/>
      <w:szCs w:val="20"/>
    </w:rPr>
  </w:style>
  <w:style w:type="character" w:customStyle="1" w:styleId="diagram1Char">
    <w:name w:val="diagram1 Char"/>
    <w:basedOn w:val="DefaultParagraphFont"/>
    <w:link w:val="diagram1"/>
    <w:rsid w:val="00FC3CF4"/>
    <w:rPr>
      <w:rFonts w:ascii="Arial" w:eastAsia="SimSun" w:hAnsi="Arial" w:cs="Arial"/>
      <w:noProof/>
      <w:sz w:val="17"/>
      <w:szCs w:val="17"/>
      <w:lang w:eastAsia="en-US"/>
    </w:rPr>
  </w:style>
  <w:style w:type="paragraph" w:customStyle="1" w:styleId="StyleFootnoteText85pt3">
    <w:name w:val="Style Footnote Text + 8.5 pt3"/>
    <w:basedOn w:val="FootnoteText"/>
    <w:rsid w:val="000237FD"/>
    <w:rPr>
      <w:sz w:val="24"/>
    </w:rPr>
  </w:style>
  <w:style w:type="paragraph" w:customStyle="1" w:styleId="StyleFootnoteText85pt4">
    <w:name w:val="Style Footnote Text + 8.5 pt4"/>
    <w:basedOn w:val="FootnoteText"/>
    <w:rsid w:val="000237FD"/>
    <w:rPr>
      <w:sz w:val="24"/>
    </w:rPr>
  </w:style>
  <w:style w:type="paragraph" w:customStyle="1" w:styleId="StyleFootnoteText">
    <w:name w:val="Style Footnote Text"/>
    <w:basedOn w:val="FootnoteText"/>
    <w:rsid w:val="000237FD"/>
    <w:rPr>
      <w:sz w:val="24"/>
    </w:rPr>
  </w:style>
  <w:style w:type="paragraph" w:customStyle="1" w:styleId="StyleFootnoteText85pt5">
    <w:name w:val="Style Footnote Text + 8.5 pt5"/>
    <w:basedOn w:val="FootnoteText"/>
    <w:rsid w:val="000237FD"/>
    <w:rPr>
      <w:sz w:val="24"/>
    </w:rPr>
  </w:style>
  <w:style w:type="character" w:styleId="LineNumber">
    <w:name w:val="line number"/>
    <w:basedOn w:val="DefaultParagraphFont"/>
    <w:semiHidden/>
    <w:unhideWhenUsed/>
    <w:rsid w:val="000237E0"/>
  </w:style>
  <w:style w:type="paragraph" w:customStyle="1" w:styleId="TableParagraph">
    <w:name w:val="Table Paragraph"/>
    <w:basedOn w:val="Normal"/>
    <w:uiPriority w:val="1"/>
    <w:qFormat/>
    <w:rsid w:val="006343DB"/>
    <w:pPr>
      <w:widowControl w:val="0"/>
      <w:autoSpaceDE w:val="0"/>
      <w:autoSpaceDN w:val="0"/>
      <w:spacing w:line="184" w:lineRule="exact"/>
      <w:ind w:left="47"/>
      <w:jc w:val="center"/>
    </w:pPr>
    <w:rPr>
      <w:rFonts w:ascii="Calibri" w:eastAsia="Calibri" w:hAnsi="Calibri" w:cs="Calibri"/>
      <w:sz w:val="22"/>
      <w:szCs w:val="22"/>
      <w:lang w:eastAsia="en-US" w:bidi="en-US"/>
    </w:rPr>
  </w:style>
  <w:style w:type="character" w:styleId="PlaceholderText">
    <w:name w:val="Placeholder Text"/>
    <w:basedOn w:val="DefaultParagraphFont"/>
    <w:uiPriority w:val="99"/>
    <w:semiHidden/>
    <w:rsid w:val="009054B6"/>
    <w:rPr>
      <w:color w:val="808080"/>
    </w:rPr>
  </w:style>
  <w:style w:type="paragraph" w:customStyle="1" w:styleId="exampleevents">
    <w:name w:val="example events"/>
    <w:basedOn w:val="Normal"/>
    <w:rsid w:val="005E3F2A"/>
    <w:pPr>
      <w:jc w:val="both"/>
    </w:pPr>
    <w:rPr>
      <w:rFonts w:eastAsia="Times New Roman" w:cs="Times New Roman"/>
    </w:rPr>
  </w:style>
  <w:style w:type="paragraph" w:customStyle="1" w:styleId="Headerline">
    <w:name w:val="Header line"/>
    <w:basedOn w:val="Normal"/>
    <w:rsid w:val="001A5F92"/>
    <w:pPr>
      <w:pBdr>
        <w:bottom w:val="single" w:sz="6" w:space="6" w:color="auto"/>
      </w:pBdr>
      <w:tabs>
        <w:tab w:val="right" w:pos="9061"/>
      </w:tabs>
      <w:spacing w:line="240" w:lineRule="auto"/>
    </w:pPr>
    <w:rPr>
      <w:rFonts w:eastAsia="Batang" w:cs="Times New Roman"/>
      <w:sz w:val="17"/>
      <w:lang w:eastAsia="en-US"/>
    </w:rPr>
  </w:style>
  <w:style w:type="character" w:customStyle="1" w:styleId="rynqvb">
    <w:name w:val="rynqvb"/>
    <w:basedOn w:val="DefaultParagraphFont"/>
    <w:rsid w:val="008C30D1"/>
  </w:style>
  <w:style w:type="character" w:customStyle="1" w:styleId="hwtze">
    <w:name w:val="hwtze"/>
    <w:basedOn w:val="DefaultParagraphFont"/>
    <w:rsid w:val="008C30D1"/>
  </w:style>
  <w:style w:type="paragraph" w:customStyle="1" w:styleId="Scope">
    <w:name w:val="Scope"/>
    <w:basedOn w:val="Normal"/>
    <w:link w:val="ScopeChar"/>
    <w:qFormat/>
    <w:rsid w:val="00AB125A"/>
    <w:pPr>
      <w:spacing w:line="276" w:lineRule="auto"/>
    </w:pPr>
    <w:rPr>
      <w:sz w:val="17"/>
      <w:szCs w:val="17"/>
    </w:rPr>
  </w:style>
  <w:style w:type="paragraph" w:customStyle="1" w:styleId="Definitions">
    <w:name w:val="Definitions"/>
    <w:basedOn w:val="Normal"/>
    <w:link w:val="DefinitionsChar"/>
    <w:qFormat/>
    <w:rsid w:val="00AB125A"/>
    <w:pPr>
      <w:spacing w:line="276" w:lineRule="auto"/>
    </w:pPr>
    <w:rPr>
      <w:sz w:val="17"/>
      <w:szCs w:val="17"/>
    </w:rPr>
  </w:style>
  <w:style w:type="character" w:customStyle="1" w:styleId="ScopeChar">
    <w:name w:val="Scope Char"/>
    <w:basedOn w:val="DefaultParagraphFont"/>
    <w:link w:val="Scope"/>
    <w:rsid w:val="00AB125A"/>
    <w:rPr>
      <w:rFonts w:ascii="Arial" w:eastAsia="SimSun" w:hAnsi="Arial" w:cs="Arial"/>
      <w:sz w:val="17"/>
      <w:szCs w:val="17"/>
      <w:lang w:eastAsia="zh-CN"/>
    </w:rPr>
  </w:style>
  <w:style w:type="character" w:customStyle="1" w:styleId="DefinitionsChar">
    <w:name w:val="Definitions Char"/>
    <w:basedOn w:val="DefaultParagraphFont"/>
    <w:link w:val="Definitions"/>
    <w:rsid w:val="00AB125A"/>
    <w:rPr>
      <w:rFonts w:ascii="Arial" w:eastAsia="SimSun" w:hAnsi="Arial" w:cs="Arial"/>
      <w:sz w:val="17"/>
      <w:szCs w:val="17"/>
      <w:lang w:eastAsia="zh-CN"/>
    </w:rPr>
  </w:style>
  <w:style w:type="character" w:styleId="UnresolvedMention">
    <w:name w:val="Unresolved Mention"/>
    <w:basedOn w:val="DefaultParagraphFont"/>
    <w:uiPriority w:val="99"/>
    <w:semiHidden/>
    <w:unhideWhenUsed/>
    <w:rsid w:val="009F181F"/>
    <w:rPr>
      <w:color w:val="605E5C"/>
      <w:shd w:val="clear" w:color="auto" w:fill="E1DFDD"/>
    </w:rPr>
  </w:style>
  <w:style w:type="paragraph" w:customStyle="1" w:styleId="StandardTitle">
    <w:name w:val="Standard Title"/>
    <w:basedOn w:val="Normal"/>
    <w:qFormat/>
    <w:rsid w:val="00C07866"/>
    <w:pPr>
      <w:autoSpaceDE w:val="0"/>
      <w:autoSpaceDN w:val="0"/>
      <w:adjustRightInd w:val="0"/>
      <w:spacing w:after="340" w:line="240" w:lineRule="auto"/>
      <w:ind w:left="1843" w:right="1843"/>
      <w:jc w:val="center"/>
    </w:pPr>
    <w:rPr>
      <w:caps/>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184055325">
      <w:bodyDiv w:val="1"/>
      <w:marLeft w:val="0"/>
      <w:marRight w:val="0"/>
      <w:marTop w:val="0"/>
      <w:marBottom w:val="0"/>
      <w:divBdr>
        <w:top w:val="none" w:sz="0" w:space="0" w:color="auto"/>
        <w:left w:val="none" w:sz="0" w:space="0" w:color="auto"/>
        <w:bottom w:val="none" w:sz="0" w:space="0" w:color="auto"/>
        <w:right w:val="none" w:sz="0" w:space="0" w:color="auto"/>
      </w:divBdr>
      <w:divsChild>
        <w:div w:id="1498497232">
          <w:marLeft w:val="0"/>
          <w:marRight w:val="0"/>
          <w:marTop w:val="0"/>
          <w:marBottom w:val="0"/>
          <w:divBdr>
            <w:top w:val="none" w:sz="0" w:space="0" w:color="auto"/>
            <w:left w:val="none" w:sz="0" w:space="0" w:color="auto"/>
            <w:bottom w:val="none" w:sz="0" w:space="0" w:color="auto"/>
            <w:right w:val="none" w:sz="0" w:space="0" w:color="auto"/>
          </w:divBdr>
          <w:divsChild>
            <w:div w:id="2050758843">
              <w:marLeft w:val="0"/>
              <w:marRight w:val="0"/>
              <w:marTop w:val="0"/>
              <w:marBottom w:val="0"/>
              <w:divBdr>
                <w:top w:val="none" w:sz="0" w:space="0" w:color="auto"/>
                <w:left w:val="none" w:sz="0" w:space="0" w:color="auto"/>
                <w:bottom w:val="none" w:sz="0" w:space="0" w:color="auto"/>
                <w:right w:val="none" w:sz="0" w:space="0" w:color="auto"/>
              </w:divBdr>
              <w:divsChild>
                <w:div w:id="191841548">
                  <w:marLeft w:val="0"/>
                  <w:marRight w:val="0"/>
                  <w:marTop w:val="0"/>
                  <w:marBottom w:val="0"/>
                  <w:divBdr>
                    <w:top w:val="none" w:sz="0" w:space="0" w:color="auto"/>
                    <w:left w:val="none" w:sz="0" w:space="0" w:color="auto"/>
                    <w:bottom w:val="none" w:sz="0" w:space="0" w:color="auto"/>
                    <w:right w:val="none" w:sz="0" w:space="0" w:color="auto"/>
                  </w:divBdr>
                  <w:divsChild>
                    <w:div w:id="1409882644">
                      <w:marLeft w:val="825"/>
                      <w:marRight w:val="0"/>
                      <w:marTop w:val="615"/>
                      <w:marBottom w:val="0"/>
                      <w:divBdr>
                        <w:top w:val="single" w:sz="6" w:space="0" w:color="CCCCCC"/>
                        <w:left w:val="single" w:sz="2" w:space="0" w:color="CCCCCC"/>
                        <w:bottom w:val="single" w:sz="6" w:space="0" w:color="CCCCCC"/>
                        <w:right w:val="single" w:sz="2" w:space="0" w:color="CCCCCC"/>
                      </w:divBdr>
                      <w:divsChild>
                        <w:div w:id="837617617">
                          <w:marLeft w:val="0"/>
                          <w:marRight w:val="0"/>
                          <w:marTop w:val="0"/>
                          <w:marBottom w:val="0"/>
                          <w:divBdr>
                            <w:top w:val="none" w:sz="0" w:space="0" w:color="auto"/>
                            <w:left w:val="none" w:sz="0" w:space="0" w:color="auto"/>
                            <w:bottom w:val="none" w:sz="0" w:space="0" w:color="auto"/>
                            <w:right w:val="none" w:sz="0" w:space="0" w:color="auto"/>
                          </w:divBdr>
                          <w:divsChild>
                            <w:div w:id="2119984753">
                              <w:marLeft w:val="0"/>
                              <w:marRight w:val="0"/>
                              <w:marTop w:val="0"/>
                              <w:marBottom w:val="0"/>
                              <w:divBdr>
                                <w:top w:val="none" w:sz="0" w:space="0" w:color="auto"/>
                                <w:left w:val="none" w:sz="0" w:space="0" w:color="auto"/>
                                <w:bottom w:val="none" w:sz="0" w:space="0" w:color="auto"/>
                                <w:right w:val="none" w:sz="0" w:space="0" w:color="auto"/>
                              </w:divBdr>
                              <w:divsChild>
                                <w:div w:id="1459253506">
                                  <w:marLeft w:val="0"/>
                                  <w:marRight w:val="0"/>
                                  <w:marTop w:val="0"/>
                                  <w:marBottom w:val="0"/>
                                  <w:divBdr>
                                    <w:top w:val="none" w:sz="0" w:space="0" w:color="auto"/>
                                    <w:left w:val="none" w:sz="0" w:space="0" w:color="auto"/>
                                    <w:bottom w:val="none" w:sz="0" w:space="0" w:color="auto"/>
                                    <w:right w:val="none" w:sz="0" w:space="0" w:color="auto"/>
                                  </w:divBdr>
                                  <w:divsChild>
                                    <w:div w:id="787893476">
                                      <w:marLeft w:val="0"/>
                                      <w:marRight w:val="0"/>
                                      <w:marTop w:val="0"/>
                                      <w:marBottom w:val="0"/>
                                      <w:divBdr>
                                        <w:top w:val="none" w:sz="0" w:space="0" w:color="auto"/>
                                        <w:left w:val="none" w:sz="0" w:space="0" w:color="auto"/>
                                        <w:bottom w:val="none" w:sz="0" w:space="0" w:color="auto"/>
                                        <w:right w:val="none" w:sz="0" w:space="0" w:color="auto"/>
                                      </w:divBdr>
                                      <w:divsChild>
                                        <w:div w:id="1279028806">
                                          <w:marLeft w:val="0"/>
                                          <w:marRight w:val="0"/>
                                          <w:marTop w:val="0"/>
                                          <w:marBottom w:val="0"/>
                                          <w:divBdr>
                                            <w:top w:val="none" w:sz="0" w:space="0" w:color="auto"/>
                                            <w:left w:val="none" w:sz="0" w:space="0" w:color="auto"/>
                                            <w:bottom w:val="none" w:sz="0" w:space="0" w:color="auto"/>
                                            <w:right w:val="none" w:sz="0" w:space="0" w:color="auto"/>
                                          </w:divBdr>
                                          <w:divsChild>
                                            <w:div w:id="1954246335">
                                              <w:marLeft w:val="0"/>
                                              <w:marRight w:val="0"/>
                                              <w:marTop w:val="0"/>
                                              <w:marBottom w:val="0"/>
                                              <w:divBdr>
                                                <w:top w:val="none" w:sz="0" w:space="0" w:color="auto"/>
                                                <w:left w:val="none" w:sz="0" w:space="0" w:color="auto"/>
                                                <w:bottom w:val="none" w:sz="0" w:space="0" w:color="auto"/>
                                                <w:right w:val="none" w:sz="0" w:space="0" w:color="auto"/>
                                              </w:divBdr>
                                              <w:divsChild>
                                                <w:div w:id="8734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813722400">
      <w:bodyDiv w:val="1"/>
      <w:marLeft w:val="0"/>
      <w:marRight w:val="0"/>
      <w:marTop w:val="0"/>
      <w:marBottom w:val="0"/>
      <w:divBdr>
        <w:top w:val="none" w:sz="0" w:space="0" w:color="auto"/>
        <w:left w:val="none" w:sz="0" w:space="0" w:color="auto"/>
        <w:bottom w:val="none" w:sz="0" w:space="0" w:color="auto"/>
        <w:right w:val="none" w:sz="0" w:space="0" w:color="auto"/>
      </w:divBdr>
      <w:divsChild>
        <w:div w:id="1108085652">
          <w:marLeft w:val="0"/>
          <w:marRight w:val="0"/>
          <w:marTop w:val="0"/>
          <w:marBottom w:val="0"/>
          <w:divBdr>
            <w:top w:val="none" w:sz="0" w:space="0" w:color="auto"/>
            <w:left w:val="none" w:sz="0" w:space="0" w:color="auto"/>
            <w:bottom w:val="none" w:sz="0" w:space="0" w:color="auto"/>
            <w:right w:val="none" w:sz="0" w:space="0" w:color="auto"/>
          </w:divBdr>
          <w:divsChild>
            <w:div w:id="582884432">
              <w:marLeft w:val="0"/>
              <w:marRight w:val="0"/>
              <w:marTop w:val="0"/>
              <w:marBottom w:val="0"/>
              <w:divBdr>
                <w:top w:val="none" w:sz="0" w:space="0" w:color="auto"/>
                <w:left w:val="none" w:sz="0" w:space="0" w:color="auto"/>
                <w:bottom w:val="none" w:sz="0" w:space="0" w:color="auto"/>
                <w:right w:val="none" w:sz="0" w:space="0" w:color="auto"/>
              </w:divBdr>
              <w:divsChild>
                <w:div w:id="1474442435">
                  <w:marLeft w:val="0"/>
                  <w:marRight w:val="0"/>
                  <w:marTop w:val="0"/>
                  <w:marBottom w:val="0"/>
                  <w:divBdr>
                    <w:top w:val="none" w:sz="0" w:space="0" w:color="auto"/>
                    <w:left w:val="none" w:sz="0" w:space="0" w:color="auto"/>
                    <w:bottom w:val="none" w:sz="0" w:space="0" w:color="auto"/>
                    <w:right w:val="none" w:sz="0" w:space="0" w:color="auto"/>
                  </w:divBdr>
                  <w:divsChild>
                    <w:div w:id="1042023987">
                      <w:marLeft w:val="0"/>
                      <w:marRight w:val="0"/>
                      <w:marTop w:val="0"/>
                      <w:marBottom w:val="0"/>
                      <w:divBdr>
                        <w:top w:val="none" w:sz="0" w:space="0" w:color="auto"/>
                        <w:left w:val="none" w:sz="0" w:space="0" w:color="auto"/>
                        <w:bottom w:val="none" w:sz="0" w:space="0" w:color="auto"/>
                        <w:right w:val="none" w:sz="0" w:space="0" w:color="auto"/>
                      </w:divBdr>
                      <w:divsChild>
                        <w:div w:id="1162772360">
                          <w:marLeft w:val="0"/>
                          <w:marRight w:val="0"/>
                          <w:marTop w:val="0"/>
                          <w:marBottom w:val="0"/>
                          <w:divBdr>
                            <w:top w:val="none" w:sz="0" w:space="0" w:color="auto"/>
                            <w:left w:val="none" w:sz="0" w:space="0" w:color="auto"/>
                            <w:bottom w:val="none" w:sz="0" w:space="0" w:color="auto"/>
                            <w:right w:val="none" w:sz="0" w:space="0" w:color="auto"/>
                          </w:divBdr>
                          <w:divsChild>
                            <w:div w:id="2068071801">
                              <w:marLeft w:val="0"/>
                              <w:marRight w:val="0"/>
                              <w:marTop w:val="0"/>
                              <w:marBottom w:val="0"/>
                              <w:divBdr>
                                <w:top w:val="none" w:sz="0" w:space="0" w:color="auto"/>
                                <w:left w:val="none" w:sz="0" w:space="0" w:color="auto"/>
                                <w:bottom w:val="none" w:sz="0" w:space="0" w:color="auto"/>
                                <w:right w:val="none" w:sz="0" w:space="0" w:color="auto"/>
                              </w:divBdr>
                              <w:divsChild>
                                <w:div w:id="1056777542">
                                  <w:marLeft w:val="0"/>
                                  <w:marRight w:val="0"/>
                                  <w:marTop w:val="0"/>
                                  <w:marBottom w:val="0"/>
                                  <w:divBdr>
                                    <w:top w:val="none" w:sz="0" w:space="0" w:color="auto"/>
                                    <w:left w:val="none" w:sz="0" w:space="0" w:color="auto"/>
                                    <w:bottom w:val="none" w:sz="0" w:space="0" w:color="auto"/>
                                    <w:right w:val="none" w:sz="0" w:space="0" w:color="auto"/>
                                  </w:divBdr>
                                  <w:divsChild>
                                    <w:div w:id="959872868">
                                      <w:marLeft w:val="0"/>
                                      <w:marRight w:val="0"/>
                                      <w:marTop w:val="0"/>
                                      <w:marBottom w:val="0"/>
                                      <w:divBdr>
                                        <w:top w:val="none" w:sz="0" w:space="0" w:color="auto"/>
                                        <w:left w:val="none" w:sz="0" w:space="0" w:color="auto"/>
                                        <w:bottom w:val="none" w:sz="0" w:space="0" w:color="auto"/>
                                        <w:right w:val="none" w:sz="0" w:space="0" w:color="auto"/>
                                      </w:divBdr>
                                      <w:divsChild>
                                        <w:div w:id="1932620739">
                                          <w:marLeft w:val="0"/>
                                          <w:marRight w:val="0"/>
                                          <w:marTop w:val="0"/>
                                          <w:marBottom w:val="0"/>
                                          <w:divBdr>
                                            <w:top w:val="none" w:sz="0" w:space="0" w:color="auto"/>
                                            <w:left w:val="none" w:sz="0" w:space="0" w:color="auto"/>
                                            <w:bottom w:val="none" w:sz="0" w:space="0" w:color="auto"/>
                                            <w:right w:val="none" w:sz="0" w:space="0" w:color="auto"/>
                                          </w:divBdr>
                                          <w:divsChild>
                                            <w:div w:id="117185261">
                                              <w:marLeft w:val="0"/>
                                              <w:marRight w:val="0"/>
                                              <w:marTop w:val="0"/>
                                              <w:marBottom w:val="0"/>
                                              <w:divBdr>
                                                <w:top w:val="none" w:sz="0" w:space="0" w:color="auto"/>
                                                <w:left w:val="none" w:sz="0" w:space="0" w:color="auto"/>
                                                <w:bottom w:val="none" w:sz="0" w:space="0" w:color="auto"/>
                                                <w:right w:val="none" w:sz="0" w:space="0" w:color="auto"/>
                                              </w:divBdr>
                                              <w:divsChild>
                                                <w:div w:id="759332119">
                                                  <w:marLeft w:val="0"/>
                                                  <w:marRight w:val="0"/>
                                                  <w:marTop w:val="0"/>
                                                  <w:marBottom w:val="0"/>
                                                  <w:divBdr>
                                                    <w:top w:val="none" w:sz="0" w:space="0" w:color="auto"/>
                                                    <w:left w:val="none" w:sz="0" w:space="0" w:color="auto"/>
                                                    <w:bottom w:val="none" w:sz="0" w:space="0" w:color="auto"/>
                                                    <w:right w:val="none" w:sz="0" w:space="0" w:color="auto"/>
                                                  </w:divBdr>
                                                  <w:divsChild>
                                                    <w:div w:id="1788307735">
                                                      <w:marLeft w:val="0"/>
                                                      <w:marRight w:val="0"/>
                                                      <w:marTop w:val="0"/>
                                                      <w:marBottom w:val="0"/>
                                                      <w:divBdr>
                                                        <w:top w:val="none" w:sz="0" w:space="0" w:color="auto"/>
                                                        <w:left w:val="none" w:sz="0" w:space="0" w:color="auto"/>
                                                        <w:bottom w:val="none" w:sz="0" w:space="0" w:color="auto"/>
                                                        <w:right w:val="none" w:sz="0" w:space="0" w:color="auto"/>
                                                      </w:divBdr>
                                                      <w:divsChild>
                                                        <w:div w:id="462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45465284">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372219077">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911648827">
      <w:bodyDiv w:val="1"/>
      <w:marLeft w:val="0"/>
      <w:marRight w:val="0"/>
      <w:marTop w:val="0"/>
      <w:marBottom w:val="0"/>
      <w:divBdr>
        <w:top w:val="none" w:sz="0" w:space="0" w:color="auto"/>
        <w:left w:val="none" w:sz="0" w:space="0" w:color="auto"/>
        <w:bottom w:val="none" w:sz="0" w:space="0" w:color="auto"/>
        <w:right w:val="none" w:sz="0" w:space="0" w:color="auto"/>
      </w:divBdr>
      <w:divsChild>
        <w:div w:id="1749232069">
          <w:marLeft w:val="0"/>
          <w:marRight w:val="0"/>
          <w:marTop w:val="0"/>
          <w:marBottom w:val="0"/>
          <w:divBdr>
            <w:top w:val="none" w:sz="0" w:space="0" w:color="auto"/>
            <w:left w:val="none" w:sz="0" w:space="0" w:color="auto"/>
            <w:bottom w:val="none" w:sz="0" w:space="0" w:color="auto"/>
            <w:right w:val="none" w:sz="0" w:space="0" w:color="auto"/>
          </w:divBdr>
          <w:divsChild>
            <w:div w:id="1819221257">
              <w:marLeft w:val="0"/>
              <w:marRight w:val="0"/>
              <w:marTop w:val="0"/>
              <w:marBottom w:val="0"/>
              <w:divBdr>
                <w:top w:val="none" w:sz="0" w:space="0" w:color="auto"/>
                <w:left w:val="none" w:sz="0" w:space="0" w:color="auto"/>
                <w:bottom w:val="none" w:sz="0" w:space="0" w:color="auto"/>
                <w:right w:val="none" w:sz="0" w:space="0" w:color="auto"/>
              </w:divBdr>
              <w:divsChild>
                <w:div w:id="1315452834">
                  <w:marLeft w:val="0"/>
                  <w:marRight w:val="0"/>
                  <w:marTop w:val="0"/>
                  <w:marBottom w:val="0"/>
                  <w:divBdr>
                    <w:top w:val="none" w:sz="0" w:space="0" w:color="auto"/>
                    <w:left w:val="none" w:sz="0" w:space="0" w:color="auto"/>
                    <w:bottom w:val="none" w:sz="0" w:space="0" w:color="auto"/>
                    <w:right w:val="none" w:sz="0" w:space="0" w:color="auto"/>
                  </w:divBdr>
                  <w:divsChild>
                    <w:div w:id="1815558287">
                      <w:marLeft w:val="0"/>
                      <w:marRight w:val="0"/>
                      <w:marTop w:val="0"/>
                      <w:marBottom w:val="0"/>
                      <w:divBdr>
                        <w:top w:val="none" w:sz="0" w:space="0" w:color="auto"/>
                        <w:left w:val="none" w:sz="0" w:space="0" w:color="auto"/>
                        <w:bottom w:val="none" w:sz="0" w:space="0" w:color="auto"/>
                        <w:right w:val="none" w:sz="0" w:space="0" w:color="auto"/>
                      </w:divBdr>
                      <w:divsChild>
                        <w:div w:id="462429048">
                          <w:marLeft w:val="0"/>
                          <w:marRight w:val="0"/>
                          <w:marTop w:val="0"/>
                          <w:marBottom w:val="0"/>
                          <w:divBdr>
                            <w:top w:val="none" w:sz="0" w:space="0" w:color="auto"/>
                            <w:left w:val="none" w:sz="0" w:space="0" w:color="auto"/>
                            <w:bottom w:val="none" w:sz="0" w:space="0" w:color="auto"/>
                            <w:right w:val="none" w:sz="0" w:space="0" w:color="auto"/>
                          </w:divBdr>
                          <w:divsChild>
                            <w:div w:id="650451947">
                              <w:marLeft w:val="0"/>
                              <w:marRight w:val="0"/>
                              <w:marTop w:val="0"/>
                              <w:marBottom w:val="0"/>
                              <w:divBdr>
                                <w:top w:val="none" w:sz="0" w:space="0" w:color="auto"/>
                                <w:left w:val="none" w:sz="0" w:space="0" w:color="auto"/>
                                <w:bottom w:val="none" w:sz="0" w:space="0" w:color="auto"/>
                                <w:right w:val="none" w:sz="0" w:space="0" w:color="auto"/>
                              </w:divBdr>
                              <w:divsChild>
                                <w:div w:id="1721317624">
                                  <w:marLeft w:val="0"/>
                                  <w:marRight w:val="0"/>
                                  <w:marTop w:val="0"/>
                                  <w:marBottom w:val="0"/>
                                  <w:divBdr>
                                    <w:top w:val="none" w:sz="0" w:space="0" w:color="auto"/>
                                    <w:left w:val="none" w:sz="0" w:space="0" w:color="auto"/>
                                    <w:bottom w:val="none" w:sz="0" w:space="0" w:color="auto"/>
                                    <w:right w:val="none" w:sz="0" w:space="0" w:color="auto"/>
                                  </w:divBdr>
                                  <w:divsChild>
                                    <w:div w:id="1109159913">
                                      <w:marLeft w:val="0"/>
                                      <w:marRight w:val="0"/>
                                      <w:marTop w:val="0"/>
                                      <w:marBottom w:val="0"/>
                                      <w:divBdr>
                                        <w:top w:val="none" w:sz="0" w:space="0" w:color="auto"/>
                                        <w:left w:val="none" w:sz="0" w:space="0" w:color="auto"/>
                                        <w:bottom w:val="none" w:sz="0" w:space="0" w:color="auto"/>
                                        <w:right w:val="none" w:sz="0" w:space="0" w:color="auto"/>
                                      </w:divBdr>
                                      <w:divsChild>
                                        <w:div w:id="1982733876">
                                          <w:marLeft w:val="0"/>
                                          <w:marRight w:val="0"/>
                                          <w:marTop w:val="0"/>
                                          <w:marBottom w:val="0"/>
                                          <w:divBdr>
                                            <w:top w:val="none" w:sz="0" w:space="0" w:color="auto"/>
                                            <w:left w:val="none" w:sz="0" w:space="0" w:color="auto"/>
                                            <w:bottom w:val="none" w:sz="0" w:space="0" w:color="auto"/>
                                            <w:right w:val="none" w:sz="0" w:space="0" w:color="auto"/>
                                          </w:divBdr>
                                          <w:divsChild>
                                            <w:div w:id="819228146">
                                              <w:marLeft w:val="0"/>
                                              <w:marRight w:val="0"/>
                                              <w:marTop w:val="0"/>
                                              <w:marBottom w:val="0"/>
                                              <w:divBdr>
                                                <w:top w:val="none" w:sz="0" w:space="0" w:color="auto"/>
                                                <w:left w:val="none" w:sz="0" w:space="0" w:color="auto"/>
                                                <w:bottom w:val="none" w:sz="0" w:space="0" w:color="auto"/>
                                                <w:right w:val="none" w:sz="0" w:space="0" w:color="auto"/>
                                              </w:divBdr>
                                              <w:divsChild>
                                                <w:div w:id="1225022395">
                                                  <w:marLeft w:val="0"/>
                                                  <w:marRight w:val="0"/>
                                                  <w:marTop w:val="0"/>
                                                  <w:marBottom w:val="0"/>
                                                  <w:divBdr>
                                                    <w:top w:val="none" w:sz="0" w:space="0" w:color="auto"/>
                                                    <w:left w:val="none" w:sz="0" w:space="0" w:color="auto"/>
                                                    <w:bottom w:val="none" w:sz="0" w:space="0" w:color="auto"/>
                                                    <w:right w:val="none" w:sz="0" w:space="0" w:color="auto"/>
                                                  </w:divBdr>
                                                  <w:divsChild>
                                                    <w:div w:id="1977371728">
                                                      <w:marLeft w:val="0"/>
                                                      <w:marRight w:val="0"/>
                                                      <w:marTop w:val="0"/>
                                                      <w:marBottom w:val="0"/>
                                                      <w:divBdr>
                                                        <w:top w:val="none" w:sz="0" w:space="0" w:color="auto"/>
                                                        <w:left w:val="none" w:sz="0" w:space="0" w:color="auto"/>
                                                        <w:bottom w:val="none" w:sz="0" w:space="0" w:color="auto"/>
                                                        <w:right w:val="none" w:sz="0" w:space="0" w:color="auto"/>
                                                      </w:divBdr>
                                                      <w:divsChild>
                                                        <w:div w:id="1188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wipo.int/export/sites/www/standards/es/pdf/03-20-01.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de.wikipedia.org/wiki/Koreanisches_Alphabet" TargetMode="External"/><Relationship Id="rId2" Type="http://schemas.openxmlformats.org/officeDocument/2006/relationships/hyperlink" Target="https://de.wikipedia.org/wiki/Kyrillisches_Alphabet" TargetMode="External"/><Relationship Id="rId1" Type="http://schemas.openxmlformats.org/officeDocument/2006/relationships/hyperlink" Target="https://www.researchgate.net/figure/Transliteration-examples-in-four-language-pairs-Letter-correspondence-shows-how-the_fig1_220566444" TargetMode="External"/><Relationship Id="rId5" Type="http://schemas.openxmlformats.org/officeDocument/2006/relationships/hyperlink" Target="https://en.wikipedia.org/wiki/Dania_transcription" TargetMode="External"/><Relationship Id="rId4" Type="http://schemas.openxmlformats.org/officeDocument/2006/relationships/hyperlink" Target="https://en.wikipedia.org/wiki/Romanization_of_Gr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4B2CD3083B1A40B0AA76A4EA725003" ma:contentTypeVersion="0" ma:contentTypeDescription="Create a new document." ma:contentTypeScope="" ma:versionID="c452361a2f2cd6b63b161ed3604349a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E0A48-530F-4EAD-89C9-EB9FDAF38058}">
  <ds:schemaRefs>
    <ds:schemaRef ds:uri="http://schemas.microsoft.com/sharepoint/v3/contenttype/forms"/>
  </ds:schemaRefs>
</ds:datastoreItem>
</file>

<file path=customXml/itemProps2.xml><?xml version="1.0" encoding="utf-8"?>
<ds:datastoreItem xmlns:ds="http://schemas.openxmlformats.org/officeDocument/2006/customXml" ds:itemID="{A94E1804-E708-4AFA-AD0C-790BF37E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24DA4C-802B-4211-9A52-664E64F7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2366</Words>
  <Characters>13425</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Standards - ST.61</vt:lpstr>
      <vt:lpstr>Standards - ST.61</vt:lpstr>
    </vt:vector>
  </TitlesOfParts>
  <Company>WIPO</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 ST.61</dc:title>
  <dc:subject>Standards - ST.61</dc:subject>
  <dc:creator>WIPO</dc:creator>
  <cp:keywords>FOR OFFICIAL USE ONLY</cp:keywords>
  <cp:lastModifiedBy>BLANCHET Gaspard</cp:lastModifiedBy>
  <cp:revision>3</cp:revision>
  <cp:lastPrinted>2023-11-06T08:27:00Z</cp:lastPrinted>
  <dcterms:created xsi:type="dcterms:W3CDTF">2024-08-07T14:40:00Z</dcterms:created>
  <dcterms:modified xsi:type="dcterms:W3CDTF">2024-09-04T15:01:00Z</dcterms:modified>
  <cp:category/>
  <cp:contentStatus>Standard adopted  by the Committee on WIPO Standards at its eighth session on December 4,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Rayomond.Dinshaw@ontario.ca</vt:lpwstr>
  </property>
  <property fmtid="{D5CDD505-2E9C-101B-9397-08002B2CF9AE}" pid="5" name="MSIP_Label_034a106e-6316-442c-ad35-738afd673d2b_SetDate">
    <vt:lpwstr>2018-08-29T17:53:05.8753600Z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TitusGUID">
    <vt:lpwstr>bcb0ba33-ec5c-43c7-8186-f2f8af82e205</vt:lpwstr>
  </property>
  <property fmtid="{D5CDD505-2E9C-101B-9397-08002B2CF9AE}" pid="10" name="Classification">
    <vt:lpwstr>For Official Use Only</vt:lpwstr>
  </property>
  <property fmtid="{D5CDD505-2E9C-101B-9397-08002B2CF9AE}" pid="11" name="VisualMarkings">
    <vt:lpwstr>Footer</vt:lpwstr>
  </property>
  <property fmtid="{D5CDD505-2E9C-101B-9397-08002B2CF9AE}" pid="12" name="Alignment">
    <vt:lpwstr>Centre</vt:lpwstr>
  </property>
  <property fmtid="{D5CDD505-2E9C-101B-9397-08002B2CF9AE}" pid="13" name="Language">
    <vt:lpwstr>English</vt:lpwstr>
  </property>
  <property fmtid="{D5CDD505-2E9C-101B-9397-08002B2CF9AE}" pid="14" name="MSIP_Label_20773ee6-353b-4fb9-a59d-0b94c8c67bea_Enabled">
    <vt:lpwstr>true</vt:lpwstr>
  </property>
  <property fmtid="{D5CDD505-2E9C-101B-9397-08002B2CF9AE}" pid="15" name="MSIP_Label_20773ee6-353b-4fb9-a59d-0b94c8c67bea_SetDate">
    <vt:lpwstr>2023-10-31T09:26:17Z</vt:lpwstr>
  </property>
  <property fmtid="{D5CDD505-2E9C-101B-9397-08002B2CF9AE}" pid="16" name="MSIP_Label_20773ee6-353b-4fb9-a59d-0b94c8c67bea_Method">
    <vt:lpwstr>Privileged</vt:lpwstr>
  </property>
  <property fmtid="{D5CDD505-2E9C-101B-9397-08002B2CF9AE}" pid="17" name="MSIP_Label_20773ee6-353b-4fb9-a59d-0b94c8c67bea_Name">
    <vt:lpwstr>No markings</vt:lpwstr>
  </property>
  <property fmtid="{D5CDD505-2E9C-101B-9397-08002B2CF9AE}" pid="18" name="MSIP_Label_20773ee6-353b-4fb9-a59d-0b94c8c67bea_SiteId">
    <vt:lpwstr>faa31b06-8ccc-48c9-867f-f7510dd11c02</vt:lpwstr>
  </property>
  <property fmtid="{D5CDD505-2E9C-101B-9397-08002B2CF9AE}" pid="19" name="MSIP_Label_20773ee6-353b-4fb9-a59d-0b94c8c67bea_ActionId">
    <vt:lpwstr>7a0ecedd-994b-4433-afe0-5f1c33771da4</vt:lpwstr>
  </property>
  <property fmtid="{D5CDD505-2E9C-101B-9397-08002B2CF9AE}" pid="20" name="MSIP_Label_20773ee6-353b-4fb9-a59d-0b94c8c67bea_ContentBits">
    <vt:lpwstr>0</vt:lpwstr>
  </property>
</Properties>
</file>