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D5576" w14:textId="6F318A22" w:rsidR="000A37EB" w:rsidRPr="00F94944" w:rsidRDefault="0008761A" w:rsidP="00F94944">
      <w:pPr>
        <w:pStyle w:val="Heading1"/>
        <w:keepNext w:val="0"/>
        <w:widowControl w:val="0"/>
        <w:kinsoku w:val="0"/>
        <w:spacing w:before="480" w:after="340"/>
        <w:jc w:val="center"/>
        <w:rPr>
          <w:bCs w:val="0"/>
          <w:caps w:val="0"/>
          <w:kern w:val="0"/>
          <w:sz w:val="20"/>
          <w:szCs w:val="17"/>
          <w:lang w:val="es-ES_tradnl"/>
        </w:rPr>
      </w:pPr>
      <w:bookmarkStart w:id="0" w:name="_Toc531267013"/>
      <w:bookmarkStart w:id="1" w:name="_Toc531267087"/>
      <w:bookmarkStart w:id="2" w:name="_Toc59193908"/>
      <w:r w:rsidRPr="00F94944">
        <w:rPr>
          <w:caps w:val="0"/>
          <w:sz w:val="20"/>
          <w:lang w:val="es-ES_tradnl"/>
        </w:rPr>
        <w:t>NORMA ST.27</w:t>
      </w:r>
      <w:bookmarkEnd w:id="0"/>
      <w:bookmarkEnd w:id="1"/>
      <w:bookmarkEnd w:id="2"/>
    </w:p>
    <w:p w14:paraId="373444EB" w14:textId="21E756B8" w:rsidR="000A37EB" w:rsidRPr="00F94944" w:rsidRDefault="00E4358E" w:rsidP="00D04FEA">
      <w:pPr>
        <w:pStyle w:val="TitleCAPS"/>
        <w:rPr>
          <w:lang w:val="es-ES_tradnl"/>
        </w:rPr>
      </w:pPr>
      <w:r w:rsidRPr="00F94944">
        <w:rPr>
          <w:caps w:val="0"/>
          <w:lang w:val="es-ES_tradnl"/>
        </w:rPr>
        <w:t>RECOMENDACIÓN PARA EL INTERCAMBIO DE DATOS SOBRE LA SITUACIÓN JURÍDICA DE LAS PATENTES</w:t>
      </w:r>
    </w:p>
    <w:p w14:paraId="609F5F48" w14:textId="01E2F4B1" w:rsidR="00035FC1" w:rsidRPr="00F94944" w:rsidRDefault="00035FC1" w:rsidP="00035FC1">
      <w:pPr>
        <w:widowControl w:val="0"/>
        <w:kinsoku w:val="0"/>
        <w:spacing w:after="340"/>
        <w:ind w:right="11"/>
        <w:jc w:val="center"/>
        <w:rPr>
          <w:rFonts w:eastAsia="Batang"/>
          <w:i/>
          <w:sz w:val="17"/>
          <w:szCs w:val="17"/>
          <w:lang w:val="es-ES_tradnl"/>
        </w:rPr>
      </w:pPr>
      <w:r w:rsidRPr="00F94944">
        <w:rPr>
          <w:i/>
          <w:sz w:val="17"/>
          <w:lang w:val="es-ES_tradnl"/>
        </w:rPr>
        <w:t>Revisión presentada para su aprobación en la duodécima sesión del Comité de Normas Técnicas de la OMPI (CWS)</w:t>
      </w:r>
    </w:p>
    <w:p w14:paraId="5318F991" w14:textId="79FCA01B" w:rsidR="008B4518" w:rsidRPr="00F94944" w:rsidRDefault="008B4518" w:rsidP="008B4518">
      <w:pPr>
        <w:spacing w:after="340"/>
        <w:jc w:val="center"/>
        <w:rPr>
          <w:rFonts w:eastAsia="Times New Roman" w:cs="Times New Roman"/>
          <w:i/>
          <w:sz w:val="17"/>
          <w:lang w:val="es-ES_tradnl"/>
        </w:rPr>
      </w:pPr>
      <w:r w:rsidRPr="00F94944">
        <w:rPr>
          <w:i/>
          <w:sz w:val="17"/>
          <w:lang w:val="es-ES_tradnl"/>
        </w:rPr>
        <w:t>Nota editorial de la Oficina Internacional</w:t>
      </w:r>
    </w:p>
    <w:p w14:paraId="0E122CCC" w14:textId="416BE295" w:rsidR="00367B09" w:rsidRPr="00F94944" w:rsidRDefault="00367B09" w:rsidP="00367B09">
      <w:pPr>
        <w:spacing w:after="120"/>
        <w:rPr>
          <w:rFonts w:eastAsia="Times New Roman" w:cs="Times New Roman"/>
          <w:i/>
          <w:sz w:val="17"/>
          <w:lang w:val="es-ES_tradnl"/>
        </w:rPr>
      </w:pPr>
      <w:r w:rsidRPr="00F94944">
        <w:rPr>
          <w:i/>
          <w:sz w:val="17"/>
          <w:lang w:val="es-ES_tradnl"/>
        </w:rPr>
        <w:t>Las OPI pueden empezar a aplicar la Norma ST.27 para intercambiar datos sobre la situación jurídica.</w:t>
      </w:r>
      <w:r w:rsidR="00F94944">
        <w:rPr>
          <w:i/>
          <w:sz w:val="17"/>
          <w:lang w:val="es-ES_tradnl"/>
        </w:rPr>
        <w:t xml:space="preserve"> </w:t>
      </w:r>
      <w:r w:rsidRPr="00F94944">
        <w:rPr>
          <w:i/>
          <w:sz w:val="17"/>
          <w:lang w:val="es-ES_tradnl"/>
        </w:rPr>
        <w:t>El Equipo Técnico de la Situación Jurídica seguirá revisando los títulos y las descripciones de las categorías y los estados, según sea necesario, a medida que las OPI sigan mejorando sus correspondencias.</w:t>
      </w:r>
    </w:p>
    <w:p w14:paraId="7764B306" w14:textId="02B4A0BC" w:rsidR="00762A6F" w:rsidRPr="00F94944" w:rsidRDefault="00035FC1" w:rsidP="00762A6F">
      <w:pPr>
        <w:spacing w:after="120"/>
        <w:rPr>
          <w:rFonts w:eastAsia="Times New Roman" w:cs="Times New Roman"/>
          <w:i/>
          <w:sz w:val="17"/>
          <w:lang w:val="es-ES_tradnl"/>
        </w:rPr>
      </w:pPr>
      <w:r w:rsidRPr="00F94944">
        <w:rPr>
          <w:i/>
          <w:sz w:val="17"/>
          <w:lang w:val="es-ES_tradnl"/>
        </w:rPr>
        <w:t>En su séptima sesión, el CWS aprobó reservar tres caracteres adicionales en el código correspondiente a cada estado.</w:t>
      </w:r>
      <w:r w:rsidR="00F94944">
        <w:rPr>
          <w:i/>
          <w:sz w:val="17"/>
          <w:lang w:val="es-ES_tradnl"/>
        </w:rPr>
        <w:t xml:space="preserve"> </w:t>
      </w:r>
      <w:r w:rsidRPr="00F94944">
        <w:rPr>
          <w:i/>
          <w:sz w:val="17"/>
          <w:lang w:val="es-ES_tradnl"/>
        </w:rPr>
        <w:t>Esos caracteres reservados son útiles para la futura labor sobre la norma, y se reservan ahora para que las Oficinas puedan aplicar la norma existente con garantías.</w:t>
      </w:r>
      <w:r w:rsidR="00F94944">
        <w:rPr>
          <w:i/>
          <w:sz w:val="17"/>
          <w:lang w:val="es-ES_tradnl"/>
        </w:rPr>
        <w:t xml:space="preserve"> </w:t>
      </w:r>
      <w:r w:rsidRPr="00F94944">
        <w:rPr>
          <w:i/>
          <w:sz w:val="17"/>
          <w:lang w:val="es-ES_tradnl"/>
        </w:rPr>
        <w:t>El Equipo Técnico de la Situación Jurídica estudiará las propuestas para utilizar los caracteres reservados después de la séptima sesión del CWS e informará al CWS sobre las propuestas acordadas.</w:t>
      </w:r>
      <w:r w:rsidR="00F94944">
        <w:rPr>
          <w:i/>
          <w:sz w:val="17"/>
          <w:lang w:val="es-ES_tradnl"/>
        </w:rPr>
        <w:t xml:space="preserve"> </w:t>
      </w:r>
      <w:r w:rsidRPr="00F94944">
        <w:rPr>
          <w:i/>
          <w:sz w:val="17"/>
          <w:lang w:val="es-ES_tradnl"/>
        </w:rPr>
        <w:t>Si el Equipo Técnico no acuerda ninguna propuesta, los caracteres reservados permanecerán sin utilizar pero vigentes para posibles usos futuros.</w:t>
      </w:r>
    </w:p>
    <w:p w14:paraId="59A43F22" w14:textId="7F801CF5" w:rsidR="00A96385" w:rsidRPr="00F94944" w:rsidRDefault="00666B78" w:rsidP="00762A6F">
      <w:pPr>
        <w:spacing w:after="340"/>
        <w:jc w:val="both"/>
        <w:rPr>
          <w:rFonts w:eastAsia="Times New Roman" w:cs="Times New Roman"/>
          <w:iCs/>
          <w:sz w:val="17"/>
          <w:u w:val="single"/>
          <w:lang w:val="es-ES_tradnl"/>
        </w:rPr>
      </w:pPr>
      <w:r w:rsidRPr="00F94944">
        <w:rPr>
          <w:sz w:val="17"/>
          <w:u w:val="single"/>
          <w:lang w:val="es-ES_tradnl"/>
        </w:rPr>
        <w:t>[…]</w:t>
      </w:r>
      <w:bookmarkStart w:id="3" w:name="_Toc59193909"/>
    </w:p>
    <w:p w14:paraId="5CFA4CDB" w14:textId="033662D3" w:rsidR="000A37EB" w:rsidRPr="00F94944" w:rsidRDefault="000A37EB" w:rsidP="00D04FEA">
      <w:pPr>
        <w:pStyle w:val="StyleHeading285pt"/>
        <w:spacing w:after="200"/>
        <w:rPr>
          <w:lang w:val="es-ES_tradnl"/>
        </w:rPr>
      </w:pPr>
      <w:bookmarkStart w:id="4" w:name="_Toc480358855"/>
      <w:bookmarkStart w:id="5" w:name="_Toc531267017"/>
      <w:bookmarkStart w:id="6" w:name="_Toc531267091"/>
      <w:bookmarkStart w:id="7" w:name="_Toc59193913"/>
      <w:bookmarkEnd w:id="3"/>
      <w:r w:rsidRPr="00F94944">
        <w:rPr>
          <w:lang w:val="es-ES_tradnl"/>
        </w:rPr>
        <w:t>REFERENCIAS</w:t>
      </w:r>
      <w:bookmarkEnd w:id="4"/>
      <w:bookmarkEnd w:id="5"/>
      <w:bookmarkEnd w:id="6"/>
      <w:bookmarkEnd w:id="7"/>
    </w:p>
    <w:p w14:paraId="442C3DE5" w14:textId="6B1D69C2" w:rsidR="001B01C9" w:rsidRPr="00F94944" w:rsidRDefault="001A3656" w:rsidP="00C626B8">
      <w:pPr>
        <w:pStyle w:val="ListParagraph"/>
        <w:numPr>
          <w:ilvl w:val="0"/>
          <w:numId w:val="39"/>
        </w:numPr>
        <w:spacing w:after="200"/>
        <w:contextualSpacing w:val="0"/>
        <w:jc w:val="both"/>
        <w:rPr>
          <w:sz w:val="17"/>
          <w:szCs w:val="17"/>
          <w:lang w:val="es-ES_tradnl"/>
        </w:rPr>
      </w:pPr>
      <w:r w:rsidRPr="00F94944">
        <w:rPr>
          <w:sz w:val="17"/>
          <w:lang w:val="es-ES_tradnl"/>
        </w:rPr>
        <w:t>Las siguientes normas técnicas de la OMPI son relevantes para la presente norma:</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1A3656" w:rsidRPr="00F94944" w14:paraId="19F98F2B" w14:textId="77777777" w:rsidTr="001A3656">
        <w:trPr>
          <w:trHeight w:val="113"/>
        </w:trPr>
        <w:tc>
          <w:tcPr>
            <w:tcW w:w="3510" w:type="dxa"/>
          </w:tcPr>
          <w:p w14:paraId="655EC09F" w14:textId="22887DF4" w:rsidR="001A3656" w:rsidRPr="00F94944" w:rsidRDefault="001A3656" w:rsidP="00D04FEA">
            <w:pPr>
              <w:autoSpaceDE w:val="0"/>
              <w:autoSpaceDN w:val="0"/>
              <w:adjustRightInd w:val="0"/>
              <w:spacing w:after="200"/>
              <w:ind w:left="1134"/>
              <w:rPr>
                <w:rFonts w:eastAsia="Times New Roman"/>
                <w:color w:val="000000"/>
                <w:sz w:val="17"/>
                <w:szCs w:val="17"/>
                <w:lang w:val="es-ES_tradnl"/>
              </w:rPr>
            </w:pPr>
            <w:r w:rsidRPr="00F94944">
              <w:rPr>
                <w:color w:val="000000"/>
                <w:sz w:val="17"/>
                <w:lang w:val="es-ES_tradnl"/>
              </w:rPr>
              <w:t xml:space="preserve">Norma </w:t>
            </w:r>
            <w:hyperlink r:id="rId8" w:history="1">
              <w:r w:rsidRPr="00F94944">
                <w:rPr>
                  <w:rStyle w:val="Hyperlink"/>
                  <w:sz w:val="17"/>
                  <w:lang w:val="es-ES_tradnl"/>
                </w:rPr>
                <w:t>ST.2</w:t>
              </w:r>
            </w:hyperlink>
            <w:r w:rsidRPr="00F94944">
              <w:rPr>
                <w:color w:val="000000"/>
                <w:sz w:val="17"/>
                <w:lang w:val="es-ES_tradnl"/>
              </w:rPr>
              <w:t xml:space="preserve"> de la OMPI </w:t>
            </w:r>
          </w:p>
        </w:tc>
        <w:tc>
          <w:tcPr>
            <w:tcW w:w="5954" w:type="dxa"/>
          </w:tcPr>
          <w:p w14:paraId="357D10C8" w14:textId="531A99EF" w:rsidR="001A3656" w:rsidRPr="00F94944" w:rsidRDefault="001A3656" w:rsidP="00D04FEA">
            <w:pPr>
              <w:autoSpaceDE w:val="0"/>
              <w:autoSpaceDN w:val="0"/>
              <w:adjustRightInd w:val="0"/>
              <w:spacing w:after="200"/>
              <w:ind w:left="34"/>
              <w:rPr>
                <w:rFonts w:eastAsia="Times New Roman"/>
                <w:color w:val="000000"/>
                <w:sz w:val="17"/>
                <w:szCs w:val="17"/>
                <w:lang w:val="es-ES_tradnl"/>
              </w:rPr>
            </w:pPr>
            <w:r w:rsidRPr="00F94944">
              <w:rPr>
                <w:color w:val="000000"/>
                <w:sz w:val="17"/>
                <w:lang w:val="es-ES_tradnl"/>
              </w:rPr>
              <w:t>Forma normalizada de designar las fechas según el calendario gregoriano</w:t>
            </w:r>
          </w:p>
        </w:tc>
      </w:tr>
      <w:tr w:rsidR="001A3656" w:rsidRPr="00F94944" w14:paraId="0ECA042F" w14:textId="77777777" w:rsidTr="001A3656">
        <w:trPr>
          <w:trHeight w:val="211"/>
        </w:trPr>
        <w:tc>
          <w:tcPr>
            <w:tcW w:w="3510" w:type="dxa"/>
          </w:tcPr>
          <w:p w14:paraId="15F6152D" w14:textId="1C7313CE" w:rsidR="001A3656" w:rsidRPr="00F94944" w:rsidRDefault="001A3656" w:rsidP="00D04FEA">
            <w:pPr>
              <w:autoSpaceDE w:val="0"/>
              <w:autoSpaceDN w:val="0"/>
              <w:adjustRightInd w:val="0"/>
              <w:spacing w:after="200"/>
              <w:ind w:left="1134"/>
              <w:rPr>
                <w:rFonts w:eastAsia="Times New Roman"/>
                <w:color w:val="000000"/>
                <w:sz w:val="17"/>
                <w:szCs w:val="17"/>
                <w:lang w:val="es-ES_tradnl"/>
              </w:rPr>
            </w:pPr>
            <w:r w:rsidRPr="00F94944">
              <w:rPr>
                <w:color w:val="000000"/>
                <w:sz w:val="17"/>
                <w:lang w:val="es-ES_tradnl"/>
              </w:rPr>
              <w:t xml:space="preserve">Norma </w:t>
            </w:r>
            <w:hyperlink r:id="rId9" w:history="1">
              <w:r w:rsidRPr="00F94944">
                <w:rPr>
                  <w:rStyle w:val="Hyperlink"/>
                  <w:sz w:val="17"/>
                  <w:lang w:val="es-ES_tradnl"/>
                </w:rPr>
                <w:t>ST.3</w:t>
              </w:r>
            </w:hyperlink>
            <w:r w:rsidRPr="00F94944">
              <w:rPr>
                <w:color w:val="000000"/>
                <w:sz w:val="17"/>
                <w:lang w:val="es-ES_tradnl"/>
              </w:rPr>
              <w:t xml:space="preserve"> de la OMPI </w:t>
            </w:r>
          </w:p>
        </w:tc>
        <w:tc>
          <w:tcPr>
            <w:tcW w:w="5954" w:type="dxa"/>
          </w:tcPr>
          <w:p w14:paraId="6EC4CBC4" w14:textId="3E903F4A" w:rsidR="008A2921" w:rsidRPr="00F94944" w:rsidRDefault="001A3656" w:rsidP="00D04FEA">
            <w:pPr>
              <w:autoSpaceDE w:val="0"/>
              <w:autoSpaceDN w:val="0"/>
              <w:adjustRightInd w:val="0"/>
              <w:spacing w:after="200"/>
              <w:ind w:left="34"/>
              <w:rPr>
                <w:rFonts w:eastAsia="Times New Roman"/>
                <w:color w:val="000000"/>
                <w:sz w:val="17"/>
                <w:szCs w:val="17"/>
                <w:lang w:val="es-ES_tradnl"/>
              </w:rPr>
            </w:pPr>
            <w:r w:rsidRPr="00F94944">
              <w:rPr>
                <w:color w:val="000000"/>
                <w:sz w:val="17"/>
                <w:lang w:val="es-ES_tradnl"/>
              </w:rPr>
              <w:t>Códigos normalizados de dos letras, recomendados para la representación de Estados, otras entidades y organizaciones intergubernamentales</w:t>
            </w:r>
          </w:p>
        </w:tc>
      </w:tr>
      <w:tr w:rsidR="008A2921" w:rsidRPr="00F94944" w14:paraId="39F8D6A9" w14:textId="77777777" w:rsidTr="001A3656">
        <w:trPr>
          <w:trHeight w:val="211"/>
        </w:trPr>
        <w:tc>
          <w:tcPr>
            <w:tcW w:w="3510" w:type="dxa"/>
          </w:tcPr>
          <w:p w14:paraId="770F3ACA" w14:textId="63EEAE99" w:rsidR="008A2921" w:rsidRPr="00F94944" w:rsidRDefault="008A2921" w:rsidP="00D04FEA">
            <w:pPr>
              <w:autoSpaceDE w:val="0"/>
              <w:autoSpaceDN w:val="0"/>
              <w:adjustRightInd w:val="0"/>
              <w:spacing w:after="200"/>
              <w:ind w:left="1134"/>
              <w:rPr>
                <w:rFonts w:eastAsia="Times New Roman"/>
                <w:color w:val="000000"/>
                <w:sz w:val="17"/>
                <w:szCs w:val="17"/>
                <w:lang w:val="es-ES_tradnl"/>
              </w:rPr>
            </w:pPr>
            <w:r w:rsidRPr="00F94944">
              <w:rPr>
                <w:color w:val="000000"/>
                <w:sz w:val="17"/>
                <w:lang w:val="es-ES_tradnl"/>
              </w:rPr>
              <w:t xml:space="preserve">Norma </w:t>
            </w:r>
            <w:hyperlink r:id="rId10" w:history="1">
              <w:r w:rsidRPr="00F94944">
                <w:rPr>
                  <w:rStyle w:val="Hyperlink"/>
                  <w:sz w:val="17"/>
                  <w:lang w:val="es-ES_tradnl"/>
                </w:rPr>
                <w:t>ST.13</w:t>
              </w:r>
            </w:hyperlink>
            <w:r w:rsidRPr="00F94944">
              <w:rPr>
                <w:color w:val="000000"/>
                <w:sz w:val="17"/>
                <w:lang w:val="es-ES_tradnl"/>
              </w:rPr>
              <w:t xml:space="preserve"> de la OMPI</w:t>
            </w:r>
          </w:p>
        </w:tc>
        <w:tc>
          <w:tcPr>
            <w:tcW w:w="5954" w:type="dxa"/>
          </w:tcPr>
          <w:p w14:paraId="6389D68D" w14:textId="3ED8CF14" w:rsidR="00301D3F" w:rsidRPr="00F94944" w:rsidRDefault="00301D3F" w:rsidP="00D04FEA">
            <w:pPr>
              <w:autoSpaceDE w:val="0"/>
              <w:autoSpaceDN w:val="0"/>
              <w:adjustRightInd w:val="0"/>
              <w:spacing w:after="200"/>
              <w:ind w:left="34"/>
              <w:rPr>
                <w:sz w:val="17"/>
                <w:szCs w:val="17"/>
                <w:lang w:val="es-ES_tradnl"/>
              </w:rPr>
            </w:pPr>
            <w:r w:rsidRPr="00F94944">
              <w:rPr>
                <w:sz w:val="17"/>
                <w:lang w:val="es-ES_tradnl"/>
              </w:rPr>
              <w:t>Numeración de las solicitudes de derechos de propiedad industrial</w:t>
            </w:r>
          </w:p>
        </w:tc>
      </w:tr>
      <w:tr w:rsidR="008A2921" w:rsidRPr="00F94944" w14:paraId="278D1902" w14:textId="77777777" w:rsidTr="001A3656">
        <w:trPr>
          <w:trHeight w:val="211"/>
        </w:trPr>
        <w:tc>
          <w:tcPr>
            <w:tcW w:w="3510" w:type="dxa"/>
          </w:tcPr>
          <w:p w14:paraId="7B3E279F" w14:textId="77777777" w:rsidR="008A2921" w:rsidRPr="00F94944" w:rsidRDefault="008A2921" w:rsidP="00D04FEA">
            <w:pPr>
              <w:autoSpaceDE w:val="0"/>
              <w:autoSpaceDN w:val="0"/>
              <w:adjustRightInd w:val="0"/>
              <w:spacing w:after="200"/>
              <w:ind w:left="1134"/>
              <w:rPr>
                <w:rFonts w:eastAsia="Times New Roman"/>
                <w:color w:val="000000"/>
                <w:sz w:val="17"/>
                <w:szCs w:val="17"/>
                <w:lang w:val="es-ES_tradnl"/>
              </w:rPr>
            </w:pPr>
            <w:r w:rsidRPr="00F94944">
              <w:rPr>
                <w:color w:val="000000"/>
                <w:sz w:val="17"/>
                <w:lang w:val="es-ES_tradnl"/>
              </w:rPr>
              <w:t xml:space="preserve">Norma </w:t>
            </w:r>
            <w:hyperlink r:id="rId11" w:history="1">
              <w:r w:rsidRPr="00F94944">
                <w:rPr>
                  <w:rStyle w:val="Hyperlink"/>
                  <w:sz w:val="17"/>
                  <w:lang w:val="es-ES_tradnl"/>
                </w:rPr>
                <w:t>ST.16</w:t>
              </w:r>
            </w:hyperlink>
            <w:r w:rsidRPr="00F94944">
              <w:rPr>
                <w:color w:val="000000"/>
                <w:sz w:val="17"/>
                <w:lang w:val="es-ES_tradnl"/>
              </w:rPr>
              <w:t xml:space="preserve"> de la OMPI</w:t>
            </w:r>
          </w:p>
          <w:p w14:paraId="1A4FD967" w14:textId="6B1947AF" w:rsidR="00C626B8" w:rsidRPr="00F94944" w:rsidRDefault="00C626B8" w:rsidP="00D04FEA">
            <w:pPr>
              <w:autoSpaceDE w:val="0"/>
              <w:autoSpaceDN w:val="0"/>
              <w:adjustRightInd w:val="0"/>
              <w:spacing w:after="200"/>
              <w:ind w:left="1134"/>
              <w:rPr>
                <w:rFonts w:eastAsia="Times New Roman"/>
                <w:color w:val="000000"/>
                <w:sz w:val="17"/>
                <w:szCs w:val="17"/>
                <w:u w:val="single"/>
                <w:lang w:val="es-ES_tradnl"/>
              </w:rPr>
            </w:pPr>
            <w:r w:rsidRPr="00F94944">
              <w:rPr>
                <w:color w:val="000000"/>
                <w:sz w:val="17"/>
                <w:u w:val="single"/>
                <w:lang w:val="es-ES_tradnl"/>
              </w:rPr>
              <w:t xml:space="preserve">Norma </w:t>
            </w:r>
            <w:hyperlink r:id="rId12" w:history="1">
              <w:r w:rsidRPr="00F94944">
                <w:rPr>
                  <w:rStyle w:val="Hyperlink"/>
                  <w:sz w:val="17"/>
                  <w:lang w:val="es-ES_tradnl"/>
                </w:rPr>
                <w:t>ST.87</w:t>
              </w:r>
            </w:hyperlink>
            <w:r w:rsidRPr="00F94944">
              <w:rPr>
                <w:color w:val="000000"/>
                <w:sz w:val="17"/>
                <w:u w:val="single"/>
                <w:lang w:val="es-ES_tradnl"/>
              </w:rPr>
              <w:t xml:space="preserve"> de la OMPI</w:t>
            </w:r>
          </w:p>
        </w:tc>
        <w:tc>
          <w:tcPr>
            <w:tcW w:w="5954" w:type="dxa"/>
          </w:tcPr>
          <w:p w14:paraId="184E8192" w14:textId="77777777" w:rsidR="008A2921" w:rsidRPr="00F94944" w:rsidRDefault="00301D3F" w:rsidP="00D04FEA">
            <w:pPr>
              <w:autoSpaceDE w:val="0"/>
              <w:autoSpaceDN w:val="0"/>
              <w:adjustRightInd w:val="0"/>
              <w:spacing w:after="200"/>
              <w:ind w:left="34"/>
              <w:rPr>
                <w:sz w:val="17"/>
                <w:szCs w:val="17"/>
                <w:lang w:val="es-ES_tradnl"/>
              </w:rPr>
            </w:pPr>
            <w:r w:rsidRPr="00F94944">
              <w:rPr>
                <w:sz w:val="17"/>
                <w:lang w:val="es-ES_tradnl"/>
              </w:rPr>
              <w:t>Identificación de los diferentes tipos de documentos de patente </w:t>
            </w:r>
          </w:p>
          <w:p w14:paraId="04540D41" w14:textId="743D6F15" w:rsidR="00C626B8" w:rsidRPr="00F94944" w:rsidRDefault="00C626B8" w:rsidP="00D04FEA">
            <w:pPr>
              <w:autoSpaceDE w:val="0"/>
              <w:autoSpaceDN w:val="0"/>
              <w:adjustRightInd w:val="0"/>
              <w:spacing w:after="200"/>
              <w:ind w:left="34"/>
              <w:rPr>
                <w:rFonts w:eastAsia="Times New Roman"/>
                <w:sz w:val="17"/>
                <w:szCs w:val="17"/>
                <w:u w:val="single"/>
                <w:lang w:val="es-ES_tradnl"/>
              </w:rPr>
            </w:pPr>
            <w:r w:rsidRPr="00F94944">
              <w:rPr>
                <w:sz w:val="17"/>
                <w:u w:val="single"/>
                <w:lang w:val="es-ES_tradnl"/>
              </w:rPr>
              <w:t>Intercambio de datos sobre la situación jurídica de los dibujos y modelos industriales</w:t>
            </w:r>
          </w:p>
        </w:tc>
      </w:tr>
    </w:tbl>
    <w:p w14:paraId="6FE13C2A" w14:textId="77777777" w:rsidR="00C626B8" w:rsidRPr="00F94944" w:rsidRDefault="00C626B8" w:rsidP="008D171C">
      <w:pPr>
        <w:pStyle w:val="Heading3"/>
        <w:spacing w:before="0" w:after="200"/>
        <w:rPr>
          <w:sz w:val="17"/>
          <w:szCs w:val="17"/>
          <w:lang w:val="es-ES_tradnl"/>
        </w:rPr>
      </w:pPr>
      <w:bookmarkStart w:id="8" w:name="_Toc386180714"/>
      <w:bookmarkStart w:id="9" w:name="_Toc480358874"/>
      <w:bookmarkStart w:id="10" w:name="_Toc531267105"/>
      <w:bookmarkStart w:id="11" w:name="_Toc59193927"/>
    </w:p>
    <w:p w14:paraId="4A957635" w14:textId="63A91528" w:rsidR="00C626B8" w:rsidRPr="00F94944" w:rsidRDefault="00C626B8" w:rsidP="008D171C">
      <w:pPr>
        <w:pStyle w:val="Heading3"/>
        <w:spacing w:before="0" w:after="200"/>
        <w:rPr>
          <w:sz w:val="17"/>
          <w:szCs w:val="17"/>
          <w:lang w:val="es-ES_tradnl"/>
        </w:rPr>
      </w:pPr>
      <w:r w:rsidRPr="00F94944">
        <w:rPr>
          <w:sz w:val="17"/>
          <w:lang w:val="es-ES_tradnl"/>
        </w:rPr>
        <w:t>[…]</w:t>
      </w:r>
    </w:p>
    <w:p w14:paraId="7A2F0B83" w14:textId="15B48D17" w:rsidR="000A37EB" w:rsidRPr="00F94944" w:rsidRDefault="008A20A9" w:rsidP="008D171C">
      <w:pPr>
        <w:pStyle w:val="Heading3"/>
        <w:spacing w:before="0" w:after="200"/>
        <w:rPr>
          <w:sz w:val="17"/>
          <w:szCs w:val="17"/>
          <w:lang w:val="es-ES_tradnl"/>
        </w:rPr>
      </w:pPr>
      <w:r w:rsidRPr="00F94944">
        <w:rPr>
          <w:sz w:val="17"/>
          <w:lang w:val="es-ES_tradnl"/>
        </w:rPr>
        <w:t>Datos de estado complementarios</w:t>
      </w:r>
      <w:bookmarkEnd w:id="8"/>
      <w:bookmarkEnd w:id="9"/>
      <w:bookmarkEnd w:id="10"/>
      <w:bookmarkEnd w:id="11"/>
    </w:p>
    <w:p w14:paraId="2E928B21" w14:textId="2E74BFDF" w:rsidR="00F64BA3" w:rsidRPr="00F94944" w:rsidRDefault="00350D32" w:rsidP="00666B78">
      <w:pPr>
        <w:pStyle w:val="ListParagraph"/>
        <w:numPr>
          <w:ilvl w:val="0"/>
          <w:numId w:val="41"/>
        </w:numPr>
        <w:ind w:left="0" w:firstLine="0"/>
        <w:jc w:val="both"/>
        <w:rPr>
          <w:sz w:val="17"/>
          <w:szCs w:val="17"/>
          <w:lang w:val="es-ES_tradnl"/>
        </w:rPr>
      </w:pPr>
      <w:r w:rsidRPr="00F94944">
        <w:rPr>
          <w:sz w:val="17"/>
          <w:lang w:val="es-ES_tradnl"/>
        </w:rPr>
        <w:t>La presente norma recomienda que las OPI proporcionen información adicional asociada a estados de forma que se pueda entender el contexto en el que ha ocurrido el cambio de estado nacional/regional.</w:t>
      </w:r>
      <w:r w:rsidR="00F94944">
        <w:rPr>
          <w:sz w:val="17"/>
          <w:lang w:val="es-ES_tradnl"/>
        </w:rPr>
        <w:t xml:space="preserve"> </w:t>
      </w:r>
      <w:r w:rsidRPr="00F94944">
        <w:rPr>
          <w:sz w:val="17"/>
          <w:lang w:val="es-ES_tradnl"/>
        </w:rPr>
        <w:t>La norma proporciona los datos complementarios mínimos del estado que deberían intercambiarse; las OPI pueden proporcionar información adicional.</w:t>
      </w:r>
      <w:r w:rsidR="00F94944">
        <w:rPr>
          <w:sz w:val="17"/>
          <w:lang w:val="es-ES_tradnl"/>
        </w:rPr>
        <w:t xml:space="preserve"> </w:t>
      </w:r>
      <w:r w:rsidRPr="00F94944">
        <w:rPr>
          <w:sz w:val="17"/>
          <w:lang w:val="es-ES_tradnl"/>
        </w:rPr>
        <w:t>El intercambio de datos de estado complementarios es opcional.</w:t>
      </w:r>
    </w:p>
    <w:p w14:paraId="26764165" w14:textId="77777777" w:rsidR="00666B78" w:rsidRPr="00F94944" w:rsidRDefault="00666B78" w:rsidP="00666B78">
      <w:pPr>
        <w:pStyle w:val="ListParagraph"/>
        <w:jc w:val="both"/>
        <w:rPr>
          <w:sz w:val="17"/>
          <w:szCs w:val="17"/>
          <w:lang w:val="es-ES_tradnl"/>
        </w:rPr>
      </w:pPr>
    </w:p>
    <w:p w14:paraId="0AFABE1F" w14:textId="04322738" w:rsidR="00F81629" w:rsidRPr="00F94944" w:rsidRDefault="00371EC3" w:rsidP="00666B78">
      <w:pPr>
        <w:pStyle w:val="ListParagraph"/>
        <w:numPr>
          <w:ilvl w:val="0"/>
          <w:numId w:val="41"/>
        </w:numPr>
        <w:spacing w:before="240" w:after="200"/>
        <w:ind w:left="0" w:firstLine="0"/>
        <w:jc w:val="both"/>
        <w:rPr>
          <w:sz w:val="17"/>
          <w:szCs w:val="17"/>
          <w:lang w:val="es-ES_tradnl"/>
        </w:rPr>
      </w:pPr>
      <w:r w:rsidRPr="00F94944">
        <w:rPr>
          <w:sz w:val="17"/>
          <w:lang w:val="es-ES_tradnl"/>
        </w:rPr>
        <w:t>En el Anexo II se enumeran los datos de estado complementarios mínimos relacionados con una categoría.</w:t>
      </w:r>
      <w:r w:rsidR="00F94944">
        <w:rPr>
          <w:sz w:val="17"/>
          <w:lang w:val="es-ES_tradnl"/>
        </w:rPr>
        <w:t xml:space="preserve"> </w:t>
      </w:r>
      <w:r w:rsidRPr="00F94944">
        <w:rPr>
          <w:sz w:val="17"/>
          <w:lang w:val="es-ES_tradnl"/>
        </w:rPr>
        <w:t>Hay dos grupos de datos:</w:t>
      </w:r>
      <w:r w:rsidR="00F94944">
        <w:rPr>
          <w:sz w:val="17"/>
          <w:lang w:val="es-ES_tradnl"/>
        </w:rPr>
        <w:t xml:space="preserve"> </w:t>
      </w:r>
      <w:r w:rsidRPr="00F94944">
        <w:rPr>
          <w:strike/>
          <w:sz w:val="17"/>
          <w:lang w:val="es-ES_tradnl"/>
        </w:rPr>
        <w:t xml:space="preserve">los datos numerados de 1) a 3) que constituyen </w:t>
      </w:r>
      <w:r w:rsidRPr="00F94944">
        <w:rPr>
          <w:sz w:val="17"/>
          <w:lang w:val="es-ES_tradnl"/>
        </w:rPr>
        <w:t xml:space="preserve">datos de estado complementarios que </w:t>
      </w:r>
      <w:r w:rsidRPr="00F94944">
        <w:rPr>
          <w:sz w:val="17"/>
          <w:u w:val="single"/>
          <w:lang w:val="es-ES_tradnl"/>
        </w:rPr>
        <w:t>son comunes a todas las categorías</w:t>
      </w:r>
      <w:r w:rsidRPr="00F94944">
        <w:rPr>
          <w:sz w:val="17"/>
          <w:lang w:val="es-ES_tradnl"/>
        </w:rPr>
        <w:t xml:space="preserve"> </w:t>
      </w:r>
      <w:r w:rsidRPr="00F94944">
        <w:rPr>
          <w:strike/>
          <w:sz w:val="17"/>
          <w:lang w:val="es-ES_tradnl"/>
        </w:rPr>
        <w:t>que una OPI puede proporcionar para cualquier incidencia nacional/regional con independencia de la categoría a la que pertenezca</w:t>
      </w:r>
      <w:r w:rsidRPr="00F94944">
        <w:rPr>
          <w:sz w:val="17"/>
          <w:lang w:val="es-ES_tradnl"/>
        </w:rPr>
        <w:t xml:space="preserve"> y </w:t>
      </w:r>
      <w:r w:rsidRPr="00F94944">
        <w:rPr>
          <w:sz w:val="17"/>
          <w:u w:val="single"/>
          <w:lang w:val="es-ES_tradnl"/>
        </w:rPr>
        <w:t>datos</w:t>
      </w:r>
      <w:r w:rsidRPr="00F94944">
        <w:rPr>
          <w:sz w:val="17"/>
          <w:lang w:val="es-ES_tradnl"/>
        </w:rPr>
        <w:t xml:space="preserve"> </w:t>
      </w:r>
      <w:r w:rsidR="009F72D7">
        <w:rPr>
          <w:sz w:val="17"/>
          <w:lang w:val="es-ES_tradnl"/>
        </w:rPr>
        <w:t xml:space="preserve">de estado </w:t>
      </w:r>
      <w:r w:rsidRPr="00F94944">
        <w:rPr>
          <w:sz w:val="17"/>
          <w:u w:val="single"/>
          <w:lang w:val="es-ES_tradnl"/>
        </w:rPr>
        <w:t>complementarios que</w:t>
      </w:r>
      <w:r w:rsidRPr="00F94944">
        <w:rPr>
          <w:sz w:val="17"/>
          <w:lang w:val="es-ES_tradnl"/>
        </w:rPr>
        <w:t xml:space="preserve"> </w:t>
      </w:r>
      <w:r w:rsidRPr="00F94944">
        <w:rPr>
          <w:strike/>
          <w:sz w:val="17"/>
          <w:lang w:val="es-ES_tradnl"/>
        </w:rPr>
        <w:t>datos enumerados a partir de 4)</w:t>
      </w:r>
      <w:r w:rsidRPr="00F94944">
        <w:rPr>
          <w:sz w:val="17"/>
          <w:lang w:val="es-ES_tradnl"/>
        </w:rPr>
        <w:t xml:space="preserve"> son específicos de esa categoría.</w:t>
      </w:r>
      <w:r w:rsidR="00F94944">
        <w:rPr>
          <w:sz w:val="17"/>
          <w:u w:val="single"/>
          <w:lang w:val="es-ES_tradnl"/>
        </w:rPr>
        <w:t xml:space="preserve"> </w:t>
      </w:r>
      <w:r w:rsidRPr="00F94944">
        <w:rPr>
          <w:sz w:val="17"/>
          <w:u w:val="single"/>
          <w:lang w:val="es-ES_tradnl"/>
        </w:rPr>
        <w:t>En el Anexo II figuran más detalles.</w:t>
      </w:r>
      <w:r w:rsidRPr="00F94944">
        <w:rPr>
          <w:sz w:val="17"/>
          <w:lang w:val="es-ES_tradnl"/>
        </w:rPr>
        <w:t xml:space="preserve"> </w:t>
      </w:r>
    </w:p>
    <w:p w14:paraId="058B293A" w14:textId="0F73D060" w:rsidR="000A37EB" w:rsidRPr="00F94944" w:rsidRDefault="00547343" w:rsidP="008D171C">
      <w:pPr>
        <w:pStyle w:val="StyleHeading285pt"/>
        <w:spacing w:after="200"/>
        <w:rPr>
          <w:lang w:val="es-ES_tradnl"/>
        </w:rPr>
      </w:pPr>
      <w:bookmarkStart w:id="12" w:name="_Toc480358875"/>
      <w:bookmarkStart w:id="13" w:name="_Toc531267022"/>
      <w:bookmarkStart w:id="14" w:name="_Toc531267106"/>
      <w:bookmarkStart w:id="15" w:name="_Toc59193928"/>
      <w:r w:rsidRPr="00F94944">
        <w:rPr>
          <w:lang w:val="es-ES_tradnl"/>
        </w:rPr>
        <w:t>APLICACIÓN</w:t>
      </w:r>
      <w:bookmarkEnd w:id="12"/>
      <w:bookmarkEnd w:id="13"/>
      <w:bookmarkEnd w:id="14"/>
      <w:bookmarkEnd w:id="15"/>
    </w:p>
    <w:p w14:paraId="5015F133" w14:textId="0988E668" w:rsidR="00B139A0" w:rsidRPr="00F94944" w:rsidRDefault="008E4371" w:rsidP="00666B78">
      <w:pPr>
        <w:pStyle w:val="ListParagraph"/>
        <w:numPr>
          <w:ilvl w:val="0"/>
          <w:numId w:val="41"/>
        </w:numPr>
        <w:spacing w:after="200"/>
        <w:ind w:left="0" w:hanging="3"/>
        <w:contextualSpacing w:val="0"/>
        <w:jc w:val="both"/>
        <w:rPr>
          <w:sz w:val="17"/>
          <w:szCs w:val="17"/>
          <w:lang w:val="es-ES_tradnl"/>
        </w:rPr>
      </w:pPr>
      <w:r w:rsidRPr="00F94944">
        <w:rPr>
          <w:sz w:val="17"/>
          <w:lang w:val="es-ES_tradnl"/>
        </w:rPr>
        <w:t>Se alienta a las OPI a aplicar la presente norma tan pronto como sea posible a fin de facilitar el intercambio efectivo de datos armonizados sobre la situación jurídica de solicitudes y derechos de PI.</w:t>
      </w:r>
      <w:r w:rsidR="00F94944">
        <w:rPr>
          <w:sz w:val="17"/>
          <w:lang w:val="es-ES_tradnl"/>
        </w:rPr>
        <w:t xml:space="preserve"> </w:t>
      </w:r>
      <w:r w:rsidRPr="00F94944">
        <w:rPr>
          <w:sz w:val="17"/>
          <w:lang w:val="es-ES_tradnl"/>
        </w:rPr>
        <w:t>La aplicación de esta norma exigirá que las OPI establezcan una correspondencia entre sus estados nacionales/regionales y los estados definidos en la Norma o, al menos, con una categoría.</w:t>
      </w:r>
    </w:p>
    <w:p w14:paraId="2A4B1A99" w14:textId="1A4E40A8" w:rsidR="00666B78" w:rsidRPr="00F94944" w:rsidRDefault="00F64BA3" w:rsidP="00666B78">
      <w:pPr>
        <w:pStyle w:val="ListParagraph"/>
        <w:numPr>
          <w:ilvl w:val="0"/>
          <w:numId w:val="41"/>
        </w:numPr>
        <w:spacing w:after="200"/>
        <w:ind w:left="0" w:hanging="3"/>
        <w:contextualSpacing w:val="0"/>
        <w:jc w:val="both"/>
        <w:rPr>
          <w:sz w:val="17"/>
          <w:szCs w:val="17"/>
          <w:lang w:val="es-ES_tradnl"/>
        </w:rPr>
      </w:pPr>
      <w:r w:rsidRPr="00F94944">
        <w:rPr>
          <w:sz w:val="17"/>
          <w:lang w:val="es-ES_tradnl"/>
        </w:rPr>
        <w:t>Se recomienda que las OPI informen a la Oficina Internacional de la OMPI del inicio de la aplicación de la norma y le proporcionen una tabla de correspondencias entre estados nacionales/regionales y estados de la norma utilizando la plantilla del Anexo IV.</w:t>
      </w:r>
    </w:p>
    <w:p w14:paraId="4C20E250" w14:textId="2F97B504" w:rsidR="00666B78" w:rsidRPr="00F94944" w:rsidRDefault="00666B78" w:rsidP="00F94944">
      <w:pPr>
        <w:spacing w:after="480"/>
        <w:jc w:val="both"/>
        <w:rPr>
          <w:sz w:val="17"/>
          <w:szCs w:val="17"/>
          <w:u w:val="single"/>
          <w:lang w:val="es-ES_tradnl"/>
        </w:rPr>
      </w:pPr>
      <w:r w:rsidRPr="00F94944">
        <w:rPr>
          <w:sz w:val="17"/>
          <w:u w:val="single"/>
          <w:lang w:val="es-ES_tradnl"/>
        </w:rPr>
        <w:t>[…]</w:t>
      </w:r>
    </w:p>
    <w:p w14:paraId="126F2D94" w14:textId="5B46FD56" w:rsidR="00C63026" w:rsidRPr="00F94944" w:rsidRDefault="008A189B" w:rsidP="00F94944">
      <w:pPr>
        <w:pStyle w:val="Heading1"/>
        <w:keepNext w:val="0"/>
        <w:widowControl w:val="0"/>
        <w:kinsoku w:val="0"/>
        <w:spacing w:before="480" w:after="340"/>
        <w:jc w:val="center"/>
        <w:rPr>
          <w:bCs w:val="0"/>
          <w:caps w:val="0"/>
          <w:kern w:val="0"/>
          <w:sz w:val="20"/>
          <w:szCs w:val="17"/>
          <w:lang w:val="es-ES_tradnl"/>
        </w:rPr>
      </w:pPr>
      <w:bookmarkStart w:id="16" w:name="_Toc531267024"/>
      <w:bookmarkStart w:id="17" w:name="_Toc531267108"/>
      <w:bookmarkStart w:id="18" w:name="_Toc59193930"/>
      <w:bookmarkStart w:id="19" w:name="_Toc480358877"/>
      <w:r w:rsidRPr="00F94944">
        <w:rPr>
          <w:caps w:val="0"/>
          <w:sz w:val="20"/>
          <w:lang w:val="es-ES_tradnl"/>
        </w:rPr>
        <w:lastRenderedPageBreak/>
        <w:t>ANEXO II</w:t>
      </w:r>
      <w:bookmarkEnd w:id="16"/>
      <w:bookmarkEnd w:id="17"/>
      <w:bookmarkEnd w:id="18"/>
    </w:p>
    <w:p w14:paraId="33E26FAF" w14:textId="12481D5A" w:rsidR="008A189B" w:rsidRPr="00F94944" w:rsidRDefault="009F72D7" w:rsidP="00C63026">
      <w:pPr>
        <w:widowControl w:val="0"/>
        <w:kinsoku w:val="0"/>
        <w:spacing w:after="340"/>
        <w:ind w:right="11"/>
        <w:jc w:val="center"/>
        <w:rPr>
          <w:rFonts w:eastAsia="Batang"/>
          <w:sz w:val="17"/>
          <w:szCs w:val="17"/>
          <w:lang w:val="es-ES_tradnl"/>
        </w:rPr>
      </w:pPr>
      <w:r w:rsidRPr="00F94944">
        <w:rPr>
          <w:sz w:val="17"/>
          <w:lang w:val="es-ES_tradnl"/>
        </w:rPr>
        <w:t>DATOS DE ESTADO COMPLEMENTARIOS</w:t>
      </w:r>
      <w:bookmarkEnd w:id="19"/>
    </w:p>
    <w:p w14:paraId="052675E4" w14:textId="0BC09C55" w:rsidR="006A6914" w:rsidRPr="00F94944" w:rsidRDefault="00A47121" w:rsidP="008B3A45">
      <w:pPr>
        <w:widowControl w:val="0"/>
        <w:kinsoku w:val="0"/>
        <w:spacing w:after="340"/>
        <w:ind w:right="11"/>
        <w:jc w:val="center"/>
        <w:rPr>
          <w:rFonts w:eastAsia="Batang"/>
          <w:i/>
          <w:sz w:val="17"/>
          <w:szCs w:val="17"/>
          <w:lang w:val="es-ES_tradnl"/>
        </w:rPr>
      </w:pPr>
      <w:r w:rsidRPr="00F94944">
        <w:rPr>
          <w:i/>
          <w:sz w:val="17"/>
          <w:lang w:val="es-ES_tradnl"/>
        </w:rPr>
        <w:t xml:space="preserve">Revisión </w:t>
      </w:r>
      <w:r w:rsidR="009F72D7" w:rsidRPr="009F72D7">
        <w:rPr>
          <w:i/>
          <w:strike/>
          <w:sz w:val="17"/>
          <w:lang w:val="es-ES_tradnl"/>
        </w:rPr>
        <w:t>aprobada</w:t>
      </w:r>
      <w:r w:rsidR="009F72D7">
        <w:rPr>
          <w:i/>
          <w:sz w:val="17"/>
          <w:u w:val="single"/>
          <w:lang w:val="es-ES_tradnl"/>
        </w:rPr>
        <w:t xml:space="preserve"> p</w:t>
      </w:r>
      <w:r w:rsidRPr="009F72D7">
        <w:rPr>
          <w:i/>
          <w:sz w:val="17"/>
          <w:u w:val="single"/>
          <w:lang w:val="es-ES_tradnl"/>
        </w:rPr>
        <w:t>resentada para su aprobación</w:t>
      </w:r>
      <w:r w:rsidRPr="00F94944">
        <w:rPr>
          <w:i/>
          <w:sz w:val="17"/>
          <w:lang w:val="es-ES_tradnl"/>
        </w:rPr>
        <w:t xml:space="preserve"> en la </w:t>
      </w:r>
      <w:r w:rsidR="009F72D7" w:rsidRPr="009F72D7">
        <w:rPr>
          <w:i/>
          <w:strike/>
          <w:sz w:val="17"/>
          <w:lang w:val="es-ES_tradnl"/>
        </w:rPr>
        <w:t>octava</w:t>
      </w:r>
      <w:r w:rsidR="009F72D7">
        <w:rPr>
          <w:i/>
          <w:sz w:val="17"/>
          <w:lang w:val="es-ES_tradnl"/>
        </w:rPr>
        <w:t xml:space="preserve"> </w:t>
      </w:r>
      <w:r w:rsidRPr="009F72D7">
        <w:rPr>
          <w:i/>
          <w:sz w:val="17"/>
          <w:u w:val="single"/>
          <w:lang w:val="es-ES_tradnl"/>
        </w:rPr>
        <w:t>duodécima</w:t>
      </w:r>
      <w:r w:rsidRPr="00F94944">
        <w:rPr>
          <w:i/>
          <w:sz w:val="17"/>
          <w:lang w:val="es-ES_tradnl"/>
        </w:rPr>
        <w:t xml:space="preserve"> sesión del Comité de Normas Técnicas de la OMPI (CWS)</w:t>
      </w:r>
      <w:r w:rsidR="009F72D7">
        <w:rPr>
          <w:i/>
          <w:sz w:val="17"/>
          <w:lang w:val="es-ES_tradnl"/>
        </w:rPr>
        <w:t xml:space="preserve"> </w:t>
      </w:r>
      <w:r w:rsidR="009F72D7" w:rsidRPr="009F72D7">
        <w:rPr>
          <w:i/>
          <w:strike/>
          <w:sz w:val="17"/>
          <w:lang w:val="es-ES_tradnl"/>
        </w:rPr>
        <w:t>el 4 de diciembre de 2020</w:t>
      </w:r>
    </w:p>
    <w:p w14:paraId="52F3840F" w14:textId="225EB558" w:rsidR="008B3A45" w:rsidRPr="00F94944" w:rsidRDefault="008B3A45" w:rsidP="008B3A45">
      <w:pPr>
        <w:pStyle w:val="ListParagraph"/>
        <w:numPr>
          <w:ilvl w:val="0"/>
          <w:numId w:val="8"/>
        </w:numPr>
        <w:spacing w:after="240"/>
        <w:ind w:left="0" w:firstLine="0"/>
        <w:contextualSpacing w:val="0"/>
        <w:jc w:val="both"/>
        <w:rPr>
          <w:sz w:val="17"/>
          <w:szCs w:val="17"/>
          <w:lang w:val="es-ES_tradnl"/>
        </w:rPr>
      </w:pPr>
      <w:r w:rsidRPr="00F94944">
        <w:rPr>
          <w:sz w:val="17"/>
          <w:lang w:val="es-ES_tradnl"/>
        </w:rPr>
        <w:t>Cada código de cambio de estado puede ir acompañado de datos complementarios.</w:t>
      </w:r>
      <w:r w:rsidR="00F94944">
        <w:rPr>
          <w:sz w:val="17"/>
          <w:lang w:val="es-ES_tradnl"/>
        </w:rPr>
        <w:t xml:space="preserve"> </w:t>
      </w:r>
      <w:r w:rsidRPr="00F94944">
        <w:rPr>
          <w:sz w:val="17"/>
          <w:lang w:val="es-ES_tradnl"/>
        </w:rPr>
        <w:t>Existen datos complementarios que son específicos de los estados de una categoría concreta y datos complementarios que son comunes a todos los estados.</w:t>
      </w:r>
      <w:r w:rsidR="00F94944">
        <w:rPr>
          <w:sz w:val="17"/>
          <w:lang w:val="es-ES_tradnl"/>
        </w:rPr>
        <w:t xml:space="preserve"> </w:t>
      </w:r>
      <w:r w:rsidRPr="00F94944">
        <w:rPr>
          <w:sz w:val="17"/>
          <w:lang w:val="es-ES_tradnl"/>
        </w:rPr>
        <w:t>Los datos complementarios comunes incluyen: 1) el país o región efectivo, 2) el número de ejemplar del boletín, 3) observaciones (es decir, texto libre), 4) la fecha de la incidencia anterior pertinente y 5) la norma pertinente.</w:t>
      </w:r>
      <w:r w:rsidR="00F94944">
        <w:rPr>
          <w:sz w:val="17"/>
          <w:lang w:val="es-ES_tradnl"/>
        </w:rPr>
        <w:t xml:space="preserve"> </w:t>
      </w:r>
      <w:r w:rsidRPr="00F94944">
        <w:rPr>
          <w:sz w:val="17"/>
          <w:lang w:val="es-ES_tradnl"/>
        </w:rPr>
        <w:t>El “país o región efectivo” es el país o la región en la que la incidencia tiene efectos jurídicos, algo particularmente pertinente para las Oficinas de PI regionales en las que el efecto de una incidencia, como la suspensión por impago de tasas de renovación, solo afecta a algunos de los países donde el derecho de PI está activo.</w:t>
      </w:r>
      <w:r w:rsidR="00F94944">
        <w:rPr>
          <w:sz w:val="17"/>
          <w:lang w:val="es-ES_tradnl"/>
        </w:rPr>
        <w:t xml:space="preserve"> </w:t>
      </w:r>
      <w:r w:rsidRPr="00F94944">
        <w:rPr>
          <w:sz w:val="17"/>
          <w:lang w:val="es-ES_tradnl"/>
        </w:rPr>
        <w:t>El “número de ejemplar del boletín” es el ejemplar del boletín nacional o regional en el que se han publicado las particularidades de la incidencia nacional o regional.</w:t>
      </w:r>
      <w:r w:rsidR="00F94944">
        <w:rPr>
          <w:sz w:val="17"/>
          <w:lang w:val="es-ES_tradnl"/>
        </w:rPr>
        <w:t xml:space="preserve"> </w:t>
      </w:r>
      <w:r w:rsidRPr="00F94944">
        <w:rPr>
          <w:sz w:val="17"/>
          <w:lang w:val="es-ES_tradnl"/>
        </w:rPr>
        <w:t>Las Oficinas de PI regionales pueden proporcionar en la entrada “observaciones” datos adicionales conexos no especificados.</w:t>
      </w:r>
      <w:r w:rsidR="00F94944">
        <w:rPr>
          <w:sz w:val="17"/>
          <w:lang w:val="es-ES_tradnl"/>
        </w:rPr>
        <w:t xml:space="preserve"> </w:t>
      </w:r>
      <w:r w:rsidRPr="00F94944">
        <w:rPr>
          <w:sz w:val="17"/>
          <w:lang w:val="es-ES_tradnl"/>
        </w:rPr>
        <w:t>La “fecha de la incidencia anterior pertinente” es la fecha de una incidencia anterior que es pertinente para la incidencia en curso, como el comienzo de un plazo de pago de tasas que ha vencido.</w:t>
      </w:r>
      <w:r w:rsidR="00F94944">
        <w:rPr>
          <w:sz w:val="17"/>
          <w:lang w:val="es-ES_tradnl"/>
        </w:rPr>
        <w:t xml:space="preserve"> </w:t>
      </w:r>
      <w:r w:rsidRPr="00F94944">
        <w:rPr>
          <w:sz w:val="17"/>
          <w:lang w:val="es-ES_tradnl"/>
        </w:rPr>
        <w:t>La “norma pertinente” es una norma, reglamento, ley u otro principio específico de la Oficina que se ha aplicado para llegar al resultado de la incidencia.</w:t>
      </w:r>
    </w:p>
    <w:p w14:paraId="631E1801" w14:textId="1454553E" w:rsidR="008B3A45" w:rsidRPr="00F94944" w:rsidRDefault="008B3A45" w:rsidP="008B3A45">
      <w:pPr>
        <w:pStyle w:val="ListParagraph"/>
        <w:numPr>
          <w:ilvl w:val="0"/>
          <w:numId w:val="8"/>
        </w:numPr>
        <w:spacing w:after="240"/>
        <w:ind w:left="0" w:firstLine="0"/>
        <w:contextualSpacing w:val="0"/>
        <w:jc w:val="both"/>
        <w:rPr>
          <w:sz w:val="17"/>
          <w:szCs w:val="17"/>
          <w:lang w:val="es-ES_tradnl"/>
        </w:rPr>
      </w:pPr>
      <w:r w:rsidRPr="00F94944">
        <w:rPr>
          <w:sz w:val="17"/>
          <w:lang w:val="es-ES_tradnl"/>
        </w:rPr>
        <w:t>En el cuadro que figura a continuación se indican los campos de datos complementarios que pueden utilizarse en las diferentes categorías.</w:t>
      </w:r>
      <w:r w:rsidR="00F94944">
        <w:rPr>
          <w:sz w:val="17"/>
          <w:lang w:val="es-ES_tradnl"/>
        </w:rPr>
        <w:t xml:space="preserve"> </w:t>
      </w:r>
      <w:r w:rsidRPr="00F94944">
        <w:rPr>
          <w:sz w:val="17"/>
          <w:lang w:val="es-ES_tradnl"/>
        </w:rPr>
        <w:t>En la primera fila se indican los elementos comunes que pueden utilizarse en cualquier categoría y, en las filas subsiguientes, los elementos de datos específicos de cada categoría.</w:t>
      </w:r>
      <w:r w:rsidR="00F94944">
        <w:rPr>
          <w:sz w:val="17"/>
          <w:lang w:val="es-ES_tradnl"/>
        </w:rPr>
        <w:t xml:space="preserve"> </w:t>
      </w:r>
      <w:r w:rsidRPr="00F94944">
        <w:rPr>
          <w:sz w:val="17"/>
          <w:lang w:val="es-ES_tradnl"/>
        </w:rPr>
        <w:t>Téngase en cuenta que los elementos de datos complementarios indicados en la presente Norma son descripciones generales de los tipos de datos que pueden facilitarse.</w:t>
      </w:r>
      <w:r w:rsidR="00F94944">
        <w:rPr>
          <w:sz w:val="17"/>
          <w:lang w:val="es-ES_tradnl"/>
        </w:rPr>
        <w:t xml:space="preserve"> </w:t>
      </w:r>
      <w:r w:rsidRPr="00F94944">
        <w:rPr>
          <w:sz w:val="17"/>
          <w:lang w:val="es-ES_tradnl"/>
        </w:rPr>
        <w:t>Los formatos particulares y los valores permitidos para los datos complementarios se definen en las normas de representación de datos, como la Norma ST.96 de la OMPI para el lenguaje extensible de marcado (XML).</w:t>
      </w:r>
    </w:p>
    <w:p w14:paraId="148BBA87" w14:textId="77777777" w:rsidR="008B3A45" w:rsidRPr="00F94944" w:rsidRDefault="008B3A45" w:rsidP="008B3A45">
      <w:pPr>
        <w:jc w:val="both"/>
        <w:rPr>
          <w:sz w:val="17"/>
          <w:szCs w:val="17"/>
          <w:lang w:val="es-ES_tradnl"/>
        </w:rPr>
      </w:pPr>
    </w:p>
    <w:tbl>
      <w:tblPr>
        <w:tblW w:w="0" w:type="auto"/>
        <w:tblLayout w:type="fixed"/>
        <w:tblLook w:val="04A0" w:firstRow="1" w:lastRow="0" w:firstColumn="1" w:lastColumn="0" w:noHBand="0" w:noVBand="1"/>
      </w:tblPr>
      <w:tblGrid>
        <w:gridCol w:w="985"/>
        <w:gridCol w:w="4680"/>
        <w:gridCol w:w="3680"/>
      </w:tblGrid>
      <w:tr w:rsidR="008B3A45" w:rsidRPr="00F94944" w14:paraId="6B7CB1AA" w14:textId="77777777" w:rsidTr="00693C25">
        <w:trPr>
          <w:cantSplit/>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7F908E" w14:textId="77777777" w:rsidR="008B3A45" w:rsidRPr="00F94944" w:rsidRDefault="008B3A45" w:rsidP="00693C25">
            <w:pPr>
              <w:spacing w:before="120" w:after="120" w:line="276" w:lineRule="auto"/>
              <w:jc w:val="center"/>
              <w:rPr>
                <w:rFonts w:eastAsia="Times New Roman"/>
                <w:color w:val="000000"/>
                <w:sz w:val="17"/>
                <w:szCs w:val="17"/>
                <w:lang w:val="es-ES_tradnl"/>
              </w:rPr>
            </w:pPr>
            <w:r w:rsidRPr="00F94944">
              <w:rPr>
                <w:b/>
                <w:color w:val="000000"/>
                <w:sz w:val="17"/>
                <w:lang w:val="es-ES_tradnl"/>
              </w:rPr>
              <w:t>Código de categoría</w:t>
            </w:r>
          </w:p>
        </w:tc>
        <w:tc>
          <w:tcPr>
            <w:tcW w:w="4680" w:type="dxa"/>
            <w:tcBorders>
              <w:top w:val="single" w:sz="4" w:space="0" w:color="auto"/>
              <w:left w:val="nil"/>
              <w:bottom w:val="single" w:sz="4" w:space="0" w:color="auto"/>
              <w:right w:val="single" w:sz="4" w:space="0" w:color="auto"/>
            </w:tcBorders>
            <w:shd w:val="clear" w:color="auto" w:fill="D9D9D9" w:themeFill="background1" w:themeFillShade="D9"/>
          </w:tcPr>
          <w:p w14:paraId="6BD9644F" w14:textId="77777777" w:rsidR="008B3A45" w:rsidRPr="00F94944" w:rsidRDefault="008B3A45" w:rsidP="00693C25">
            <w:pPr>
              <w:spacing w:before="120" w:after="120" w:line="276" w:lineRule="auto"/>
              <w:rPr>
                <w:rFonts w:eastAsia="Times New Roman"/>
                <w:b/>
                <w:bCs/>
                <w:color w:val="000000"/>
                <w:sz w:val="17"/>
                <w:szCs w:val="17"/>
                <w:lang w:val="es-ES_tradnl"/>
              </w:rPr>
            </w:pPr>
            <w:r w:rsidRPr="00F94944">
              <w:rPr>
                <w:b/>
                <w:color w:val="000000"/>
                <w:sz w:val="17"/>
                <w:lang w:val="es-ES_tradnl"/>
              </w:rPr>
              <w:t>Título y descripción de la categoría</w:t>
            </w:r>
          </w:p>
        </w:tc>
        <w:tc>
          <w:tcPr>
            <w:tcW w:w="3680" w:type="dxa"/>
            <w:tcBorders>
              <w:top w:val="single" w:sz="4" w:space="0" w:color="auto"/>
              <w:left w:val="nil"/>
              <w:bottom w:val="single" w:sz="4" w:space="0" w:color="auto"/>
              <w:right w:val="single" w:sz="4" w:space="0" w:color="auto"/>
            </w:tcBorders>
            <w:shd w:val="clear" w:color="auto" w:fill="D9D9D9" w:themeFill="background1" w:themeFillShade="D9"/>
          </w:tcPr>
          <w:p w14:paraId="0DEA2AE8" w14:textId="77777777" w:rsidR="008B3A45" w:rsidRPr="00F94944" w:rsidRDefault="008B3A45" w:rsidP="00693C25">
            <w:pPr>
              <w:spacing w:before="120" w:after="200" w:line="276" w:lineRule="auto"/>
              <w:rPr>
                <w:rFonts w:eastAsia="Times New Roman"/>
                <w:color w:val="000000"/>
                <w:sz w:val="17"/>
                <w:szCs w:val="17"/>
                <w:lang w:val="es-ES_tradnl"/>
              </w:rPr>
            </w:pPr>
            <w:r w:rsidRPr="00F94944">
              <w:rPr>
                <w:b/>
                <w:color w:val="000000"/>
                <w:sz w:val="17"/>
                <w:lang w:val="es-ES_tradnl"/>
              </w:rPr>
              <w:t>Datos de estado complementarios</w:t>
            </w:r>
          </w:p>
        </w:tc>
      </w:tr>
      <w:tr w:rsidR="008B3A45" w:rsidRPr="00F94944" w14:paraId="1AD1B8CD" w14:textId="77777777" w:rsidTr="00693C25">
        <w:trPr>
          <w:cantSplit/>
        </w:trPr>
        <w:tc>
          <w:tcPr>
            <w:tcW w:w="985" w:type="dxa"/>
            <w:tcBorders>
              <w:top w:val="nil"/>
              <w:left w:val="single" w:sz="4" w:space="0" w:color="auto"/>
              <w:bottom w:val="single" w:sz="4" w:space="0" w:color="auto"/>
              <w:right w:val="single" w:sz="4" w:space="0" w:color="auto"/>
            </w:tcBorders>
            <w:shd w:val="clear" w:color="auto" w:fill="auto"/>
          </w:tcPr>
          <w:p w14:paraId="29B8A71E"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u w:val="single"/>
                <w:lang w:val="es-ES_tradnl"/>
              </w:rPr>
              <w:t>n. d.</w:t>
            </w:r>
          </w:p>
        </w:tc>
        <w:tc>
          <w:tcPr>
            <w:tcW w:w="4680" w:type="dxa"/>
            <w:tcBorders>
              <w:top w:val="nil"/>
              <w:left w:val="nil"/>
              <w:bottom w:val="single" w:sz="4" w:space="0" w:color="auto"/>
              <w:right w:val="single" w:sz="4" w:space="0" w:color="auto"/>
            </w:tcBorders>
            <w:shd w:val="clear" w:color="auto" w:fill="auto"/>
          </w:tcPr>
          <w:p w14:paraId="2BEFF427" w14:textId="77777777" w:rsidR="008B3A45" w:rsidRPr="00F94944" w:rsidRDefault="008B3A45" w:rsidP="00693C25">
            <w:pPr>
              <w:spacing w:before="120" w:after="200"/>
              <w:rPr>
                <w:sz w:val="17"/>
                <w:szCs w:val="17"/>
                <w:lang w:val="es-ES_tradnl"/>
              </w:rPr>
            </w:pPr>
            <w:r w:rsidRPr="00F94944">
              <w:rPr>
                <w:sz w:val="17"/>
                <w:lang w:val="es-ES_tradnl"/>
              </w:rPr>
              <w:t>Todas las categorías</w:t>
            </w:r>
          </w:p>
          <w:p w14:paraId="35B370D8" w14:textId="77777777" w:rsidR="008B3A45" w:rsidRPr="00F94944" w:rsidRDefault="008B3A45" w:rsidP="00693C25">
            <w:pPr>
              <w:spacing w:before="120" w:after="200"/>
              <w:rPr>
                <w:sz w:val="17"/>
                <w:szCs w:val="17"/>
                <w:lang w:val="es-ES_tradnl"/>
              </w:rPr>
            </w:pPr>
            <w:r w:rsidRPr="00F94944">
              <w:rPr>
                <w:sz w:val="17"/>
                <w:lang w:val="es-ES_tradnl"/>
              </w:rPr>
              <w:t>Se muestran los elementos de datos comunes que pueden utilizarse en cualquier categoría.</w:t>
            </w:r>
          </w:p>
          <w:p w14:paraId="6599A2A9" w14:textId="77777777" w:rsidR="00C626B8" w:rsidRPr="00F94944" w:rsidRDefault="00C626B8" w:rsidP="00C626B8">
            <w:pPr>
              <w:rPr>
                <w:rFonts w:eastAsia="Times New Roman"/>
                <w:sz w:val="17"/>
                <w:szCs w:val="17"/>
                <w:lang w:val="es-ES_tradnl" w:eastAsia="en-US"/>
              </w:rPr>
            </w:pPr>
          </w:p>
          <w:p w14:paraId="3651B2A3" w14:textId="77777777" w:rsidR="00C626B8" w:rsidRPr="00F94944" w:rsidRDefault="00C626B8" w:rsidP="00C626B8">
            <w:pPr>
              <w:rPr>
                <w:rFonts w:eastAsia="Times New Roman"/>
                <w:sz w:val="17"/>
                <w:szCs w:val="17"/>
                <w:lang w:val="es-ES_tradnl" w:eastAsia="en-US"/>
              </w:rPr>
            </w:pPr>
          </w:p>
          <w:p w14:paraId="4422BE39" w14:textId="77777777" w:rsidR="00C626B8" w:rsidRPr="00F94944" w:rsidRDefault="00C626B8" w:rsidP="00C626B8">
            <w:pPr>
              <w:rPr>
                <w:rFonts w:eastAsia="Times New Roman"/>
                <w:sz w:val="17"/>
                <w:szCs w:val="17"/>
                <w:lang w:val="es-ES_tradnl" w:eastAsia="en-US"/>
              </w:rPr>
            </w:pPr>
          </w:p>
          <w:p w14:paraId="085D36BD" w14:textId="77777777" w:rsidR="00C626B8" w:rsidRPr="00F94944" w:rsidRDefault="00C626B8" w:rsidP="00C626B8">
            <w:pPr>
              <w:rPr>
                <w:rFonts w:eastAsia="Times New Roman"/>
                <w:sz w:val="17"/>
                <w:szCs w:val="17"/>
                <w:lang w:val="es-ES_tradnl" w:eastAsia="en-US"/>
              </w:rPr>
            </w:pPr>
          </w:p>
          <w:p w14:paraId="3D3255A5" w14:textId="77777777" w:rsidR="00C626B8" w:rsidRPr="00F94944" w:rsidRDefault="00C626B8" w:rsidP="00C626B8">
            <w:pPr>
              <w:rPr>
                <w:rFonts w:eastAsia="Times New Roman"/>
                <w:sz w:val="17"/>
                <w:szCs w:val="17"/>
                <w:lang w:val="es-ES_tradnl" w:eastAsia="en-US"/>
              </w:rPr>
            </w:pPr>
          </w:p>
          <w:p w14:paraId="2A6D7F67" w14:textId="77777777" w:rsidR="00C626B8" w:rsidRPr="00F94944" w:rsidRDefault="00C626B8" w:rsidP="00C626B8">
            <w:pPr>
              <w:rPr>
                <w:rFonts w:eastAsia="Times New Roman"/>
                <w:sz w:val="17"/>
                <w:szCs w:val="17"/>
                <w:lang w:val="es-ES_tradnl" w:eastAsia="en-US"/>
              </w:rPr>
            </w:pPr>
          </w:p>
          <w:p w14:paraId="0A2668BF" w14:textId="77777777" w:rsidR="00C626B8" w:rsidRPr="00F94944" w:rsidRDefault="00C626B8" w:rsidP="00C626B8">
            <w:pPr>
              <w:rPr>
                <w:rFonts w:eastAsia="Times New Roman"/>
                <w:sz w:val="17"/>
                <w:szCs w:val="17"/>
                <w:lang w:val="es-ES_tradnl" w:eastAsia="en-US"/>
              </w:rPr>
            </w:pPr>
          </w:p>
          <w:p w14:paraId="04DC7284" w14:textId="77777777" w:rsidR="00C626B8" w:rsidRPr="00F94944" w:rsidRDefault="00C626B8" w:rsidP="00C626B8">
            <w:pPr>
              <w:rPr>
                <w:rFonts w:eastAsia="Times New Roman"/>
                <w:sz w:val="17"/>
                <w:szCs w:val="17"/>
                <w:lang w:val="es-ES_tradnl" w:eastAsia="en-US"/>
              </w:rPr>
            </w:pPr>
          </w:p>
          <w:p w14:paraId="65F00FB4" w14:textId="77777777" w:rsidR="00C626B8" w:rsidRPr="00F94944" w:rsidRDefault="00C626B8" w:rsidP="00C626B8">
            <w:pPr>
              <w:rPr>
                <w:rFonts w:eastAsia="Times New Roman"/>
                <w:sz w:val="17"/>
                <w:szCs w:val="17"/>
                <w:lang w:val="es-ES_tradnl" w:eastAsia="en-US"/>
              </w:rPr>
            </w:pPr>
          </w:p>
          <w:p w14:paraId="58654BFB" w14:textId="77777777" w:rsidR="00C626B8" w:rsidRPr="00F94944" w:rsidRDefault="00C626B8" w:rsidP="00C626B8">
            <w:pPr>
              <w:rPr>
                <w:rFonts w:eastAsia="Times New Roman"/>
                <w:sz w:val="17"/>
                <w:szCs w:val="17"/>
                <w:lang w:val="es-ES_tradnl" w:eastAsia="en-US"/>
              </w:rPr>
            </w:pPr>
          </w:p>
          <w:p w14:paraId="2343A431" w14:textId="77777777" w:rsidR="00C626B8" w:rsidRPr="00F94944" w:rsidRDefault="00C626B8" w:rsidP="00C626B8">
            <w:pPr>
              <w:rPr>
                <w:rFonts w:eastAsia="Times New Roman"/>
                <w:sz w:val="17"/>
                <w:szCs w:val="17"/>
                <w:lang w:val="es-ES_tradnl" w:eastAsia="en-US"/>
              </w:rPr>
            </w:pPr>
          </w:p>
          <w:p w14:paraId="6B6FC794" w14:textId="77777777" w:rsidR="00C626B8" w:rsidRPr="00F94944" w:rsidRDefault="00C626B8" w:rsidP="00C626B8">
            <w:pPr>
              <w:rPr>
                <w:rFonts w:eastAsia="Times New Roman"/>
                <w:sz w:val="17"/>
                <w:szCs w:val="17"/>
                <w:lang w:val="es-ES_tradnl" w:eastAsia="en-US"/>
              </w:rPr>
            </w:pPr>
          </w:p>
          <w:p w14:paraId="05C93CB6" w14:textId="77777777" w:rsidR="00C626B8" w:rsidRPr="00F94944" w:rsidRDefault="00C626B8" w:rsidP="00C626B8">
            <w:pPr>
              <w:rPr>
                <w:rFonts w:eastAsia="Times New Roman"/>
                <w:sz w:val="17"/>
                <w:szCs w:val="17"/>
                <w:lang w:val="es-ES_tradnl" w:eastAsia="en-US"/>
              </w:rPr>
            </w:pPr>
          </w:p>
          <w:p w14:paraId="4894C243" w14:textId="77777777" w:rsidR="00C626B8" w:rsidRPr="00F94944" w:rsidRDefault="00C626B8" w:rsidP="00C626B8">
            <w:pPr>
              <w:rPr>
                <w:rFonts w:eastAsia="Times New Roman"/>
                <w:sz w:val="17"/>
                <w:szCs w:val="17"/>
                <w:lang w:val="es-ES_tradnl" w:eastAsia="en-US"/>
              </w:rPr>
            </w:pPr>
          </w:p>
          <w:p w14:paraId="64405388" w14:textId="77777777" w:rsidR="00C626B8" w:rsidRPr="00F94944" w:rsidRDefault="00C626B8" w:rsidP="00C626B8">
            <w:pPr>
              <w:rPr>
                <w:rFonts w:eastAsia="Times New Roman"/>
                <w:sz w:val="17"/>
                <w:szCs w:val="17"/>
                <w:lang w:val="es-ES_tradnl" w:eastAsia="en-US"/>
              </w:rPr>
            </w:pPr>
          </w:p>
          <w:p w14:paraId="06F1EE35" w14:textId="77777777" w:rsidR="00C626B8" w:rsidRPr="00F94944" w:rsidRDefault="00C626B8" w:rsidP="00C626B8">
            <w:pPr>
              <w:rPr>
                <w:rFonts w:eastAsia="Times New Roman"/>
                <w:sz w:val="17"/>
                <w:szCs w:val="17"/>
                <w:lang w:val="es-ES_tradnl" w:eastAsia="en-US"/>
              </w:rPr>
            </w:pPr>
          </w:p>
          <w:p w14:paraId="25092557" w14:textId="77777777" w:rsidR="00C626B8" w:rsidRPr="00F94944" w:rsidRDefault="00C626B8" w:rsidP="00C626B8">
            <w:pPr>
              <w:rPr>
                <w:rFonts w:eastAsia="Times New Roman"/>
                <w:sz w:val="17"/>
                <w:szCs w:val="17"/>
                <w:lang w:val="es-ES_tradnl" w:eastAsia="en-US"/>
              </w:rPr>
            </w:pPr>
          </w:p>
          <w:p w14:paraId="37832FF2" w14:textId="77777777" w:rsidR="00C626B8" w:rsidRPr="00F94944" w:rsidRDefault="00C626B8" w:rsidP="00C626B8">
            <w:pPr>
              <w:rPr>
                <w:rFonts w:eastAsia="Times New Roman"/>
                <w:sz w:val="17"/>
                <w:szCs w:val="17"/>
                <w:lang w:val="es-ES_tradnl" w:eastAsia="en-US"/>
              </w:rPr>
            </w:pPr>
          </w:p>
          <w:p w14:paraId="44BD87E9" w14:textId="77777777" w:rsidR="00C626B8" w:rsidRPr="00F94944" w:rsidRDefault="00C626B8" w:rsidP="00C626B8">
            <w:pPr>
              <w:rPr>
                <w:rFonts w:eastAsia="Times New Roman"/>
                <w:sz w:val="17"/>
                <w:szCs w:val="17"/>
                <w:lang w:val="es-ES_tradnl" w:eastAsia="en-US"/>
              </w:rPr>
            </w:pPr>
          </w:p>
          <w:p w14:paraId="2F3FAE6A" w14:textId="77777777" w:rsidR="00C626B8" w:rsidRPr="00F94944" w:rsidRDefault="00C626B8" w:rsidP="00C626B8">
            <w:pPr>
              <w:rPr>
                <w:rFonts w:eastAsia="Times New Roman"/>
                <w:sz w:val="17"/>
                <w:szCs w:val="17"/>
                <w:lang w:val="es-ES_tradnl" w:eastAsia="en-US"/>
              </w:rPr>
            </w:pPr>
          </w:p>
          <w:p w14:paraId="222B0895" w14:textId="77777777" w:rsidR="00C626B8" w:rsidRPr="00F94944" w:rsidRDefault="00C626B8" w:rsidP="00C626B8">
            <w:pPr>
              <w:rPr>
                <w:rFonts w:eastAsia="Times New Roman"/>
                <w:sz w:val="17"/>
                <w:szCs w:val="17"/>
                <w:lang w:val="es-ES_tradnl" w:eastAsia="en-US"/>
              </w:rPr>
            </w:pPr>
          </w:p>
          <w:p w14:paraId="3C7049C6" w14:textId="77777777" w:rsidR="00C626B8" w:rsidRPr="00F94944" w:rsidRDefault="00C626B8" w:rsidP="00C626B8">
            <w:pPr>
              <w:rPr>
                <w:rFonts w:eastAsia="Times New Roman"/>
                <w:sz w:val="17"/>
                <w:szCs w:val="17"/>
                <w:lang w:val="es-ES_tradnl" w:eastAsia="en-US"/>
              </w:rPr>
            </w:pPr>
          </w:p>
          <w:p w14:paraId="16CB62E2" w14:textId="77777777" w:rsidR="00C626B8" w:rsidRPr="00F94944" w:rsidRDefault="00C626B8" w:rsidP="00C626B8">
            <w:pPr>
              <w:rPr>
                <w:rFonts w:eastAsia="Times New Roman"/>
                <w:sz w:val="17"/>
                <w:szCs w:val="17"/>
                <w:lang w:val="es-ES_tradnl" w:eastAsia="en-US"/>
              </w:rPr>
            </w:pPr>
          </w:p>
          <w:p w14:paraId="12F07829" w14:textId="77777777" w:rsidR="00C626B8" w:rsidRPr="00F94944" w:rsidRDefault="00C626B8" w:rsidP="00C626B8">
            <w:pPr>
              <w:rPr>
                <w:rFonts w:eastAsia="Times New Roman"/>
                <w:sz w:val="17"/>
                <w:szCs w:val="17"/>
                <w:lang w:val="es-ES_tradnl" w:eastAsia="en-US"/>
              </w:rPr>
            </w:pPr>
          </w:p>
          <w:p w14:paraId="2D837183" w14:textId="77777777" w:rsidR="00C626B8" w:rsidRPr="00F94944" w:rsidRDefault="00C626B8" w:rsidP="00C626B8">
            <w:pPr>
              <w:rPr>
                <w:rFonts w:eastAsia="Times New Roman"/>
                <w:sz w:val="17"/>
                <w:szCs w:val="17"/>
                <w:lang w:val="es-ES_tradnl" w:eastAsia="en-US"/>
              </w:rPr>
            </w:pPr>
          </w:p>
          <w:p w14:paraId="2F76563C" w14:textId="77777777" w:rsidR="00C626B8" w:rsidRPr="00F94944" w:rsidRDefault="00C626B8" w:rsidP="00C626B8">
            <w:pPr>
              <w:rPr>
                <w:rFonts w:eastAsia="Times New Roman"/>
                <w:sz w:val="17"/>
                <w:szCs w:val="17"/>
                <w:lang w:val="es-ES_tradnl" w:eastAsia="en-US"/>
              </w:rPr>
            </w:pPr>
          </w:p>
        </w:tc>
        <w:tc>
          <w:tcPr>
            <w:tcW w:w="3680" w:type="dxa"/>
            <w:tcBorders>
              <w:top w:val="nil"/>
              <w:left w:val="nil"/>
              <w:bottom w:val="single" w:sz="4" w:space="0" w:color="auto"/>
              <w:right w:val="single" w:sz="4" w:space="0" w:color="auto"/>
            </w:tcBorders>
            <w:shd w:val="clear" w:color="auto" w:fill="auto"/>
          </w:tcPr>
          <w:p w14:paraId="69D6FC02" w14:textId="77777777" w:rsidR="008B3A45" w:rsidRPr="00F94944" w:rsidRDefault="008B3A45" w:rsidP="008B3A45">
            <w:pPr>
              <w:pStyle w:val="ListParagraph"/>
              <w:numPr>
                <w:ilvl w:val="0"/>
                <w:numId w:val="34"/>
              </w:numPr>
              <w:spacing w:before="120" w:after="200"/>
              <w:contextualSpacing w:val="0"/>
              <w:rPr>
                <w:rFonts w:eastAsia="Times New Roman"/>
                <w:color w:val="000000"/>
                <w:sz w:val="17"/>
                <w:szCs w:val="17"/>
                <w:lang w:val="es-ES_tradnl"/>
              </w:rPr>
            </w:pPr>
            <w:r w:rsidRPr="00F94944">
              <w:rPr>
                <w:color w:val="000000"/>
                <w:sz w:val="17"/>
                <w:lang w:val="es-ES_tradnl"/>
              </w:rPr>
              <w:t>País o región efectivo</w:t>
            </w:r>
          </w:p>
          <w:p w14:paraId="778ECC1D" w14:textId="77777777" w:rsidR="008B3A45" w:rsidRPr="00F94944" w:rsidRDefault="008B3A45" w:rsidP="008B3A45">
            <w:pPr>
              <w:pStyle w:val="ListParagraph"/>
              <w:numPr>
                <w:ilvl w:val="0"/>
                <w:numId w:val="34"/>
              </w:numPr>
              <w:spacing w:before="120" w:after="200"/>
              <w:contextualSpacing w:val="0"/>
              <w:rPr>
                <w:rFonts w:eastAsia="Times New Roman"/>
                <w:color w:val="000000"/>
                <w:sz w:val="17"/>
                <w:szCs w:val="17"/>
                <w:lang w:val="es-ES_tradnl"/>
              </w:rPr>
            </w:pPr>
            <w:r w:rsidRPr="00F94944">
              <w:rPr>
                <w:color w:val="000000"/>
                <w:sz w:val="17"/>
                <w:lang w:val="es-ES_tradnl"/>
              </w:rPr>
              <w:t>Número de ejemplar del boletín</w:t>
            </w:r>
          </w:p>
          <w:p w14:paraId="3C396A40" w14:textId="71BDD8FE" w:rsidR="008B3A45" w:rsidRPr="00F94944" w:rsidRDefault="008B3A45" w:rsidP="008B3A45">
            <w:pPr>
              <w:pStyle w:val="ListParagraph"/>
              <w:numPr>
                <w:ilvl w:val="0"/>
                <w:numId w:val="34"/>
              </w:numPr>
              <w:spacing w:before="120" w:after="200"/>
              <w:contextualSpacing w:val="0"/>
              <w:rPr>
                <w:rFonts w:eastAsia="Times New Roman"/>
                <w:color w:val="000000"/>
                <w:sz w:val="17"/>
                <w:szCs w:val="17"/>
                <w:lang w:val="es-ES_tradnl"/>
              </w:rPr>
            </w:pPr>
            <w:r w:rsidRPr="00F94944">
              <w:rPr>
                <w:color w:val="000000"/>
                <w:sz w:val="17"/>
                <w:lang w:val="es-ES_tradnl"/>
              </w:rPr>
              <w:t xml:space="preserve">Observaciones (por ejemplo, texto libre) </w:t>
            </w:r>
          </w:p>
          <w:p w14:paraId="01ADDA84" w14:textId="77777777" w:rsidR="008B3A45" w:rsidRPr="00F94944" w:rsidRDefault="008B3A45" w:rsidP="008B3A45">
            <w:pPr>
              <w:pStyle w:val="ListParagraph"/>
              <w:numPr>
                <w:ilvl w:val="0"/>
                <w:numId w:val="34"/>
              </w:numPr>
              <w:spacing w:before="120" w:after="200"/>
              <w:contextualSpacing w:val="0"/>
              <w:rPr>
                <w:rFonts w:eastAsia="Times New Roman"/>
                <w:color w:val="000000"/>
                <w:sz w:val="17"/>
                <w:szCs w:val="17"/>
                <w:lang w:val="es-ES_tradnl"/>
              </w:rPr>
            </w:pPr>
            <w:r w:rsidRPr="00F94944">
              <w:rPr>
                <w:color w:val="000000"/>
                <w:sz w:val="17"/>
                <w:lang w:val="es-ES_tradnl"/>
              </w:rPr>
              <w:t>Fecha de la incidencia anterior pertinente</w:t>
            </w:r>
          </w:p>
          <w:p w14:paraId="05A4B573" w14:textId="5D174C2F" w:rsidR="008B3A45" w:rsidRPr="00F94944" w:rsidRDefault="008B3A45" w:rsidP="008B3A45">
            <w:pPr>
              <w:pStyle w:val="ListParagraph"/>
              <w:numPr>
                <w:ilvl w:val="0"/>
                <w:numId w:val="34"/>
              </w:numPr>
              <w:spacing w:before="120" w:after="200"/>
              <w:contextualSpacing w:val="0"/>
              <w:rPr>
                <w:rFonts w:eastAsia="Times New Roman"/>
                <w:color w:val="000000"/>
                <w:sz w:val="17"/>
                <w:szCs w:val="17"/>
                <w:lang w:val="es-ES_tradnl"/>
              </w:rPr>
            </w:pPr>
            <w:r w:rsidRPr="00F94944">
              <w:rPr>
                <w:color w:val="000000"/>
                <w:sz w:val="17"/>
                <w:lang w:val="es-ES_tradnl"/>
              </w:rPr>
              <w:t>Norma pertinente (por ejemplo, número de la norma)</w:t>
            </w:r>
          </w:p>
        </w:tc>
      </w:tr>
      <w:tr w:rsidR="008B3A45" w:rsidRPr="00F94944" w14:paraId="5925C7C6" w14:textId="77777777" w:rsidTr="00693C25">
        <w:trPr>
          <w:cantSplit/>
        </w:trPr>
        <w:tc>
          <w:tcPr>
            <w:tcW w:w="985" w:type="dxa"/>
            <w:tcBorders>
              <w:top w:val="nil"/>
              <w:left w:val="single" w:sz="4" w:space="0" w:color="auto"/>
              <w:bottom w:val="single" w:sz="4" w:space="0" w:color="auto"/>
              <w:right w:val="single" w:sz="4" w:space="0" w:color="auto"/>
            </w:tcBorders>
            <w:shd w:val="clear" w:color="auto" w:fill="auto"/>
            <w:hideMark/>
          </w:tcPr>
          <w:p w14:paraId="7AAB4788"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lastRenderedPageBreak/>
              <w:t xml:space="preserve">A </w:t>
            </w:r>
          </w:p>
        </w:tc>
        <w:tc>
          <w:tcPr>
            <w:tcW w:w="4680" w:type="dxa"/>
            <w:tcBorders>
              <w:top w:val="nil"/>
              <w:left w:val="nil"/>
              <w:bottom w:val="single" w:sz="4" w:space="0" w:color="auto"/>
              <w:right w:val="single" w:sz="4" w:space="0" w:color="auto"/>
            </w:tcBorders>
            <w:shd w:val="clear" w:color="auto" w:fill="auto"/>
          </w:tcPr>
          <w:p w14:paraId="17E430C5" w14:textId="77777777" w:rsidR="008B3A45" w:rsidRPr="00F94944" w:rsidRDefault="008B3A45" w:rsidP="00693C25">
            <w:pPr>
              <w:spacing w:before="120" w:after="200"/>
              <w:rPr>
                <w:rFonts w:eastAsia="Times New Roman"/>
                <w:color w:val="000000"/>
                <w:sz w:val="17"/>
                <w:szCs w:val="17"/>
                <w:u w:val="single"/>
                <w:lang w:val="es-ES_tradnl"/>
              </w:rPr>
            </w:pPr>
            <w:r w:rsidRPr="00F94944">
              <w:rPr>
                <w:color w:val="000000"/>
                <w:sz w:val="17"/>
                <w:u w:val="single"/>
                <w:lang w:val="es-ES_tradnl"/>
              </w:rPr>
              <w:t xml:space="preserve">Presentación de la solicitud </w:t>
            </w:r>
          </w:p>
          <w:p w14:paraId="57A2AEF5" w14:textId="39D1B7F8" w:rsidR="008B3A45" w:rsidRPr="00F94944" w:rsidRDefault="008B3A45" w:rsidP="00693C25">
            <w:pPr>
              <w:spacing w:before="120" w:after="200"/>
              <w:rPr>
                <w:sz w:val="17"/>
                <w:szCs w:val="17"/>
                <w:lang w:val="es-ES_tradnl"/>
              </w:rPr>
            </w:pPr>
            <w:r w:rsidRPr="00F94944">
              <w:rPr>
                <w:sz w:val="17"/>
                <w:lang w:val="es-ES_tradnl"/>
              </w:rPr>
              <w:t>Esta categoría se compone de un grupo de incidencias relacionadas con la presentación de distintos tipos de solicitudes de derechos de PI.</w:t>
            </w:r>
            <w:r w:rsidR="00F94944">
              <w:rPr>
                <w:sz w:val="17"/>
                <w:lang w:val="es-ES_tradnl"/>
              </w:rPr>
              <w:t xml:space="preserve"> </w:t>
            </w:r>
            <w:r w:rsidRPr="00F94944">
              <w:rPr>
                <w:sz w:val="17"/>
                <w:lang w:val="es-ES_tradnl"/>
              </w:rPr>
              <w:t>Incluye, por ejemplo, la recepción en una OPI nacional o regional de una solicitud para la concesión de un derecho de PI junto con documentación adicional y las tasas necesarias para obtener una fecha de presentación en virtud de la legislación o convenio nacional o regional, o del Tratado de Cooperación en materia de Patentes (PCT), según proceda.</w:t>
            </w:r>
            <w:r w:rsidR="00F94944">
              <w:rPr>
                <w:sz w:val="17"/>
                <w:lang w:val="es-ES_tradnl"/>
              </w:rPr>
              <w:t xml:space="preserve"> </w:t>
            </w:r>
            <w:r w:rsidRPr="00F94944">
              <w:rPr>
                <w:sz w:val="17"/>
                <w:lang w:val="es-ES_tradnl"/>
              </w:rPr>
              <w:t>Los tipos de solicitudes comprendidos incluyen las patentes de invención, modelos de utilidad, certificados complementarios de protección, patentes de plantas, patentes de diseño, certificados de inventor, certificados de utilidad y patentes de adición. Esta categoría también incluye incidencias relacionadas con la presentación de una solicitud provisional, solicitud divisional, solicitud de continuación, solicitud de continuación en parte o solicitud de conversión.</w:t>
            </w:r>
            <w:r w:rsidR="00F94944">
              <w:rPr>
                <w:sz w:val="17"/>
                <w:lang w:val="es-ES_tradnl"/>
              </w:rPr>
              <w:t xml:space="preserve"> </w:t>
            </w:r>
            <w:r w:rsidRPr="00F94944">
              <w:rPr>
                <w:sz w:val="17"/>
                <w:lang w:val="es-ES_tradnl"/>
              </w:rPr>
              <w:t>También comprende la entrada de una solicitud internacional en la fase nacional o regional.</w:t>
            </w:r>
          </w:p>
          <w:p w14:paraId="1285A0BB" w14:textId="77777777" w:rsidR="00C626B8" w:rsidRPr="00F94944" w:rsidRDefault="00C626B8" w:rsidP="00C626B8">
            <w:pPr>
              <w:rPr>
                <w:rFonts w:eastAsia="Times New Roman"/>
                <w:sz w:val="17"/>
                <w:szCs w:val="17"/>
                <w:lang w:val="es-ES_tradnl" w:eastAsia="en-US"/>
              </w:rPr>
            </w:pPr>
          </w:p>
          <w:p w14:paraId="173199C4" w14:textId="77777777" w:rsidR="00C626B8" w:rsidRPr="00F94944" w:rsidRDefault="00C626B8" w:rsidP="00C626B8">
            <w:pPr>
              <w:rPr>
                <w:rFonts w:eastAsia="Times New Roman"/>
                <w:sz w:val="17"/>
                <w:szCs w:val="17"/>
                <w:lang w:val="es-ES_tradnl" w:eastAsia="en-US"/>
              </w:rPr>
            </w:pPr>
          </w:p>
          <w:p w14:paraId="282FB748" w14:textId="77777777" w:rsidR="00C626B8" w:rsidRPr="00F94944" w:rsidRDefault="00C626B8" w:rsidP="00C626B8">
            <w:pPr>
              <w:rPr>
                <w:rFonts w:eastAsia="Times New Roman"/>
                <w:sz w:val="17"/>
                <w:szCs w:val="17"/>
                <w:lang w:val="es-ES_tradnl" w:eastAsia="en-US"/>
              </w:rPr>
            </w:pPr>
          </w:p>
        </w:tc>
        <w:tc>
          <w:tcPr>
            <w:tcW w:w="3680" w:type="dxa"/>
            <w:tcBorders>
              <w:top w:val="nil"/>
              <w:left w:val="nil"/>
              <w:bottom w:val="single" w:sz="4" w:space="0" w:color="auto"/>
              <w:right w:val="single" w:sz="4" w:space="0" w:color="auto"/>
            </w:tcBorders>
            <w:shd w:val="clear" w:color="auto" w:fill="auto"/>
          </w:tcPr>
          <w:p w14:paraId="49970419" w14:textId="77777777" w:rsidR="008B3A45" w:rsidRPr="00F94944" w:rsidRDefault="008B3A45" w:rsidP="008B3A45">
            <w:pPr>
              <w:pStyle w:val="ListParagraph"/>
              <w:numPr>
                <w:ilvl w:val="0"/>
                <w:numId w:val="37"/>
              </w:numPr>
              <w:spacing w:before="120" w:after="200"/>
              <w:contextualSpacing w:val="0"/>
              <w:rPr>
                <w:rFonts w:eastAsia="Times New Roman"/>
                <w:color w:val="000000"/>
                <w:sz w:val="17"/>
                <w:szCs w:val="17"/>
                <w:lang w:val="es-ES_tradnl"/>
              </w:rPr>
            </w:pPr>
            <w:r w:rsidRPr="00F94944">
              <w:rPr>
                <w:color w:val="000000"/>
                <w:sz w:val="17"/>
                <w:lang w:val="es-ES_tradnl"/>
              </w:rPr>
              <w:t>Título de la invención</w:t>
            </w:r>
          </w:p>
          <w:p w14:paraId="4184FCBD" w14:textId="2098E21B" w:rsidR="008B3A45" w:rsidRPr="00F94944" w:rsidRDefault="008B3A45" w:rsidP="008B3A45">
            <w:pPr>
              <w:pStyle w:val="ListParagraph"/>
              <w:numPr>
                <w:ilvl w:val="0"/>
                <w:numId w:val="37"/>
              </w:numPr>
              <w:spacing w:before="120" w:after="200"/>
              <w:contextualSpacing w:val="0"/>
              <w:rPr>
                <w:rFonts w:eastAsia="Times New Roman"/>
                <w:color w:val="000000"/>
                <w:sz w:val="17"/>
                <w:szCs w:val="17"/>
                <w:lang w:val="es-ES_tradnl"/>
              </w:rPr>
            </w:pPr>
            <w:r w:rsidRPr="00F94944">
              <w:rPr>
                <w:color w:val="000000"/>
                <w:sz w:val="17"/>
                <w:lang w:val="es-ES_tradnl"/>
              </w:rPr>
              <w:t>Identificación de documentos conexos (por ejemplo, ID de documento padre)</w:t>
            </w:r>
          </w:p>
          <w:p w14:paraId="25E0A758" w14:textId="77777777" w:rsidR="008B3A45" w:rsidRPr="00F94944" w:rsidRDefault="008B3A45" w:rsidP="008B3A45">
            <w:pPr>
              <w:pStyle w:val="ListParagraph"/>
              <w:numPr>
                <w:ilvl w:val="0"/>
                <w:numId w:val="37"/>
              </w:numPr>
              <w:spacing w:before="120" w:after="200"/>
              <w:contextualSpacing w:val="0"/>
              <w:rPr>
                <w:rFonts w:eastAsia="Times New Roman"/>
                <w:color w:val="000000"/>
                <w:sz w:val="17"/>
                <w:szCs w:val="17"/>
                <w:lang w:val="es-ES_tradnl"/>
              </w:rPr>
            </w:pPr>
            <w:r w:rsidRPr="00F94944">
              <w:rPr>
                <w:color w:val="000000"/>
                <w:sz w:val="17"/>
                <w:lang w:val="es-ES_tradnl"/>
              </w:rPr>
              <w:t>Fecha de prioridad</w:t>
            </w:r>
          </w:p>
          <w:p w14:paraId="368095CA" w14:textId="77777777" w:rsidR="008B3A45" w:rsidRPr="00F94944" w:rsidRDefault="008B3A45" w:rsidP="008B3A45">
            <w:pPr>
              <w:pStyle w:val="ListParagraph"/>
              <w:numPr>
                <w:ilvl w:val="0"/>
                <w:numId w:val="37"/>
              </w:numPr>
              <w:spacing w:before="120" w:after="200"/>
              <w:contextualSpacing w:val="0"/>
              <w:rPr>
                <w:rFonts w:eastAsia="Times New Roman"/>
                <w:color w:val="000000"/>
                <w:sz w:val="17"/>
                <w:szCs w:val="17"/>
                <w:lang w:val="es-ES_tradnl"/>
              </w:rPr>
            </w:pPr>
            <w:r w:rsidRPr="00F94944">
              <w:rPr>
                <w:color w:val="000000"/>
                <w:sz w:val="17"/>
                <w:lang w:val="es-ES_tradnl"/>
              </w:rPr>
              <w:t>Datos de presentación de la solicitud internacional o regional</w:t>
            </w:r>
          </w:p>
          <w:p w14:paraId="7DFF3069" w14:textId="50C7E7EA" w:rsidR="008B3A45" w:rsidRPr="00F94944" w:rsidRDefault="008B3A45" w:rsidP="008B3A45">
            <w:pPr>
              <w:pStyle w:val="ListParagraph"/>
              <w:numPr>
                <w:ilvl w:val="0"/>
                <w:numId w:val="37"/>
              </w:numPr>
              <w:spacing w:before="120" w:after="200"/>
              <w:contextualSpacing w:val="0"/>
              <w:rPr>
                <w:rFonts w:eastAsia="Times New Roman"/>
                <w:color w:val="000000"/>
                <w:sz w:val="17"/>
                <w:szCs w:val="17"/>
                <w:lang w:val="es-ES_tradnl"/>
              </w:rPr>
            </w:pPr>
            <w:r w:rsidRPr="00F94944">
              <w:rPr>
                <w:color w:val="000000"/>
                <w:sz w:val="17"/>
                <w:lang w:val="es-ES_tradnl"/>
              </w:rPr>
              <w:t>Datos del solicitante (por ejemplo, nombre e información de contacto)</w:t>
            </w:r>
          </w:p>
          <w:p w14:paraId="41F117AB" w14:textId="441267AF" w:rsidR="009C077E" w:rsidRPr="007D7599" w:rsidRDefault="008B3A45" w:rsidP="007D7599">
            <w:pPr>
              <w:pStyle w:val="ListParagraph"/>
              <w:numPr>
                <w:ilvl w:val="0"/>
                <w:numId w:val="37"/>
              </w:numPr>
              <w:spacing w:before="120" w:after="200"/>
              <w:contextualSpacing w:val="0"/>
              <w:rPr>
                <w:rFonts w:eastAsia="Times New Roman"/>
                <w:color w:val="000000"/>
                <w:sz w:val="17"/>
                <w:szCs w:val="17"/>
                <w:lang w:val="es-ES_tradnl"/>
              </w:rPr>
            </w:pPr>
            <w:r w:rsidRPr="00F94944">
              <w:rPr>
                <w:color w:val="000000"/>
                <w:sz w:val="17"/>
                <w:lang w:val="es-ES_tradnl"/>
              </w:rPr>
              <w:t>Solicitudes divisionales</w:t>
            </w:r>
          </w:p>
        </w:tc>
      </w:tr>
      <w:tr w:rsidR="008B3A45" w:rsidRPr="00F94944" w14:paraId="1CACC54A"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96DC9CE"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B </w:t>
            </w:r>
          </w:p>
        </w:tc>
        <w:tc>
          <w:tcPr>
            <w:tcW w:w="4680" w:type="dxa"/>
            <w:tcBorders>
              <w:top w:val="single" w:sz="4" w:space="0" w:color="auto"/>
              <w:left w:val="nil"/>
              <w:bottom w:val="single" w:sz="4" w:space="0" w:color="auto"/>
              <w:right w:val="single" w:sz="4" w:space="0" w:color="auto"/>
            </w:tcBorders>
            <w:shd w:val="clear" w:color="auto" w:fill="auto"/>
          </w:tcPr>
          <w:p w14:paraId="23E39345" w14:textId="77777777" w:rsidR="008B3A45" w:rsidRPr="00F94944" w:rsidRDefault="008B3A45" w:rsidP="00693C25">
            <w:pPr>
              <w:spacing w:before="120" w:after="200"/>
              <w:rPr>
                <w:rFonts w:eastAsia="Times New Roman"/>
                <w:color w:val="000000"/>
                <w:sz w:val="17"/>
                <w:szCs w:val="17"/>
                <w:u w:val="single"/>
                <w:lang w:val="es-ES_tradnl"/>
              </w:rPr>
            </w:pPr>
            <w:r w:rsidRPr="00F94944">
              <w:rPr>
                <w:color w:val="000000"/>
                <w:sz w:val="17"/>
                <w:u w:val="single"/>
                <w:lang w:val="es-ES_tradnl"/>
              </w:rPr>
              <w:t>Suspensión de la solicitud</w:t>
            </w:r>
          </w:p>
          <w:p w14:paraId="6C9570B7" w14:textId="290D8577" w:rsidR="008B3A45" w:rsidRPr="00F94944" w:rsidRDefault="008B3A45" w:rsidP="00693C25">
            <w:pPr>
              <w:spacing w:after="200"/>
              <w:rPr>
                <w:sz w:val="17"/>
                <w:szCs w:val="17"/>
                <w:lang w:val="es-ES_tradnl"/>
              </w:rPr>
            </w:pPr>
            <w:r w:rsidRPr="00F94944">
              <w:rPr>
                <w:sz w:val="17"/>
                <w:lang w:val="es-ES_tradnl"/>
              </w:rPr>
              <w:t>Esta categoría se compone de un grupo de incidencias relacionadas con la suspensión de una solicitud de cualquier tipo incluido en la categoría A. Incluye, por ejemplo, una solicitud retirada voluntariamente por el solicitante, que se considera retirada, abandonada o que ha caducado, o bien que ha sido rechazada por la OPI.</w:t>
            </w:r>
            <w:r w:rsidR="00F94944">
              <w:rPr>
                <w:sz w:val="17"/>
                <w:lang w:val="es-ES_tradnl"/>
              </w:rPr>
              <w:t xml:space="preserve"> </w:t>
            </w:r>
            <w:r w:rsidRPr="00F94944">
              <w:rPr>
                <w:sz w:val="17"/>
                <w:lang w:val="es-ES_tradnl"/>
              </w:rPr>
              <w:t>Las incidencias de esta categoría pueden hacer que una solicitud pase de la etapa de presentación, de examen o de impugnación anterior a la concesión, a la etapa de anulación probable/permanente.</w:t>
            </w:r>
          </w:p>
        </w:tc>
        <w:tc>
          <w:tcPr>
            <w:tcW w:w="3680" w:type="dxa"/>
            <w:tcBorders>
              <w:top w:val="single" w:sz="4" w:space="0" w:color="auto"/>
              <w:left w:val="nil"/>
              <w:bottom w:val="single" w:sz="4" w:space="0" w:color="auto"/>
              <w:right w:val="single" w:sz="4" w:space="0" w:color="auto"/>
            </w:tcBorders>
            <w:shd w:val="clear" w:color="auto" w:fill="auto"/>
          </w:tcPr>
          <w:p w14:paraId="3C121497" w14:textId="79E0DBC1" w:rsidR="009C077E" w:rsidRPr="00F94944" w:rsidRDefault="008B3A45" w:rsidP="007D7599">
            <w:pPr>
              <w:pStyle w:val="ListParagraph"/>
              <w:numPr>
                <w:ilvl w:val="0"/>
                <w:numId w:val="35"/>
              </w:numPr>
              <w:spacing w:before="120" w:after="200"/>
              <w:contextualSpacing w:val="0"/>
              <w:rPr>
                <w:rFonts w:eastAsia="Times New Roman"/>
                <w:color w:val="000000"/>
                <w:sz w:val="17"/>
                <w:szCs w:val="17"/>
                <w:u w:val="single"/>
                <w:lang w:val="es-ES_tradnl"/>
              </w:rPr>
            </w:pPr>
            <w:r w:rsidRPr="00F94944">
              <w:rPr>
                <w:color w:val="000000"/>
                <w:sz w:val="17"/>
                <w:lang w:val="es-ES_tradnl"/>
              </w:rPr>
              <w:t>Motivo por el que no está vigente</w:t>
            </w:r>
          </w:p>
        </w:tc>
      </w:tr>
      <w:tr w:rsidR="008B3A45" w:rsidRPr="00F94944" w14:paraId="2D116D81"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B1978F5"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C </w:t>
            </w:r>
          </w:p>
        </w:tc>
        <w:tc>
          <w:tcPr>
            <w:tcW w:w="4680" w:type="dxa"/>
            <w:tcBorders>
              <w:top w:val="single" w:sz="4" w:space="0" w:color="auto"/>
              <w:left w:val="nil"/>
              <w:bottom w:val="single" w:sz="4" w:space="0" w:color="auto"/>
              <w:right w:val="single" w:sz="4" w:space="0" w:color="auto"/>
            </w:tcBorders>
            <w:shd w:val="clear" w:color="auto" w:fill="auto"/>
          </w:tcPr>
          <w:p w14:paraId="0B421703"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Reactivación de solicitud </w:t>
            </w:r>
          </w:p>
          <w:p w14:paraId="017996ED" w14:textId="64AF714C" w:rsidR="008B3A45" w:rsidRPr="00F94944" w:rsidRDefault="008B3A45" w:rsidP="00693C25">
            <w:pPr>
              <w:spacing w:after="200"/>
              <w:ind w:hanging="10"/>
              <w:rPr>
                <w:sz w:val="17"/>
                <w:szCs w:val="17"/>
                <w:lang w:val="es-ES_tradnl"/>
              </w:rPr>
            </w:pPr>
            <w:r w:rsidRPr="00F94944">
              <w:rPr>
                <w:sz w:val="17"/>
                <w:lang w:val="es-ES_tradnl"/>
              </w:rPr>
              <w:t>Esta categoría se compone de un grupo de incidencias relacionadas con la reactivación, reanudación o restauración de cualquier solicitud incluida en la categoría A después de haber sido suspendida.</w:t>
            </w:r>
            <w:r w:rsidR="00F94944">
              <w:rPr>
                <w:sz w:val="17"/>
                <w:lang w:val="es-ES_tradnl"/>
              </w:rPr>
              <w:t xml:space="preserve"> </w:t>
            </w:r>
            <w:r w:rsidRPr="00F94944">
              <w:rPr>
                <w:sz w:val="17"/>
                <w:lang w:val="es-ES_tradnl"/>
              </w:rPr>
              <w:t>Incluye, por ejemplo, el caso de una solicitud reactivada tras una petición de reactivación y después del pago de una tasa pendiente, de responder a una actuación o decisión pendiente que motivó la suspensión de la solicitud o tras un recurso de apelación.</w:t>
            </w:r>
            <w:r w:rsidR="00F94944">
              <w:rPr>
                <w:sz w:val="17"/>
                <w:lang w:val="es-ES_tradnl"/>
              </w:rPr>
              <w:t xml:space="preserve"> </w:t>
            </w:r>
            <w:r w:rsidRPr="00F94944">
              <w:rPr>
                <w:sz w:val="17"/>
                <w:lang w:val="es-ES_tradnl"/>
              </w:rPr>
              <w:t>Las incidencias de esta categoría pueden hacer que una solicitud pase de la etapa de anulación probable/permanente a la etapa de presentación, de examen o de impugnación anterior a la concesión.</w:t>
            </w:r>
          </w:p>
        </w:tc>
        <w:tc>
          <w:tcPr>
            <w:tcW w:w="3680" w:type="dxa"/>
            <w:tcBorders>
              <w:top w:val="single" w:sz="4" w:space="0" w:color="auto"/>
              <w:left w:val="nil"/>
              <w:bottom w:val="single" w:sz="4" w:space="0" w:color="auto"/>
              <w:right w:val="single" w:sz="4" w:space="0" w:color="auto"/>
            </w:tcBorders>
            <w:shd w:val="clear" w:color="auto" w:fill="auto"/>
          </w:tcPr>
          <w:p w14:paraId="309FA47E" w14:textId="77777777" w:rsidR="008B3A45" w:rsidRPr="00F94944" w:rsidRDefault="008B3A45" w:rsidP="008B3A45">
            <w:pPr>
              <w:pStyle w:val="ListParagraph"/>
              <w:numPr>
                <w:ilvl w:val="0"/>
                <w:numId w:val="36"/>
              </w:numPr>
              <w:spacing w:before="120" w:after="200"/>
              <w:contextualSpacing w:val="0"/>
              <w:rPr>
                <w:rFonts w:eastAsia="Times New Roman"/>
                <w:color w:val="000000"/>
                <w:sz w:val="17"/>
                <w:szCs w:val="17"/>
                <w:lang w:val="es-ES_tradnl"/>
              </w:rPr>
            </w:pPr>
            <w:r w:rsidRPr="00F94944">
              <w:rPr>
                <w:color w:val="000000"/>
                <w:sz w:val="17"/>
                <w:lang w:val="es-ES_tradnl"/>
              </w:rPr>
              <w:t>Fecha de suspensión</w:t>
            </w:r>
          </w:p>
          <w:p w14:paraId="7776378F" w14:textId="77777777" w:rsidR="008B3A45" w:rsidRPr="00F94944" w:rsidRDefault="008B3A45" w:rsidP="008B3A45">
            <w:pPr>
              <w:pStyle w:val="ListParagraph"/>
              <w:numPr>
                <w:ilvl w:val="0"/>
                <w:numId w:val="36"/>
              </w:numPr>
              <w:spacing w:before="120" w:after="200"/>
              <w:contextualSpacing w:val="0"/>
              <w:rPr>
                <w:rFonts w:eastAsia="Times New Roman"/>
                <w:color w:val="000000"/>
                <w:sz w:val="17"/>
                <w:szCs w:val="17"/>
                <w:lang w:val="es-ES_tradnl"/>
              </w:rPr>
            </w:pPr>
            <w:r w:rsidRPr="00F94944">
              <w:rPr>
                <w:color w:val="000000"/>
                <w:sz w:val="17"/>
                <w:lang w:val="es-ES_tradnl"/>
              </w:rPr>
              <w:t xml:space="preserve">Motivo por el que no está vigente </w:t>
            </w:r>
          </w:p>
          <w:p w14:paraId="4A2F6E75" w14:textId="439817CC" w:rsidR="009C077E" w:rsidRPr="00F94944" w:rsidRDefault="009C077E" w:rsidP="008B3A45">
            <w:pPr>
              <w:pStyle w:val="ListParagraph"/>
              <w:numPr>
                <w:ilvl w:val="0"/>
                <w:numId w:val="36"/>
              </w:numPr>
              <w:spacing w:before="120" w:after="200"/>
              <w:contextualSpacing w:val="0"/>
              <w:rPr>
                <w:rFonts w:eastAsia="Times New Roman"/>
                <w:color w:val="000000"/>
                <w:sz w:val="17"/>
                <w:szCs w:val="17"/>
                <w:u w:val="single"/>
                <w:lang w:val="es-ES_tradnl"/>
              </w:rPr>
            </w:pPr>
            <w:r w:rsidRPr="00F94944">
              <w:rPr>
                <w:color w:val="000000"/>
                <w:sz w:val="17"/>
                <w:u w:val="single"/>
                <w:lang w:val="es-ES_tradnl"/>
              </w:rPr>
              <w:t>Motivo de la reactivación</w:t>
            </w:r>
          </w:p>
          <w:p w14:paraId="0D3E60BA" w14:textId="77777777" w:rsidR="008B3A45" w:rsidRPr="00F94944" w:rsidRDefault="008B3A45" w:rsidP="008B3A45">
            <w:pPr>
              <w:pStyle w:val="ListParagraph"/>
              <w:numPr>
                <w:ilvl w:val="0"/>
                <w:numId w:val="36"/>
              </w:numPr>
              <w:spacing w:before="120" w:after="200"/>
              <w:contextualSpacing w:val="0"/>
              <w:rPr>
                <w:rFonts w:eastAsia="Times New Roman"/>
                <w:color w:val="000000"/>
                <w:sz w:val="17"/>
                <w:szCs w:val="17"/>
                <w:lang w:val="es-ES_tradnl"/>
              </w:rPr>
            </w:pPr>
            <w:r w:rsidRPr="00F94944">
              <w:rPr>
                <w:color w:val="000000"/>
                <w:sz w:val="17"/>
                <w:lang w:val="es-ES_tradnl"/>
              </w:rPr>
              <w:t>Indicador de derechos fundados en una utilización anterior</w:t>
            </w:r>
          </w:p>
        </w:tc>
      </w:tr>
      <w:tr w:rsidR="008B3A45" w:rsidRPr="00F94944" w14:paraId="44DCA4E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0A2AE9B"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lastRenderedPageBreak/>
              <w:t xml:space="preserve">D </w:t>
            </w:r>
          </w:p>
        </w:tc>
        <w:tc>
          <w:tcPr>
            <w:tcW w:w="4680" w:type="dxa"/>
            <w:tcBorders>
              <w:top w:val="single" w:sz="4" w:space="0" w:color="auto"/>
              <w:left w:val="nil"/>
              <w:bottom w:val="single" w:sz="4" w:space="0" w:color="auto"/>
              <w:right w:val="single" w:sz="4" w:space="0" w:color="auto"/>
            </w:tcBorders>
            <w:shd w:val="clear" w:color="auto" w:fill="auto"/>
          </w:tcPr>
          <w:p w14:paraId="4C112163"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Búsqueda y examen </w:t>
            </w:r>
          </w:p>
          <w:p w14:paraId="483AABD4" w14:textId="16B87488" w:rsidR="008B3A45" w:rsidRPr="00F94944" w:rsidRDefault="008B3A45" w:rsidP="00693C25">
            <w:pPr>
              <w:spacing w:after="200"/>
              <w:rPr>
                <w:sz w:val="17"/>
                <w:szCs w:val="17"/>
                <w:lang w:val="es-ES_tradnl"/>
              </w:rPr>
            </w:pPr>
            <w:r w:rsidRPr="00F94944">
              <w:rPr>
                <w:sz w:val="17"/>
                <w:lang w:val="es-ES_tradnl"/>
              </w:rPr>
              <w:t>Esta categoría se compone de un grupo de incidencias relacionadas con los procedimientos de examen y las búsquedas del estado de la técnica correspondientes a cualquier solicitud incluida en la categoría A. Incluye, por ejemplo, un examen de forma o un examen sustantivo.</w:t>
            </w:r>
            <w:r w:rsidR="00F94944">
              <w:rPr>
                <w:sz w:val="17"/>
                <w:lang w:val="es-ES_tradnl"/>
              </w:rPr>
              <w:t xml:space="preserve"> </w:t>
            </w:r>
            <w:r w:rsidRPr="00F94944">
              <w:rPr>
                <w:sz w:val="17"/>
                <w:lang w:val="es-ES_tradnl"/>
              </w:rPr>
              <w:t>También incluye una petición de búsqueda del estado de la técnica y el anuncio de la intención de la Oficina de PI de conceder un derecho de PI.</w:t>
            </w:r>
            <w:r w:rsidR="00F94944">
              <w:rPr>
                <w:sz w:val="17"/>
                <w:lang w:val="es-ES_tradnl"/>
              </w:rPr>
              <w:t xml:space="preserve"> </w:t>
            </w:r>
            <w:r w:rsidRPr="00F94944">
              <w:rPr>
                <w:sz w:val="17"/>
                <w:lang w:val="es-ES_tradnl"/>
              </w:rPr>
              <w:t>Las incidencias de esta categoría pueden hacer que una solicitud pase de la etapa de presentación o de impugnación anterior a la concesión a la etapa de examen.</w:t>
            </w:r>
          </w:p>
        </w:tc>
        <w:tc>
          <w:tcPr>
            <w:tcW w:w="3680" w:type="dxa"/>
            <w:tcBorders>
              <w:top w:val="single" w:sz="4" w:space="0" w:color="auto"/>
              <w:left w:val="nil"/>
              <w:bottom w:val="single" w:sz="4" w:space="0" w:color="auto"/>
              <w:right w:val="single" w:sz="4" w:space="0" w:color="auto"/>
            </w:tcBorders>
            <w:shd w:val="clear" w:color="auto" w:fill="auto"/>
          </w:tcPr>
          <w:p w14:paraId="0DDECE31" w14:textId="27ED2DB9" w:rsidR="008B3A45" w:rsidRPr="00F94944" w:rsidRDefault="008B3A45" w:rsidP="008B3A45">
            <w:pPr>
              <w:pStyle w:val="ListParagraph"/>
              <w:numPr>
                <w:ilvl w:val="0"/>
                <w:numId w:val="1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Categoría de origen de la búsqueda (por ejemplo, invento inicial y ulterior, búsqueda adicional por cambio del alcance de las reivindicaciones)</w:t>
            </w:r>
          </w:p>
          <w:p w14:paraId="3798F00A" w14:textId="1EFDAF77" w:rsidR="008B3A45" w:rsidRPr="00F94944" w:rsidRDefault="008B3A45" w:rsidP="008B3A45">
            <w:pPr>
              <w:pStyle w:val="ListParagraph"/>
              <w:numPr>
                <w:ilvl w:val="0"/>
                <w:numId w:val="1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Solicitante de búsqueda (por ejemplo, el solicitante, un tercero o la Oficina de PI de manera independiente)</w:t>
            </w:r>
          </w:p>
          <w:p w14:paraId="013D78FE" w14:textId="05413B08" w:rsidR="008B3A45" w:rsidRPr="00F94944" w:rsidRDefault="008B3A45" w:rsidP="008B3A45">
            <w:pPr>
              <w:pStyle w:val="ListParagraph"/>
              <w:numPr>
                <w:ilvl w:val="0"/>
                <w:numId w:val="1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Solicitante de examen (por ejemplo, solicitante, tercero o la Oficina de PI de manera independiente)</w:t>
            </w:r>
          </w:p>
          <w:p w14:paraId="2E575515" w14:textId="77777777" w:rsidR="008B3A45" w:rsidRPr="00F94944" w:rsidRDefault="008B3A45" w:rsidP="008B3A45">
            <w:pPr>
              <w:pStyle w:val="ListParagraph"/>
              <w:numPr>
                <w:ilvl w:val="0"/>
                <w:numId w:val="1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publicación</w:t>
            </w:r>
          </w:p>
          <w:p w14:paraId="6767D1EE" w14:textId="77777777" w:rsidR="008B3A45" w:rsidRPr="00F94944" w:rsidRDefault="008B3A45" w:rsidP="008B3A45">
            <w:pPr>
              <w:pStyle w:val="ListParagraph"/>
              <w:numPr>
                <w:ilvl w:val="0"/>
                <w:numId w:val="1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prioridad</w:t>
            </w:r>
          </w:p>
          <w:p w14:paraId="14ED91DC" w14:textId="32824A5E" w:rsidR="008B3A45" w:rsidRPr="00F94944" w:rsidRDefault="008B3A45" w:rsidP="008B3A45">
            <w:pPr>
              <w:pStyle w:val="ListParagraph"/>
              <w:numPr>
                <w:ilvl w:val="0"/>
                <w:numId w:val="1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los documentos conexos (por ejemplo, datos de presentación de solicitudes regionales o internacionales)</w:t>
            </w:r>
          </w:p>
          <w:p w14:paraId="6251AA54" w14:textId="77777777" w:rsidR="008B3A45" w:rsidRPr="00F94944" w:rsidRDefault="008B3A45" w:rsidP="008B3A45">
            <w:pPr>
              <w:pStyle w:val="ListParagraph"/>
              <w:numPr>
                <w:ilvl w:val="0"/>
                <w:numId w:val="1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del solicitante</w:t>
            </w:r>
          </w:p>
          <w:p w14:paraId="7C3D48D9" w14:textId="5E4A1701" w:rsidR="009C077E" w:rsidRPr="00F94944" w:rsidRDefault="009C077E" w:rsidP="008B3A45">
            <w:pPr>
              <w:pStyle w:val="ListParagraph"/>
              <w:numPr>
                <w:ilvl w:val="0"/>
                <w:numId w:val="17"/>
              </w:numPr>
              <w:spacing w:before="120" w:after="200"/>
              <w:ind w:left="461" w:hanging="432"/>
              <w:contextualSpacing w:val="0"/>
              <w:rPr>
                <w:rFonts w:eastAsia="Times New Roman"/>
                <w:color w:val="000000"/>
                <w:sz w:val="17"/>
                <w:szCs w:val="17"/>
                <w:u w:val="single"/>
                <w:lang w:val="es-ES_tradnl"/>
              </w:rPr>
            </w:pPr>
            <w:r w:rsidRPr="00F94944">
              <w:rPr>
                <w:color w:val="000000"/>
                <w:sz w:val="17"/>
                <w:u w:val="single"/>
                <w:lang w:val="es-ES_tradnl"/>
              </w:rPr>
              <w:t>Tipo de examen (por ejemplo, sustantivo)</w:t>
            </w:r>
          </w:p>
          <w:p w14:paraId="1D4556E4" w14:textId="70669EA5" w:rsidR="009C077E" w:rsidRPr="00F94944" w:rsidRDefault="009C077E" w:rsidP="008B3A45">
            <w:pPr>
              <w:pStyle w:val="ListParagraph"/>
              <w:numPr>
                <w:ilvl w:val="0"/>
                <w:numId w:val="17"/>
              </w:numPr>
              <w:spacing w:before="120" w:after="200"/>
              <w:ind w:left="461" w:hanging="432"/>
              <w:contextualSpacing w:val="0"/>
              <w:rPr>
                <w:rFonts w:eastAsia="Times New Roman"/>
                <w:color w:val="000000"/>
                <w:sz w:val="17"/>
                <w:szCs w:val="17"/>
                <w:u w:val="single"/>
                <w:lang w:val="es-ES_tradnl"/>
              </w:rPr>
            </w:pPr>
            <w:r w:rsidRPr="00F94944">
              <w:rPr>
                <w:color w:val="000000"/>
                <w:sz w:val="17"/>
                <w:u w:val="single"/>
                <w:lang w:val="es-ES_tradnl"/>
              </w:rPr>
              <w:t>Datos del informe de examen</w:t>
            </w:r>
          </w:p>
          <w:p w14:paraId="79016069" w14:textId="06048B53" w:rsidR="009C077E" w:rsidRPr="00F94944" w:rsidRDefault="009C077E" w:rsidP="008B3A45">
            <w:pPr>
              <w:pStyle w:val="ListParagraph"/>
              <w:numPr>
                <w:ilvl w:val="0"/>
                <w:numId w:val="17"/>
              </w:numPr>
              <w:spacing w:before="120" w:after="200"/>
              <w:ind w:left="461" w:hanging="432"/>
              <w:contextualSpacing w:val="0"/>
              <w:rPr>
                <w:rFonts w:eastAsia="Times New Roman"/>
                <w:color w:val="000000"/>
                <w:sz w:val="17"/>
                <w:szCs w:val="17"/>
                <w:lang w:val="es-ES_tradnl"/>
              </w:rPr>
            </w:pPr>
            <w:r w:rsidRPr="00F94944">
              <w:rPr>
                <w:color w:val="000000"/>
                <w:sz w:val="17"/>
                <w:u w:val="single"/>
                <w:lang w:val="es-ES_tradnl"/>
              </w:rPr>
              <w:t>Datos del informe de búsqueda</w:t>
            </w:r>
          </w:p>
        </w:tc>
      </w:tr>
      <w:tr w:rsidR="008B3A45" w:rsidRPr="00F94944" w14:paraId="33BE26DE"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FAE8556"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E </w:t>
            </w:r>
          </w:p>
        </w:tc>
        <w:tc>
          <w:tcPr>
            <w:tcW w:w="4680" w:type="dxa"/>
            <w:tcBorders>
              <w:top w:val="single" w:sz="4" w:space="0" w:color="auto"/>
              <w:left w:val="nil"/>
              <w:bottom w:val="single" w:sz="4" w:space="0" w:color="auto"/>
              <w:right w:val="single" w:sz="4" w:space="0" w:color="auto"/>
            </w:tcBorders>
            <w:shd w:val="clear" w:color="auto" w:fill="auto"/>
          </w:tcPr>
          <w:p w14:paraId="453E0B29"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Petición de revisión anterior a la concesión </w:t>
            </w:r>
          </w:p>
          <w:p w14:paraId="783EF257" w14:textId="5D2B3871" w:rsidR="008B3A45" w:rsidRPr="00F94944" w:rsidRDefault="008B3A45" w:rsidP="00693C25">
            <w:pPr>
              <w:spacing w:after="200"/>
              <w:ind w:hanging="14"/>
              <w:rPr>
                <w:sz w:val="17"/>
                <w:szCs w:val="17"/>
                <w:lang w:val="es-ES_tradnl"/>
              </w:rPr>
            </w:pPr>
            <w:r w:rsidRPr="00F94944">
              <w:rPr>
                <w:sz w:val="17"/>
                <w:lang w:val="es-ES_tradnl"/>
              </w:rPr>
              <w:t>Esta categoría se compone de un grupo de incidencias relacionadas con la petición de revisión anterior a la concesión respecto de cualquier solicitud incluida en la categoría A. Incluye, por ejemplo, una petición de oposición anterior a la concesión, de nuevo examen anterior a la concesión o de limitación anterior a la concesión.</w:t>
            </w:r>
            <w:r w:rsidR="00F94944">
              <w:rPr>
                <w:sz w:val="17"/>
                <w:lang w:val="es-ES_tradnl"/>
              </w:rPr>
              <w:t xml:space="preserve"> </w:t>
            </w:r>
            <w:r w:rsidRPr="00F94944">
              <w:rPr>
                <w:sz w:val="17"/>
                <w:lang w:val="es-ES_tradnl"/>
              </w:rPr>
              <w:t>También incluye el caso en que esa petición se ha considerado inadmisible, ha sido rechazada o retirada.</w:t>
            </w:r>
            <w:r w:rsidR="00F94944">
              <w:rPr>
                <w:sz w:val="17"/>
                <w:lang w:val="es-ES_tradnl"/>
              </w:rPr>
              <w:t xml:space="preserve"> </w:t>
            </w:r>
            <w:r w:rsidRPr="00F94944">
              <w:rPr>
                <w:sz w:val="17"/>
                <w:lang w:val="es-ES_tradnl"/>
              </w:rPr>
              <w:t>Las incidencias de esta categoría pueden hacer que una solicitud pase de la etapa de examen o de la etapa de anulación probable/permanente a la etapa de impugnación anterior a la concesión.</w:t>
            </w:r>
          </w:p>
        </w:tc>
        <w:tc>
          <w:tcPr>
            <w:tcW w:w="3680" w:type="dxa"/>
            <w:tcBorders>
              <w:top w:val="single" w:sz="4" w:space="0" w:color="auto"/>
              <w:left w:val="nil"/>
              <w:bottom w:val="single" w:sz="4" w:space="0" w:color="auto"/>
              <w:right w:val="single" w:sz="4" w:space="0" w:color="auto"/>
            </w:tcBorders>
            <w:shd w:val="clear" w:color="auto" w:fill="auto"/>
          </w:tcPr>
          <w:p w14:paraId="21E3FAA1" w14:textId="7C0D8BE6" w:rsidR="008B3A45" w:rsidRPr="00F94944" w:rsidRDefault="00A16443" w:rsidP="008B3A45">
            <w:pPr>
              <w:pStyle w:val="ListParagraph"/>
              <w:numPr>
                <w:ilvl w:val="0"/>
                <w:numId w:val="18"/>
              </w:numPr>
              <w:spacing w:before="120" w:after="200"/>
              <w:ind w:left="461" w:hanging="432"/>
              <w:contextualSpacing w:val="0"/>
              <w:rPr>
                <w:rFonts w:eastAsia="Times New Roman"/>
                <w:color w:val="000000"/>
                <w:sz w:val="17"/>
                <w:szCs w:val="17"/>
                <w:lang w:val="es-ES_tradnl"/>
              </w:rPr>
            </w:pPr>
            <w:r w:rsidRPr="00F94944">
              <w:rPr>
                <w:color w:val="000000"/>
                <w:sz w:val="17"/>
                <w:u w:val="single"/>
                <w:lang w:val="es-ES_tradnl"/>
              </w:rPr>
              <w:t>Detalles de la administración decisora (por ejemplo nombre de la administración y su categoría, como tribunal nacional, juzgado, órgano de la Oficina de PI</w:t>
            </w:r>
            <w:r w:rsidRPr="00F94944">
              <w:rPr>
                <w:color w:val="000000"/>
                <w:sz w:val="17"/>
                <w:lang w:val="es-ES_tradnl"/>
              </w:rPr>
              <w:t xml:space="preserve"> </w:t>
            </w:r>
            <w:r w:rsidRPr="00F94944">
              <w:rPr>
                <w:strike/>
                <w:color w:val="000000"/>
                <w:sz w:val="17"/>
                <w:lang w:val="es-ES_tradnl"/>
              </w:rPr>
              <w:t>Información del Tribunal (por ejemplo, nombre del tribunal, órgano de la Oficina de PI)</w:t>
            </w:r>
            <w:r w:rsidRPr="00F94944">
              <w:rPr>
                <w:color w:val="000000"/>
                <w:sz w:val="17"/>
                <w:lang w:val="es-ES_tradnl"/>
              </w:rPr>
              <w:t xml:space="preserve"> </w:t>
            </w:r>
          </w:p>
          <w:p w14:paraId="4212B241" w14:textId="77777777" w:rsidR="008B3A45" w:rsidRPr="00F94944" w:rsidRDefault="008B3A45" w:rsidP="008B3A45">
            <w:pPr>
              <w:pStyle w:val="ListParagraph"/>
              <w:numPr>
                <w:ilvl w:val="0"/>
                <w:numId w:val="18"/>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 xml:space="preserve">Nombres de las partes </w:t>
            </w:r>
          </w:p>
          <w:p w14:paraId="624D3131" w14:textId="52E90FDE" w:rsidR="008B3A45" w:rsidRPr="00F94944" w:rsidRDefault="008B3A45" w:rsidP="008B3A45">
            <w:pPr>
              <w:pStyle w:val="ListParagraph"/>
              <w:numPr>
                <w:ilvl w:val="0"/>
                <w:numId w:val="18"/>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br w:type="page"/>
              <w:t xml:space="preserve">Datos del representante (por ejemplo, nombres e información de contacto) </w:t>
            </w:r>
            <w:r w:rsidRPr="00F94944">
              <w:rPr>
                <w:color w:val="000000"/>
                <w:sz w:val="17"/>
                <w:lang w:val="es-ES_tradnl"/>
              </w:rPr>
              <w:br w:type="page"/>
            </w:r>
          </w:p>
          <w:p w14:paraId="46650CE0" w14:textId="69B777C5" w:rsidR="008B3A45" w:rsidRPr="00F94944" w:rsidRDefault="008B3A45" w:rsidP="008B3A45">
            <w:pPr>
              <w:pStyle w:val="ListParagraph"/>
              <w:numPr>
                <w:ilvl w:val="0"/>
                <w:numId w:val="18"/>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del procedimiento de revisión (por ejemplo, fecha de la oposición, referencia, idioma)</w:t>
            </w:r>
          </w:p>
          <w:p w14:paraId="2DABD2AE" w14:textId="77777777" w:rsidR="008B3A45" w:rsidRPr="00F94944" w:rsidRDefault="008B3A45" w:rsidP="008B3A45">
            <w:pPr>
              <w:pStyle w:val="ListParagraph"/>
              <w:numPr>
                <w:ilvl w:val="0"/>
                <w:numId w:val="18"/>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Indicador de derechos fundados en una utilización anterior</w:t>
            </w:r>
          </w:p>
        </w:tc>
      </w:tr>
      <w:tr w:rsidR="008B3A45" w:rsidRPr="00F94944" w14:paraId="5F81D883"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0E5DB55"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lastRenderedPageBreak/>
              <w:t xml:space="preserve">F </w:t>
            </w:r>
          </w:p>
        </w:tc>
        <w:tc>
          <w:tcPr>
            <w:tcW w:w="4680" w:type="dxa"/>
            <w:tcBorders>
              <w:top w:val="single" w:sz="4" w:space="0" w:color="auto"/>
              <w:left w:val="nil"/>
              <w:bottom w:val="single" w:sz="4" w:space="0" w:color="auto"/>
              <w:right w:val="single" w:sz="4" w:space="0" w:color="auto"/>
            </w:tcBorders>
            <w:shd w:val="clear" w:color="auto" w:fill="auto"/>
          </w:tcPr>
          <w:p w14:paraId="2D1C06B3"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Concesión de derecho de PI </w:t>
            </w:r>
          </w:p>
          <w:p w14:paraId="2739CB0F" w14:textId="2BA4654F" w:rsidR="008B3A45" w:rsidRPr="00F94944" w:rsidRDefault="008B3A45" w:rsidP="00693C25">
            <w:pPr>
              <w:spacing w:after="200"/>
              <w:ind w:hanging="14"/>
              <w:rPr>
                <w:sz w:val="17"/>
                <w:szCs w:val="17"/>
                <w:lang w:val="es-ES_tradnl"/>
              </w:rPr>
            </w:pPr>
            <w:r w:rsidRPr="00F94944">
              <w:rPr>
                <w:sz w:val="17"/>
                <w:lang w:val="es-ES_tradnl"/>
              </w:rPr>
              <w:t>Esta categoría se compone de un grupo de incidencias relacionadas con la fecha de concesión efectiva de un derecho de PI y/o de entrada de un derecho de PI en el registro de la Oficina de PI.</w:t>
            </w:r>
            <w:r w:rsidR="00F94944">
              <w:rPr>
                <w:sz w:val="17"/>
                <w:lang w:val="es-ES_tradnl"/>
              </w:rPr>
              <w:t xml:space="preserve"> </w:t>
            </w:r>
            <w:r w:rsidRPr="00F94944">
              <w:rPr>
                <w:sz w:val="17"/>
                <w:lang w:val="es-ES_tradnl"/>
              </w:rPr>
              <w:t>Incluye, por ejemplo, cuando un derecho de PI ha sido concedido tras un examen, una apelación, una revisión anterior a la concesión o la inadmisibilidad, rechazo o retirada de una petición de revisión anterior a la concesión.</w:t>
            </w:r>
            <w:r w:rsidR="00F94944">
              <w:rPr>
                <w:sz w:val="17"/>
                <w:lang w:val="es-ES_tradnl"/>
              </w:rPr>
              <w:t xml:space="preserve"> </w:t>
            </w:r>
            <w:r w:rsidRPr="00F94944">
              <w:rPr>
                <w:sz w:val="17"/>
                <w:lang w:val="es-ES_tradnl"/>
              </w:rPr>
              <w:t>Los tipos de derechos de PI comprendidos incluyen las patentes de invención, modelos de utilidad, certificados complementarios de protección y cualquier otro derecho de PI que se derive de los tipos de solicitudes comprendidas en la categoría A. Las incidencias de esta categoría pueden hacer que una solicitud pase de la etapa de examen o la etapa de impugnación anterior a la concesión a la etapa de concesión.</w:t>
            </w:r>
          </w:p>
        </w:tc>
        <w:tc>
          <w:tcPr>
            <w:tcW w:w="3680" w:type="dxa"/>
            <w:tcBorders>
              <w:top w:val="single" w:sz="4" w:space="0" w:color="auto"/>
              <w:left w:val="nil"/>
              <w:bottom w:val="single" w:sz="4" w:space="0" w:color="auto"/>
              <w:right w:val="single" w:sz="4" w:space="0" w:color="auto"/>
            </w:tcBorders>
            <w:shd w:val="clear" w:color="auto" w:fill="auto"/>
          </w:tcPr>
          <w:p w14:paraId="6F2FC39B" w14:textId="77777777" w:rsidR="008B3A45" w:rsidRPr="00F94944" w:rsidRDefault="008B3A45" w:rsidP="008B3A45">
            <w:pPr>
              <w:pStyle w:val="ListParagraph"/>
              <w:numPr>
                <w:ilvl w:val="0"/>
                <w:numId w:val="19"/>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Título de la invención</w:t>
            </w:r>
          </w:p>
          <w:p w14:paraId="16700440" w14:textId="77777777" w:rsidR="008B3A45" w:rsidRPr="00F94944" w:rsidRDefault="008B3A45" w:rsidP="008B3A45">
            <w:pPr>
              <w:pStyle w:val="ListParagraph"/>
              <w:numPr>
                <w:ilvl w:val="0"/>
                <w:numId w:val="19"/>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Nombre del titular inscrito</w:t>
            </w:r>
          </w:p>
          <w:p w14:paraId="625FD74D" w14:textId="084D296B" w:rsidR="008B3A45" w:rsidRPr="00F94944" w:rsidRDefault="008B3A45" w:rsidP="008B3A45">
            <w:pPr>
              <w:pStyle w:val="ListParagraph"/>
              <w:numPr>
                <w:ilvl w:val="0"/>
                <w:numId w:val="19"/>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Referencia a la decisión de revisión anterior a la concesión (por ejemplo, decisión del tribunal tras la revisión anterior a la concesión)</w:t>
            </w:r>
          </w:p>
          <w:p w14:paraId="11D38CD4" w14:textId="77777777" w:rsidR="008B3A45" w:rsidRPr="00F94944" w:rsidRDefault="008B3A45" w:rsidP="008B3A45">
            <w:pPr>
              <w:pStyle w:val="ListParagraph"/>
              <w:numPr>
                <w:ilvl w:val="0"/>
                <w:numId w:val="19"/>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prioridad</w:t>
            </w:r>
          </w:p>
          <w:p w14:paraId="7BCE4B0C" w14:textId="43C1EF83" w:rsidR="008B3A45" w:rsidRPr="007D7599" w:rsidRDefault="007D7599" w:rsidP="008B3A45">
            <w:pPr>
              <w:pStyle w:val="ListParagraph"/>
              <w:numPr>
                <w:ilvl w:val="0"/>
                <w:numId w:val="19"/>
              </w:numPr>
              <w:spacing w:before="120" w:after="200"/>
              <w:ind w:left="461" w:hanging="432"/>
              <w:contextualSpacing w:val="0"/>
              <w:rPr>
                <w:rFonts w:eastAsia="Times New Roman"/>
                <w:color w:val="000000"/>
                <w:sz w:val="17"/>
                <w:szCs w:val="17"/>
                <w:u w:val="single"/>
                <w:lang w:val="es-ES_tradnl"/>
              </w:rPr>
            </w:pPr>
            <w:r w:rsidRPr="007D7599">
              <w:rPr>
                <w:color w:val="000000"/>
                <w:sz w:val="17"/>
                <w:lang w:val="es-ES_tradnl"/>
              </w:rPr>
              <w:t xml:space="preserve">Datos </w:t>
            </w:r>
            <w:r w:rsidRPr="007D7599">
              <w:rPr>
                <w:color w:val="000000"/>
                <w:sz w:val="17"/>
                <w:u w:val="single"/>
                <w:lang w:val="es-ES_tradnl"/>
              </w:rPr>
              <w:t>relativos al</w:t>
            </w:r>
            <w:r w:rsidRPr="007D7599">
              <w:rPr>
                <w:color w:val="000000"/>
                <w:sz w:val="17"/>
                <w:lang w:val="es-ES_tradnl"/>
              </w:rPr>
              <w:t xml:space="preserve"> PCT</w:t>
            </w:r>
          </w:p>
          <w:p w14:paraId="342207BE" w14:textId="77777777" w:rsidR="008B3A45" w:rsidRPr="00F94944" w:rsidRDefault="008B3A45" w:rsidP="008B3A45">
            <w:pPr>
              <w:pStyle w:val="ListParagraph"/>
              <w:numPr>
                <w:ilvl w:val="0"/>
                <w:numId w:val="19"/>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del inventor</w:t>
            </w:r>
          </w:p>
          <w:p w14:paraId="188FCB95" w14:textId="77777777" w:rsidR="008B3A45" w:rsidRPr="00F94944" w:rsidRDefault="008B3A45" w:rsidP="008B3A45">
            <w:pPr>
              <w:pStyle w:val="ListParagraph"/>
              <w:numPr>
                <w:ilvl w:val="0"/>
                <w:numId w:val="19"/>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la clasificación</w:t>
            </w:r>
          </w:p>
        </w:tc>
      </w:tr>
      <w:tr w:rsidR="008B3A45" w:rsidRPr="00F94944" w14:paraId="7001BDBD"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35BFB13"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G</w:t>
            </w:r>
          </w:p>
        </w:tc>
        <w:tc>
          <w:tcPr>
            <w:tcW w:w="4680" w:type="dxa"/>
            <w:tcBorders>
              <w:top w:val="single" w:sz="4" w:space="0" w:color="auto"/>
              <w:left w:val="nil"/>
              <w:bottom w:val="single" w:sz="4" w:space="0" w:color="auto"/>
              <w:right w:val="single" w:sz="4" w:space="0" w:color="auto"/>
            </w:tcBorders>
            <w:shd w:val="clear" w:color="auto" w:fill="auto"/>
          </w:tcPr>
          <w:p w14:paraId="4ABBC771"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Protección más allá de la duración del derecho de PI </w:t>
            </w:r>
          </w:p>
          <w:p w14:paraId="20DF1517" w14:textId="17FAFE0B" w:rsidR="008B3A45" w:rsidRPr="00F94944" w:rsidRDefault="008B3A45" w:rsidP="00693C25">
            <w:pPr>
              <w:spacing w:after="200"/>
              <w:ind w:hanging="14"/>
              <w:rPr>
                <w:sz w:val="17"/>
                <w:szCs w:val="17"/>
                <w:lang w:val="es-ES_tradnl"/>
              </w:rPr>
            </w:pPr>
            <w:r w:rsidRPr="00F94944">
              <w:rPr>
                <w:sz w:val="17"/>
                <w:lang w:val="es-ES_tradnl"/>
              </w:rPr>
              <w:t>Esta categoría se compone de un grupo de incidencias relacionadas con la protección de un derecho de PI más allá de su duración respecto de cualquier tipo de derecho de PI incluido en la categoría F. Incluye, por ejemplo, una petición de ajuste de la duración de una patente (PTA), prórroga de la duración de una patente (PTE) o prórroga de certificado complementario de protección (CCP) y, asimismo, incluye incidencias conexas posteriores a dicha petición.</w:t>
            </w:r>
            <w:r w:rsidR="00F94944">
              <w:rPr>
                <w:sz w:val="17"/>
                <w:lang w:val="es-ES_tradnl"/>
              </w:rPr>
              <w:t xml:space="preserve"> </w:t>
            </w:r>
            <w:r w:rsidRPr="00F94944">
              <w:rPr>
                <w:sz w:val="17"/>
                <w:lang w:val="es-ES_tradnl"/>
              </w:rPr>
              <w:t>Las incidencias de esta categoría se producen durante la etapa de concesión.</w:t>
            </w:r>
          </w:p>
        </w:tc>
        <w:tc>
          <w:tcPr>
            <w:tcW w:w="3680" w:type="dxa"/>
            <w:tcBorders>
              <w:top w:val="single" w:sz="4" w:space="0" w:color="auto"/>
              <w:left w:val="nil"/>
              <w:bottom w:val="single" w:sz="4" w:space="0" w:color="auto"/>
              <w:right w:val="single" w:sz="4" w:space="0" w:color="auto"/>
            </w:tcBorders>
            <w:shd w:val="clear" w:color="auto" w:fill="auto"/>
          </w:tcPr>
          <w:p w14:paraId="2938E16F" w14:textId="4DCFBECC" w:rsidR="008B3A45" w:rsidRPr="00F94944" w:rsidRDefault="008B3A45" w:rsidP="008B3A45">
            <w:pPr>
              <w:pStyle w:val="ListParagraph"/>
              <w:numPr>
                <w:ilvl w:val="0"/>
                <w:numId w:val="20"/>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Fecha de expiración de la prórroga (por ejemplo, fecha final de la prórroga del PTA, PTE o CCP)</w:t>
            </w:r>
          </w:p>
          <w:p w14:paraId="062D1D25" w14:textId="77777777" w:rsidR="008B3A45" w:rsidRPr="00F94944" w:rsidRDefault="008B3A45" w:rsidP="008B3A45">
            <w:pPr>
              <w:pStyle w:val="ListParagraph"/>
              <w:numPr>
                <w:ilvl w:val="0"/>
                <w:numId w:val="20"/>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Ingrediente activo (genérico y de marca)</w:t>
            </w:r>
          </w:p>
          <w:p w14:paraId="0BC3C24D" w14:textId="77777777" w:rsidR="008B3A45" w:rsidRPr="00F94944" w:rsidRDefault="008B3A45" w:rsidP="008B3A45">
            <w:pPr>
              <w:pStyle w:val="ListParagraph"/>
              <w:numPr>
                <w:ilvl w:val="0"/>
                <w:numId w:val="20"/>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Aplicación médica (estado patológico)</w:t>
            </w:r>
          </w:p>
        </w:tc>
      </w:tr>
      <w:tr w:rsidR="008B3A45" w:rsidRPr="00F94944" w14:paraId="6821FA4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DD8FD97"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H </w:t>
            </w:r>
          </w:p>
        </w:tc>
        <w:tc>
          <w:tcPr>
            <w:tcW w:w="4680" w:type="dxa"/>
            <w:tcBorders>
              <w:top w:val="single" w:sz="4" w:space="0" w:color="auto"/>
              <w:left w:val="nil"/>
              <w:bottom w:val="single" w:sz="4" w:space="0" w:color="auto"/>
              <w:right w:val="single" w:sz="4" w:space="0" w:color="auto"/>
            </w:tcBorders>
            <w:shd w:val="clear" w:color="auto" w:fill="auto"/>
          </w:tcPr>
          <w:p w14:paraId="58853C22"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Extinción de derecho de PI </w:t>
            </w:r>
          </w:p>
          <w:p w14:paraId="0A60B9A0" w14:textId="378F6F2F" w:rsidR="008B3A45" w:rsidRPr="00F94944" w:rsidRDefault="008B3A45" w:rsidP="00693C25">
            <w:pPr>
              <w:spacing w:after="200"/>
              <w:ind w:hanging="14"/>
              <w:rPr>
                <w:sz w:val="17"/>
                <w:szCs w:val="17"/>
                <w:lang w:val="es-ES_tradnl"/>
              </w:rPr>
            </w:pPr>
            <w:r w:rsidRPr="00F94944">
              <w:rPr>
                <w:sz w:val="17"/>
                <w:lang w:val="es-ES_tradnl"/>
              </w:rPr>
              <w:t>Esta categoría se compone de un grupo de incidencias relacionadas con la extinción de un derecho de PI respecto de cualquier tipo de derecho de PI incluido en la categoría F. Incluye, por ejemplo, la extinción de un derecho de PI tras una revisión del mismo, un recurso de apelación, o un rechazo al restablecimiento, o debido a su caducidad o expiración.</w:t>
            </w:r>
            <w:r w:rsidR="00F94944">
              <w:rPr>
                <w:sz w:val="17"/>
                <w:lang w:val="es-ES_tradnl"/>
              </w:rPr>
              <w:t xml:space="preserve"> </w:t>
            </w:r>
            <w:r w:rsidRPr="00F94944">
              <w:rPr>
                <w:sz w:val="17"/>
                <w:lang w:val="es-ES_tradnl"/>
              </w:rPr>
              <w:t>Las incidencias de esta categoría pueden hacer que un derecho de PI pase de la etapa de concesión o de la etapa de impugnación posterior a la concesión a la etapa de anulación probable/permanente.</w:t>
            </w:r>
          </w:p>
        </w:tc>
        <w:tc>
          <w:tcPr>
            <w:tcW w:w="3680" w:type="dxa"/>
            <w:tcBorders>
              <w:top w:val="single" w:sz="4" w:space="0" w:color="auto"/>
              <w:left w:val="nil"/>
              <w:bottom w:val="single" w:sz="4" w:space="0" w:color="auto"/>
              <w:right w:val="single" w:sz="4" w:space="0" w:color="auto"/>
            </w:tcBorders>
            <w:shd w:val="clear" w:color="auto" w:fill="auto"/>
          </w:tcPr>
          <w:p w14:paraId="3BBDD75D" w14:textId="77777777" w:rsidR="008B3A45" w:rsidRPr="00F94944" w:rsidRDefault="008B3A45" w:rsidP="008B3A45">
            <w:pPr>
              <w:pStyle w:val="ListParagraph"/>
              <w:numPr>
                <w:ilvl w:val="0"/>
                <w:numId w:val="33"/>
              </w:numPr>
              <w:spacing w:before="120" w:after="200"/>
              <w:contextualSpacing w:val="0"/>
              <w:rPr>
                <w:rFonts w:eastAsia="Times New Roman"/>
                <w:color w:val="000000"/>
                <w:sz w:val="17"/>
                <w:szCs w:val="17"/>
                <w:lang w:val="es-ES_tradnl"/>
              </w:rPr>
            </w:pPr>
            <w:r w:rsidRPr="00F94944">
              <w:rPr>
                <w:color w:val="000000"/>
                <w:sz w:val="17"/>
                <w:lang w:val="es-ES_tradnl"/>
              </w:rPr>
              <w:t>Fecha de inicio del efecto jurídico</w:t>
            </w:r>
          </w:p>
          <w:p w14:paraId="7CFBD303" w14:textId="22067C21" w:rsidR="008B3A45" w:rsidRPr="00F94944" w:rsidRDefault="00A16443" w:rsidP="008B3A45">
            <w:pPr>
              <w:pStyle w:val="ListParagraph"/>
              <w:numPr>
                <w:ilvl w:val="0"/>
                <w:numId w:val="33"/>
              </w:numPr>
              <w:spacing w:before="120" w:after="200"/>
              <w:contextualSpacing w:val="0"/>
              <w:rPr>
                <w:rFonts w:eastAsia="Times New Roman"/>
                <w:color w:val="000000"/>
                <w:sz w:val="17"/>
                <w:szCs w:val="17"/>
                <w:lang w:val="es-ES_tradnl"/>
              </w:rPr>
            </w:pPr>
            <w:r w:rsidRPr="00F94944">
              <w:rPr>
                <w:color w:val="000000"/>
                <w:sz w:val="17"/>
                <w:u w:val="single"/>
                <w:lang w:val="es-ES_tradnl"/>
              </w:rPr>
              <w:t>Detalles de la administración decisora (por ejemplo nombre de la administración y su categoría, como tribunal nacional, juzgado, órgano de la Oficina de PI</w:t>
            </w:r>
            <w:r w:rsidRPr="00F94944">
              <w:rPr>
                <w:strike/>
                <w:color w:val="000000"/>
                <w:sz w:val="17"/>
                <w:lang w:val="es-ES_tradnl"/>
              </w:rPr>
              <w:t>Categoría de la administración decisora (por ejemplo, tribunal nacional, Oficina de PI)</w:t>
            </w:r>
          </w:p>
          <w:p w14:paraId="63DB1E30" w14:textId="63751696" w:rsidR="004A3F05" w:rsidRPr="00F94944" w:rsidRDefault="008B3A45" w:rsidP="008B3A45">
            <w:pPr>
              <w:pStyle w:val="ListParagraph"/>
              <w:numPr>
                <w:ilvl w:val="0"/>
                <w:numId w:val="33"/>
              </w:numPr>
              <w:spacing w:before="120" w:after="200"/>
              <w:contextualSpacing w:val="0"/>
              <w:rPr>
                <w:rFonts w:eastAsia="Times New Roman"/>
                <w:color w:val="000000"/>
                <w:sz w:val="17"/>
                <w:szCs w:val="17"/>
                <w:lang w:val="es-ES_tradnl"/>
              </w:rPr>
            </w:pPr>
            <w:r w:rsidRPr="00F94944">
              <w:rPr>
                <w:color w:val="000000"/>
                <w:sz w:val="17"/>
                <w:lang w:val="es-ES_tradnl"/>
              </w:rPr>
              <w:t>Motivo por el que no está vigente</w:t>
            </w:r>
          </w:p>
        </w:tc>
      </w:tr>
      <w:tr w:rsidR="008B3A45" w:rsidRPr="00F94944" w14:paraId="16A7C760"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A8AF2F1"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K </w:t>
            </w:r>
          </w:p>
        </w:tc>
        <w:tc>
          <w:tcPr>
            <w:tcW w:w="4680" w:type="dxa"/>
            <w:tcBorders>
              <w:top w:val="single" w:sz="4" w:space="0" w:color="auto"/>
              <w:left w:val="nil"/>
              <w:bottom w:val="single" w:sz="4" w:space="0" w:color="auto"/>
              <w:right w:val="single" w:sz="4" w:space="0" w:color="auto"/>
            </w:tcBorders>
            <w:shd w:val="clear" w:color="auto" w:fill="auto"/>
          </w:tcPr>
          <w:p w14:paraId="3F970B80"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Reactivación de derecho de PI</w:t>
            </w:r>
          </w:p>
          <w:p w14:paraId="20A10265" w14:textId="3C1D6ECF" w:rsidR="008B3A45" w:rsidRPr="00F94944" w:rsidRDefault="008B3A45" w:rsidP="00693C25">
            <w:pPr>
              <w:spacing w:after="200"/>
              <w:ind w:hanging="14"/>
              <w:rPr>
                <w:sz w:val="17"/>
                <w:szCs w:val="17"/>
                <w:lang w:val="es-ES_tradnl"/>
              </w:rPr>
            </w:pPr>
            <w:r w:rsidRPr="00F94944">
              <w:rPr>
                <w:sz w:val="17"/>
                <w:lang w:val="es-ES_tradnl"/>
              </w:rPr>
              <w:t>Esta categoría se compone de un grupo de incidencias relacionadas con la reactivación, el restablecimiento o la restauración de un derecho de PI con posterioridad a su extinción respecto de cualquier tipo de derecho de PI incluido en la categoría F. Incluye, por ejemplo, la petición de reactivación y la decisión de reactivar un derecho de PI, incluso a través de un recurso de apelación.</w:t>
            </w:r>
            <w:r w:rsidR="00F94944">
              <w:rPr>
                <w:sz w:val="17"/>
                <w:lang w:val="es-ES_tradnl"/>
              </w:rPr>
              <w:t xml:space="preserve"> </w:t>
            </w:r>
            <w:r w:rsidRPr="00F94944">
              <w:rPr>
                <w:sz w:val="17"/>
                <w:lang w:val="es-ES_tradnl"/>
              </w:rPr>
              <w:t>Las incidencias de esta categoría pueden hacer que un derecho de PI pase de la etapa de anulación probable/permanente a la etapa de concesión o a la etapa de impugnación posterior a la concesión.</w:t>
            </w:r>
          </w:p>
        </w:tc>
        <w:tc>
          <w:tcPr>
            <w:tcW w:w="3680" w:type="dxa"/>
            <w:tcBorders>
              <w:top w:val="single" w:sz="4" w:space="0" w:color="auto"/>
              <w:left w:val="nil"/>
              <w:bottom w:val="single" w:sz="4" w:space="0" w:color="auto"/>
              <w:right w:val="single" w:sz="4" w:space="0" w:color="auto"/>
            </w:tcBorders>
            <w:shd w:val="clear" w:color="auto" w:fill="auto"/>
          </w:tcPr>
          <w:p w14:paraId="5BE5AED0" w14:textId="689B7DED" w:rsidR="008B3A45" w:rsidRPr="00F94944" w:rsidRDefault="008B3A45" w:rsidP="008B3A45">
            <w:pPr>
              <w:pStyle w:val="ListParagraph"/>
              <w:numPr>
                <w:ilvl w:val="0"/>
                <w:numId w:val="21"/>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Categoría del motivo del restablecimiento (por ejemplo, tras el pago de una tasa)</w:t>
            </w:r>
          </w:p>
          <w:p w14:paraId="15703E67" w14:textId="77777777" w:rsidR="008B3A45" w:rsidRPr="00F94944" w:rsidRDefault="008B3A45" w:rsidP="008B3A45">
            <w:pPr>
              <w:pStyle w:val="ListParagraph"/>
              <w:numPr>
                <w:ilvl w:val="0"/>
                <w:numId w:val="21"/>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Fecha de extinción</w:t>
            </w:r>
          </w:p>
          <w:p w14:paraId="30A3C0BC" w14:textId="77777777" w:rsidR="008B3A45" w:rsidRPr="00F94944" w:rsidRDefault="008B3A45" w:rsidP="008B3A45">
            <w:pPr>
              <w:pStyle w:val="ListParagraph"/>
              <w:numPr>
                <w:ilvl w:val="0"/>
                <w:numId w:val="21"/>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Fecha de expiración</w:t>
            </w:r>
          </w:p>
          <w:p w14:paraId="550D793F" w14:textId="0F3A11A6" w:rsidR="00E36B32" w:rsidRPr="00F94944" w:rsidRDefault="00A16443" w:rsidP="008B3A45">
            <w:pPr>
              <w:pStyle w:val="ListParagraph"/>
              <w:numPr>
                <w:ilvl w:val="0"/>
                <w:numId w:val="21"/>
              </w:numPr>
              <w:spacing w:before="120" w:after="200"/>
              <w:ind w:left="461" w:hanging="432"/>
              <w:contextualSpacing w:val="0"/>
              <w:rPr>
                <w:rFonts w:eastAsia="Times New Roman"/>
                <w:color w:val="000000"/>
                <w:sz w:val="17"/>
                <w:szCs w:val="17"/>
                <w:u w:val="single"/>
                <w:lang w:val="es-ES_tradnl"/>
              </w:rPr>
            </w:pPr>
            <w:r w:rsidRPr="00F94944">
              <w:rPr>
                <w:color w:val="000000"/>
                <w:sz w:val="17"/>
                <w:u w:val="single"/>
                <w:lang w:val="es-ES_tradnl"/>
              </w:rPr>
              <w:t>Detalles de la administración decisora (por ejemplo nombre de la administración y su categoría, como tribunal nacional, juzgado, órgano de la Oficina de PI)</w:t>
            </w:r>
          </w:p>
          <w:p w14:paraId="0E16AAEC" w14:textId="5838B233" w:rsidR="00E36B32" w:rsidRPr="00F94944" w:rsidRDefault="00E36B32" w:rsidP="008B3A45">
            <w:pPr>
              <w:pStyle w:val="ListParagraph"/>
              <w:numPr>
                <w:ilvl w:val="0"/>
                <w:numId w:val="21"/>
              </w:numPr>
              <w:spacing w:before="120" w:after="200"/>
              <w:ind w:left="461" w:hanging="432"/>
              <w:contextualSpacing w:val="0"/>
              <w:rPr>
                <w:rFonts w:eastAsia="Times New Roman"/>
                <w:color w:val="000000"/>
                <w:sz w:val="17"/>
                <w:szCs w:val="17"/>
                <w:lang w:val="es-ES_tradnl"/>
              </w:rPr>
            </w:pPr>
            <w:r w:rsidRPr="00F94944">
              <w:rPr>
                <w:color w:val="000000"/>
                <w:sz w:val="17"/>
                <w:u w:val="single"/>
                <w:lang w:val="es-ES_tradnl"/>
              </w:rPr>
              <w:t>Indicador de derechos fundados en una utilización anterior</w:t>
            </w:r>
          </w:p>
        </w:tc>
      </w:tr>
      <w:tr w:rsidR="008B3A45" w:rsidRPr="00F94944" w14:paraId="5B7BDAE0"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9864B9"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lastRenderedPageBreak/>
              <w:t xml:space="preserve">L </w:t>
            </w:r>
          </w:p>
        </w:tc>
        <w:tc>
          <w:tcPr>
            <w:tcW w:w="4680" w:type="dxa"/>
            <w:tcBorders>
              <w:top w:val="single" w:sz="4" w:space="0" w:color="auto"/>
              <w:left w:val="nil"/>
              <w:bottom w:val="single" w:sz="4" w:space="0" w:color="auto"/>
              <w:right w:val="single" w:sz="4" w:space="0" w:color="auto"/>
            </w:tcBorders>
            <w:shd w:val="clear" w:color="auto" w:fill="auto"/>
          </w:tcPr>
          <w:p w14:paraId="1A5CE58D"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Petición de revisión de derecho de PI </w:t>
            </w:r>
          </w:p>
          <w:p w14:paraId="78DF0B9D" w14:textId="34109F07" w:rsidR="008B3A45" w:rsidRPr="00F94944" w:rsidRDefault="008B3A45" w:rsidP="00693C25">
            <w:pPr>
              <w:spacing w:after="200"/>
              <w:ind w:hanging="14"/>
              <w:rPr>
                <w:sz w:val="17"/>
                <w:szCs w:val="17"/>
                <w:lang w:val="es-ES_tradnl"/>
              </w:rPr>
            </w:pPr>
            <w:r w:rsidRPr="00F94944">
              <w:rPr>
                <w:sz w:val="17"/>
                <w:lang w:val="es-ES_tradnl"/>
              </w:rPr>
              <w:t>Esta categoría se compone de un grupo de incidencias relacionadas con una petición de revisión de un derecho de PI después de su concesión respecto de cualquier tipo de derecho de PI incluido en la categoría F. Incluye, por ejemplo, una petición de oposición posterior a la concesión, nuevo examen, limitación, nueva emisión, renuncia o invalidación.</w:t>
            </w:r>
            <w:r w:rsidR="00F94944">
              <w:rPr>
                <w:sz w:val="17"/>
                <w:lang w:val="es-ES_tradnl"/>
              </w:rPr>
              <w:t xml:space="preserve"> </w:t>
            </w:r>
            <w:r w:rsidRPr="00F94944">
              <w:rPr>
                <w:sz w:val="17"/>
                <w:lang w:val="es-ES_tradnl"/>
              </w:rPr>
              <w:t>También incluye el caso en que esa petición se ha considerado inadmisible, ha sido rechazada o retirada.</w:t>
            </w:r>
            <w:r w:rsidR="00F94944">
              <w:rPr>
                <w:sz w:val="17"/>
                <w:lang w:val="es-ES_tradnl"/>
              </w:rPr>
              <w:t xml:space="preserve"> </w:t>
            </w:r>
            <w:r w:rsidRPr="00F94944">
              <w:rPr>
                <w:sz w:val="17"/>
                <w:lang w:val="es-ES_tradnl"/>
              </w:rPr>
              <w:t>Las incidencias de esta categoría pueden hacer que un derecho de PI pase de la etapa de anulación probable/permanente a la etapa de impugnación posterior a la concesión.</w:t>
            </w:r>
          </w:p>
        </w:tc>
        <w:tc>
          <w:tcPr>
            <w:tcW w:w="3680" w:type="dxa"/>
            <w:tcBorders>
              <w:top w:val="single" w:sz="4" w:space="0" w:color="auto"/>
              <w:left w:val="nil"/>
              <w:bottom w:val="single" w:sz="4" w:space="0" w:color="auto"/>
              <w:right w:val="single" w:sz="4" w:space="0" w:color="auto"/>
            </w:tcBorders>
            <w:shd w:val="clear" w:color="auto" w:fill="auto"/>
          </w:tcPr>
          <w:p w14:paraId="1FCD8B7C" w14:textId="77777777" w:rsidR="008B3A45" w:rsidRPr="00F94944" w:rsidRDefault="008B3A45" w:rsidP="008B3A45">
            <w:pPr>
              <w:pStyle w:val="ListParagraph"/>
              <w:numPr>
                <w:ilvl w:val="0"/>
                <w:numId w:val="22"/>
              </w:numPr>
              <w:spacing w:before="120" w:after="200"/>
              <w:contextualSpacing w:val="0"/>
              <w:rPr>
                <w:rFonts w:eastAsia="Times New Roman"/>
                <w:color w:val="000000"/>
                <w:sz w:val="17"/>
                <w:szCs w:val="17"/>
                <w:lang w:val="es-ES_tradnl"/>
              </w:rPr>
            </w:pPr>
            <w:r w:rsidRPr="00F94944">
              <w:rPr>
                <w:color w:val="000000"/>
                <w:sz w:val="17"/>
                <w:lang w:val="es-ES_tradnl"/>
              </w:rPr>
              <w:t>Nombres de las partes</w:t>
            </w:r>
            <w:r w:rsidRPr="00F94944">
              <w:rPr>
                <w:color w:val="000000"/>
                <w:sz w:val="17"/>
                <w:lang w:val="es-ES_tradnl"/>
              </w:rPr>
              <w:br w:type="page"/>
              <w:t xml:space="preserve"> </w:t>
            </w:r>
          </w:p>
          <w:p w14:paraId="2B6CDADB" w14:textId="1B8F4823" w:rsidR="008B3A45" w:rsidRPr="00F94944" w:rsidRDefault="008B3A45" w:rsidP="008B3A45">
            <w:pPr>
              <w:pStyle w:val="ListParagraph"/>
              <w:numPr>
                <w:ilvl w:val="0"/>
                <w:numId w:val="22"/>
              </w:numPr>
              <w:spacing w:before="120" w:after="200"/>
              <w:contextualSpacing w:val="0"/>
              <w:rPr>
                <w:rFonts w:eastAsia="Times New Roman"/>
                <w:color w:val="000000"/>
                <w:sz w:val="17"/>
                <w:szCs w:val="17"/>
                <w:lang w:val="es-ES_tradnl"/>
              </w:rPr>
            </w:pPr>
            <w:r w:rsidRPr="00F94944">
              <w:rPr>
                <w:color w:val="000000"/>
                <w:sz w:val="17"/>
                <w:lang w:val="es-ES_tradnl"/>
              </w:rPr>
              <w:t>Datos del representante (por ejemplo, nombres e información de contacto)</w:t>
            </w:r>
          </w:p>
          <w:p w14:paraId="36823CEE" w14:textId="4CA302FE" w:rsidR="00B34446" w:rsidRPr="00F94944" w:rsidRDefault="008B3A45" w:rsidP="00321AAC">
            <w:pPr>
              <w:pStyle w:val="ListParagraph"/>
              <w:numPr>
                <w:ilvl w:val="0"/>
                <w:numId w:val="22"/>
              </w:numPr>
              <w:spacing w:before="120" w:after="200"/>
              <w:rPr>
                <w:rFonts w:eastAsia="Times New Roman"/>
                <w:color w:val="000000"/>
                <w:sz w:val="17"/>
                <w:szCs w:val="17"/>
                <w:lang w:val="es-ES_tradnl"/>
              </w:rPr>
            </w:pPr>
            <w:r w:rsidRPr="00F94944">
              <w:rPr>
                <w:color w:val="000000"/>
                <w:sz w:val="17"/>
                <w:lang w:val="es-ES_tradnl"/>
              </w:rPr>
              <w:t>Datos del procedimiento de revisión (por ejemplo, fecha de la oposición, referencia, idioma)</w:t>
            </w:r>
          </w:p>
          <w:p w14:paraId="532C7194" w14:textId="77777777" w:rsidR="00321AAC" w:rsidRPr="00F94944" w:rsidRDefault="00321AAC" w:rsidP="00EA07A6">
            <w:pPr>
              <w:pStyle w:val="ListParagraph"/>
              <w:rPr>
                <w:sz w:val="17"/>
                <w:lang w:val="es-ES_tradnl"/>
              </w:rPr>
            </w:pPr>
          </w:p>
          <w:p w14:paraId="018BB340" w14:textId="450408DE" w:rsidR="00321AAC" w:rsidRPr="00F94944" w:rsidRDefault="00321AAC" w:rsidP="00321AAC">
            <w:pPr>
              <w:pStyle w:val="ListParagraph"/>
              <w:numPr>
                <w:ilvl w:val="0"/>
                <w:numId w:val="22"/>
              </w:numPr>
              <w:spacing w:before="120" w:after="200"/>
              <w:rPr>
                <w:rFonts w:eastAsia="Times New Roman"/>
                <w:color w:val="000000"/>
                <w:sz w:val="17"/>
                <w:szCs w:val="17"/>
                <w:u w:val="single"/>
                <w:lang w:val="es-ES_tradnl"/>
              </w:rPr>
            </w:pPr>
            <w:r w:rsidRPr="00F94944">
              <w:rPr>
                <w:color w:val="000000"/>
                <w:sz w:val="17"/>
                <w:u w:val="single"/>
                <w:lang w:val="es-ES_tradnl"/>
              </w:rPr>
              <w:t>Detalles de la administración decisora (por ejemplo nombre de la administración y su categoría, como tribunal nacional, juzgado, órgano de la Oficina de PI)</w:t>
            </w:r>
            <w:r w:rsidRPr="00F94944">
              <w:rPr>
                <w:sz w:val="17"/>
                <w:u w:val="single"/>
                <w:lang w:val="es-ES_tradnl"/>
              </w:rPr>
              <w:t xml:space="preserve"> </w:t>
            </w:r>
          </w:p>
          <w:p w14:paraId="0A14CFFD" w14:textId="060BD6EF" w:rsidR="00B34446" w:rsidRPr="00F94944" w:rsidRDefault="00B34446" w:rsidP="008B3A45">
            <w:pPr>
              <w:pStyle w:val="ListParagraph"/>
              <w:numPr>
                <w:ilvl w:val="0"/>
                <w:numId w:val="22"/>
              </w:numPr>
              <w:spacing w:before="120" w:after="200"/>
              <w:rPr>
                <w:rFonts w:eastAsia="Times New Roman"/>
                <w:color w:val="000000"/>
                <w:sz w:val="17"/>
                <w:szCs w:val="17"/>
                <w:lang w:val="es-ES_tradnl"/>
              </w:rPr>
            </w:pPr>
            <w:r w:rsidRPr="00F94944">
              <w:rPr>
                <w:sz w:val="17"/>
                <w:u w:val="single"/>
                <w:lang w:val="es-ES_tradnl"/>
              </w:rPr>
              <w:t>Motivo de la petición de revisión del derecho</w:t>
            </w:r>
          </w:p>
        </w:tc>
      </w:tr>
      <w:tr w:rsidR="008B3A45" w:rsidRPr="00F94944" w14:paraId="2B02E78A"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988A588"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M </w:t>
            </w:r>
          </w:p>
        </w:tc>
        <w:tc>
          <w:tcPr>
            <w:tcW w:w="4680" w:type="dxa"/>
            <w:tcBorders>
              <w:top w:val="single" w:sz="4" w:space="0" w:color="auto"/>
              <w:left w:val="nil"/>
              <w:bottom w:val="single" w:sz="4" w:space="0" w:color="auto"/>
              <w:right w:val="single" w:sz="4" w:space="0" w:color="auto"/>
            </w:tcBorders>
            <w:shd w:val="clear" w:color="auto" w:fill="auto"/>
          </w:tcPr>
          <w:p w14:paraId="4A432A4C"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Mantenimiento de derecho de PI </w:t>
            </w:r>
          </w:p>
          <w:p w14:paraId="0DBA81ED" w14:textId="47AD5B69" w:rsidR="008B3A45" w:rsidRPr="00F94944" w:rsidRDefault="008B3A45" w:rsidP="00693C25">
            <w:pPr>
              <w:spacing w:after="200"/>
              <w:ind w:hanging="14"/>
              <w:rPr>
                <w:sz w:val="17"/>
                <w:szCs w:val="17"/>
                <w:lang w:val="es-ES_tradnl"/>
              </w:rPr>
            </w:pPr>
            <w:r w:rsidRPr="00F94944">
              <w:rPr>
                <w:sz w:val="17"/>
                <w:lang w:val="es-ES_tradnl"/>
              </w:rPr>
              <w:t>Esta categoría se compone de un grupo de incidencias relacionadas con el mantenimiento, íntegro o modificado, de un derecho de PI como resultado de un procedimiento de impugnación posterior a la concesión respecto de cualquier tipo de derecho de PI incluido en la categoría F. Incluye, por ejemplo, un derecho de PI que se mantiene, íntegro o modificado, tras una renovación completa o parcial, una apelación, una revisión del derecho de PI o la inadmisibilidad, rechazo o retirada de una petición de revisión de derecho de PI.</w:t>
            </w:r>
            <w:r w:rsidR="00F94944">
              <w:rPr>
                <w:sz w:val="17"/>
                <w:lang w:val="es-ES_tradnl"/>
              </w:rPr>
              <w:t xml:space="preserve"> </w:t>
            </w:r>
            <w:r w:rsidRPr="00F94944">
              <w:rPr>
                <w:sz w:val="17"/>
                <w:lang w:val="es-ES_tradnl"/>
              </w:rPr>
              <w:t>Las incidencias de esta categoría pueden darse en la etapa de concesión o hacer que un derecho de PI pase de la etapa de impugnación posterior a la concesión a la etapa de concesión.</w:t>
            </w:r>
          </w:p>
        </w:tc>
        <w:tc>
          <w:tcPr>
            <w:tcW w:w="3680" w:type="dxa"/>
            <w:tcBorders>
              <w:top w:val="single" w:sz="4" w:space="0" w:color="auto"/>
              <w:left w:val="nil"/>
              <w:bottom w:val="single" w:sz="4" w:space="0" w:color="auto"/>
              <w:right w:val="single" w:sz="4" w:space="0" w:color="auto"/>
            </w:tcBorders>
            <w:shd w:val="clear" w:color="auto" w:fill="auto"/>
          </w:tcPr>
          <w:p w14:paraId="47170C2E" w14:textId="501EA6DB" w:rsidR="008B3A45" w:rsidRPr="00F94944" w:rsidRDefault="008B3A45" w:rsidP="008B3A45">
            <w:pPr>
              <w:pStyle w:val="ListParagraph"/>
              <w:numPr>
                <w:ilvl w:val="0"/>
                <w:numId w:val="23"/>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Información detallada sobre la revisión del derecho de PI (es decir, información sobre la revisión del derecho de PI, tal como una decisión judicial)</w:t>
            </w:r>
          </w:p>
          <w:p w14:paraId="5A3B2B8F" w14:textId="5C188BAA" w:rsidR="005A5CB3" w:rsidRPr="00F94944" w:rsidRDefault="00A16443" w:rsidP="008B3A45">
            <w:pPr>
              <w:pStyle w:val="ListParagraph"/>
              <w:numPr>
                <w:ilvl w:val="0"/>
                <w:numId w:val="23"/>
              </w:numPr>
              <w:spacing w:before="120" w:after="200"/>
              <w:ind w:left="461" w:hanging="432"/>
              <w:contextualSpacing w:val="0"/>
              <w:rPr>
                <w:rFonts w:eastAsia="Times New Roman"/>
                <w:color w:val="000000"/>
                <w:sz w:val="17"/>
                <w:szCs w:val="17"/>
                <w:lang w:val="es-ES_tradnl"/>
              </w:rPr>
            </w:pPr>
            <w:r w:rsidRPr="00F94944">
              <w:rPr>
                <w:color w:val="000000"/>
                <w:sz w:val="17"/>
                <w:u w:val="single"/>
                <w:lang w:val="es-ES_tradnl"/>
              </w:rPr>
              <w:t>Detalles de la administración decisora (por ejemplo nombre de la administración y su categoría, como tribunal nacional, juzgado, órgano de la Oficina de PI</w:t>
            </w:r>
            <w:r w:rsidRPr="00F94944">
              <w:rPr>
                <w:strike/>
                <w:color w:val="000000"/>
                <w:sz w:val="17"/>
                <w:u w:val="single"/>
                <w:lang w:val="es-ES_tradnl"/>
              </w:rPr>
              <w:t>Categoría de la administración decisora (por ejemplo, tribunal, Oficina de PI)</w:t>
            </w:r>
          </w:p>
        </w:tc>
      </w:tr>
      <w:tr w:rsidR="008B3A45" w:rsidRPr="00F94944" w14:paraId="4BD2931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97963C3"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N </w:t>
            </w:r>
          </w:p>
        </w:tc>
        <w:tc>
          <w:tcPr>
            <w:tcW w:w="4680" w:type="dxa"/>
            <w:tcBorders>
              <w:top w:val="single" w:sz="4" w:space="0" w:color="auto"/>
              <w:left w:val="nil"/>
              <w:bottom w:val="single" w:sz="4" w:space="0" w:color="auto"/>
              <w:right w:val="single" w:sz="4" w:space="0" w:color="auto"/>
            </w:tcBorders>
            <w:shd w:val="clear" w:color="auto" w:fill="auto"/>
          </w:tcPr>
          <w:p w14:paraId="30F50662"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Anulación permanente </w:t>
            </w:r>
          </w:p>
          <w:p w14:paraId="4302AF93" w14:textId="5AD02B49" w:rsidR="008B3A45" w:rsidRPr="00F94944" w:rsidRDefault="008B3A45" w:rsidP="00693C25">
            <w:pPr>
              <w:spacing w:after="200"/>
              <w:ind w:hanging="14"/>
              <w:rPr>
                <w:sz w:val="17"/>
                <w:szCs w:val="17"/>
                <w:lang w:val="es-ES_tradnl"/>
              </w:rPr>
            </w:pPr>
            <w:r w:rsidRPr="00F94944">
              <w:rPr>
                <w:sz w:val="17"/>
                <w:lang w:val="es-ES_tradnl"/>
              </w:rPr>
              <w:t>Esta categoría se compone de un grupo de estados relacionados con la anulación permanente de una solicitud de cualquier tipo incluido en la categoría A o de un derecho de PI de cualquier tipo incluido en la categoría F sin posibilidad de reactivación.</w:t>
            </w:r>
            <w:r w:rsidR="00F94944">
              <w:rPr>
                <w:sz w:val="17"/>
                <w:lang w:val="es-ES_tradnl"/>
              </w:rPr>
              <w:t xml:space="preserve"> </w:t>
            </w:r>
            <w:r w:rsidRPr="00F94944">
              <w:rPr>
                <w:sz w:val="17"/>
                <w:lang w:val="es-ES_tradnl"/>
              </w:rPr>
              <w:t>Incluye, por ejemplo, una solicitud o un derecho de PI anulado de forma permanente por la OPI o por un tribunal. Las incidencias de esta categoría no están disponibles en todas las Oficinas de PI.</w:t>
            </w:r>
          </w:p>
        </w:tc>
        <w:tc>
          <w:tcPr>
            <w:tcW w:w="3680" w:type="dxa"/>
            <w:tcBorders>
              <w:top w:val="single" w:sz="4" w:space="0" w:color="auto"/>
              <w:left w:val="nil"/>
              <w:bottom w:val="single" w:sz="4" w:space="0" w:color="auto"/>
              <w:right w:val="single" w:sz="4" w:space="0" w:color="auto"/>
            </w:tcBorders>
            <w:shd w:val="clear" w:color="auto" w:fill="auto"/>
          </w:tcPr>
          <w:p w14:paraId="41499DC4" w14:textId="77777777" w:rsidR="00290981" w:rsidRPr="00F94944" w:rsidRDefault="008B3A45" w:rsidP="00290981">
            <w:pPr>
              <w:pStyle w:val="ListParagraph"/>
              <w:numPr>
                <w:ilvl w:val="0"/>
                <w:numId w:val="24"/>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Motivo por el que no está vigente</w:t>
            </w:r>
          </w:p>
          <w:p w14:paraId="5916694D" w14:textId="23171BE6" w:rsidR="00B34446" w:rsidRPr="00F94944" w:rsidRDefault="00A16443" w:rsidP="00290981">
            <w:pPr>
              <w:pStyle w:val="ListParagraph"/>
              <w:numPr>
                <w:ilvl w:val="0"/>
                <w:numId w:val="24"/>
              </w:numPr>
              <w:spacing w:before="120" w:after="200"/>
              <w:ind w:left="461" w:hanging="432"/>
              <w:contextualSpacing w:val="0"/>
              <w:rPr>
                <w:rFonts w:eastAsia="Times New Roman"/>
                <w:color w:val="000000"/>
                <w:sz w:val="17"/>
                <w:szCs w:val="17"/>
                <w:u w:val="single"/>
                <w:lang w:val="es-ES_tradnl"/>
              </w:rPr>
            </w:pPr>
            <w:r w:rsidRPr="00F94944">
              <w:rPr>
                <w:color w:val="000000"/>
                <w:sz w:val="17"/>
                <w:u w:val="single"/>
                <w:lang w:val="es-ES_tradnl"/>
              </w:rPr>
              <w:t>Detalles de la administración decisora (por ejemplo nombre de la administración y su categoría, como tribunal nacional, juzgado, órgano de la Oficina de PI)</w:t>
            </w:r>
          </w:p>
        </w:tc>
      </w:tr>
      <w:tr w:rsidR="008B3A45" w:rsidRPr="00F94944" w14:paraId="2EED1A0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8613384"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P </w:t>
            </w:r>
          </w:p>
        </w:tc>
        <w:tc>
          <w:tcPr>
            <w:tcW w:w="4680" w:type="dxa"/>
            <w:tcBorders>
              <w:top w:val="single" w:sz="4" w:space="0" w:color="auto"/>
              <w:left w:val="nil"/>
              <w:bottom w:val="single" w:sz="4" w:space="0" w:color="auto"/>
              <w:right w:val="single" w:sz="4" w:space="0" w:color="auto"/>
            </w:tcBorders>
            <w:shd w:val="clear" w:color="auto" w:fill="auto"/>
          </w:tcPr>
          <w:p w14:paraId="74023334"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Modificación de documento </w:t>
            </w:r>
          </w:p>
          <w:p w14:paraId="13735372" w14:textId="7CB993CC" w:rsidR="008B3A45" w:rsidRPr="00F94944" w:rsidRDefault="008B3A45" w:rsidP="00693C25">
            <w:pPr>
              <w:spacing w:after="200"/>
              <w:ind w:hanging="20"/>
              <w:jc w:val="both"/>
              <w:rPr>
                <w:sz w:val="17"/>
                <w:szCs w:val="17"/>
                <w:lang w:val="es-ES_tradnl"/>
              </w:rPr>
            </w:pPr>
            <w:r w:rsidRPr="00F94944">
              <w:rPr>
                <w:sz w:val="17"/>
                <w:lang w:val="es-ES_tradnl"/>
              </w:rPr>
              <w:t>Esta categoría se compone de un grupo de incidencias relacionadas con modificaciones de una solicitud, documento del derecho de PI u otro documento, que tienen lugar fuera del contexto de una revisión anterior a la concesión o de una revisión del derecho de PI.</w:t>
            </w:r>
            <w:r w:rsidR="00F94944">
              <w:rPr>
                <w:sz w:val="17"/>
                <w:lang w:val="es-ES_tradnl"/>
              </w:rPr>
              <w:t xml:space="preserve"> </w:t>
            </w:r>
            <w:r w:rsidRPr="00F94944">
              <w:rPr>
                <w:sz w:val="17"/>
                <w:lang w:val="es-ES_tradnl"/>
              </w:rPr>
              <w:t>Incluye, por ejemplo, modificaciones y correcciones de errores en las solicitudes y en documentos sobre el derecho de PI.</w:t>
            </w:r>
            <w:r w:rsidR="00F94944">
              <w:rPr>
                <w:sz w:val="17"/>
                <w:lang w:val="es-ES_tradnl"/>
              </w:rPr>
              <w:t xml:space="preserve"> </w:t>
            </w:r>
            <w:r w:rsidRPr="00F94944">
              <w:rPr>
                <w:sz w:val="17"/>
                <w:lang w:val="es-ES_tradnl"/>
              </w:rPr>
              <w:t>Los documentos pueden referirse a cualquier tipo de solicitud de la categoría A o a cualquier tipo de derecho de PI de la categoría F. Las incidencias de esta categoría pueden producirse en cualquier etapa.</w:t>
            </w:r>
          </w:p>
          <w:p w14:paraId="4A54F223" w14:textId="77777777" w:rsidR="008B3A45" w:rsidRPr="00F94944" w:rsidRDefault="008B3A45" w:rsidP="00693C25">
            <w:pPr>
              <w:spacing w:after="200"/>
              <w:ind w:hanging="14"/>
              <w:rPr>
                <w:sz w:val="17"/>
                <w:szCs w:val="17"/>
                <w:lang w:val="es-ES_tradnl"/>
              </w:rPr>
            </w:pPr>
          </w:p>
        </w:tc>
        <w:tc>
          <w:tcPr>
            <w:tcW w:w="3680" w:type="dxa"/>
            <w:tcBorders>
              <w:top w:val="single" w:sz="4" w:space="0" w:color="auto"/>
              <w:left w:val="nil"/>
              <w:bottom w:val="single" w:sz="4" w:space="0" w:color="auto"/>
              <w:right w:val="single" w:sz="4" w:space="0" w:color="auto"/>
            </w:tcBorders>
            <w:shd w:val="clear" w:color="auto" w:fill="auto"/>
          </w:tcPr>
          <w:p w14:paraId="37DA0B9F" w14:textId="77777777" w:rsidR="008B3A45" w:rsidRPr="00F94944" w:rsidRDefault="008B3A45" w:rsidP="008B3A45">
            <w:pPr>
              <w:pStyle w:val="ListParagraph"/>
              <w:numPr>
                <w:ilvl w:val="0"/>
                <w:numId w:val="32"/>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Identificación de la publicación</w:t>
            </w:r>
          </w:p>
          <w:p w14:paraId="42FCA39C" w14:textId="0253BBE4" w:rsidR="008B3A45" w:rsidRPr="00F94944" w:rsidRDefault="008B3A45" w:rsidP="008B3A45">
            <w:pPr>
              <w:pStyle w:val="ListParagraph"/>
              <w:numPr>
                <w:ilvl w:val="0"/>
                <w:numId w:val="32"/>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Categoría de partes modificadas de documentos (por ejemplo, información bibliográfica, reivindicación de prioridad, especificación, reivindicaciones, dibujos)</w:t>
            </w:r>
          </w:p>
          <w:p w14:paraId="711D7122" w14:textId="47C30A25" w:rsidR="008B3A45" w:rsidRPr="00F94944" w:rsidRDefault="008B3A45" w:rsidP="008B3A45">
            <w:pPr>
              <w:pStyle w:val="ListParagraph"/>
              <w:numPr>
                <w:ilvl w:val="0"/>
                <w:numId w:val="32"/>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Categoría de modificaciones (por ejemplo, modificación o corrección)</w:t>
            </w:r>
          </w:p>
          <w:p w14:paraId="118A20E9" w14:textId="77777777" w:rsidR="008B3A45" w:rsidRPr="00F94944" w:rsidRDefault="008B3A45" w:rsidP="008B3A45">
            <w:pPr>
              <w:pStyle w:val="ListParagraph"/>
              <w:numPr>
                <w:ilvl w:val="0"/>
                <w:numId w:val="32"/>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Contenido erróneo previamente publicado</w:t>
            </w:r>
          </w:p>
          <w:p w14:paraId="7B1D5259" w14:textId="77777777" w:rsidR="008B3A45" w:rsidRPr="00F94944" w:rsidRDefault="008B3A45" w:rsidP="008B3A45">
            <w:pPr>
              <w:pStyle w:val="ListParagraph"/>
              <w:numPr>
                <w:ilvl w:val="0"/>
                <w:numId w:val="32"/>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Contenido nuevo corregido</w:t>
            </w:r>
          </w:p>
        </w:tc>
      </w:tr>
      <w:tr w:rsidR="008B3A45" w:rsidRPr="00F94944" w14:paraId="2A8A3830"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90BE4B1"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lastRenderedPageBreak/>
              <w:t xml:space="preserve">Q </w:t>
            </w:r>
          </w:p>
        </w:tc>
        <w:tc>
          <w:tcPr>
            <w:tcW w:w="4680" w:type="dxa"/>
            <w:tcBorders>
              <w:top w:val="single" w:sz="4" w:space="0" w:color="auto"/>
              <w:left w:val="nil"/>
              <w:bottom w:val="single" w:sz="4" w:space="0" w:color="auto"/>
              <w:right w:val="single" w:sz="4" w:space="0" w:color="auto"/>
            </w:tcBorders>
            <w:shd w:val="clear" w:color="auto" w:fill="auto"/>
          </w:tcPr>
          <w:p w14:paraId="385140F4"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Publicación de documentos </w:t>
            </w:r>
          </w:p>
          <w:p w14:paraId="2035A4A3" w14:textId="1AFD05E1" w:rsidR="008B3A45" w:rsidRPr="00F94944" w:rsidRDefault="008B3A45" w:rsidP="00693C25">
            <w:pPr>
              <w:spacing w:after="200"/>
              <w:ind w:hanging="20"/>
              <w:rPr>
                <w:sz w:val="17"/>
                <w:szCs w:val="17"/>
                <w:lang w:val="es-ES_tradnl"/>
              </w:rPr>
            </w:pPr>
            <w:r w:rsidRPr="00F94944">
              <w:rPr>
                <w:sz w:val="17"/>
                <w:lang w:val="es-ES_tradnl"/>
              </w:rPr>
              <w:t>Esta categoría se compone de un grupo de incidencias relacionadas con la publicación de documentos por la Oficina de PI.</w:t>
            </w:r>
            <w:r w:rsidR="00F94944">
              <w:rPr>
                <w:sz w:val="17"/>
                <w:lang w:val="es-ES_tradnl"/>
              </w:rPr>
              <w:t xml:space="preserve"> </w:t>
            </w:r>
            <w:r w:rsidRPr="00F94944">
              <w:rPr>
                <w:sz w:val="17"/>
                <w:lang w:val="es-ES_tradnl"/>
              </w:rPr>
              <w:t>Incluye, por ejemplo, la publicación por la Oficina de PI de una solicitud, documento de derecho de PI o información bibliográfica.</w:t>
            </w:r>
            <w:r w:rsidR="00F94944">
              <w:rPr>
                <w:sz w:val="17"/>
                <w:lang w:val="es-ES_tradnl"/>
              </w:rPr>
              <w:t xml:space="preserve"> </w:t>
            </w:r>
            <w:r w:rsidRPr="00F94944">
              <w:rPr>
                <w:sz w:val="17"/>
                <w:lang w:val="es-ES_tradnl"/>
              </w:rPr>
              <w:t>Los documentos pueden referirse a cualquier tipo de solicitud de la categoría A o a cualquier tipo de derecho de PI de la categoría F. Las incidencias de esta categoría pueden producirse en cualquier etapa.</w:t>
            </w:r>
          </w:p>
        </w:tc>
        <w:tc>
          <w:tcPr>
            <w:tcW w:w="3680" w:type="dxa"/>
            <w:tcBorders>
              <w:top w:val="single" w:sz="4" w:space="0" w:color="auto"/>
              <w:left w:val="nil"/>
              <w:bottom w:val="single" w:sz="4" w:space="0" w:color="auto"/>
              <w:right w:val="single" w:sz="4" w:space="0" w:color="auto"/>
            </w:tcBorders>
            <w:shd w:val="clear" w:color="auto" w:fill="auto"/>
          </w:tcPr>
          <w:p w14:paraId="44F9CC71" w14:textId="77777777" w:rsidR="008B3A45" w:rsidRPr="00F94944" w:rsidRDefault="008B3A45" w:rsidP="008B3A45">
            <w:pPr>
              <w:pStyle w:val="ListParagraph"/>
              <w:numPr>
                <w:ilvl w:val="0"/>
                <w:numId w:val="25"/>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 xml:space="preserve">Categoría del documento de patente (código de tipo ST.16) </w:t>
            </w:r>
          </w:p>
          <w:p w14:paraId="3E24F2FA" w14:textId="77777777" w:rsidR="008B3A45" w:rsidRPr="00F94944" w:rsidRDefault="008B3A45" w:rsidP="008B3A45">
            <w:pPr>
              <w:pStyle w:val="ListParagraph"/>
              <w:numPr>
                <w:ilvl w:val="0"/>
                <w:numId w:val="25"/>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Identificación de la publicación</w:t>
            </w:r>
          </w:p>
        </w:tc>
      </w:tr>
      <w:tr w:rsidR="008B3A45" w:rsidRPr="00F94944" w14:paraId="46655C70"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39A5B56"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R </w:t>
            </w:r>
          </w:p>
        </w:tc>
        <w:tc>
          <w:tcPr>
            <w:tcW w:w="4680" w:type="dxa"/>
            <w:tcBorders>
              <w:top w:val="single" w:sz="4" w:space="0" w:color="auto"/>
              <w:left w:val="nil"/>
              <w:bottom w:val="single" w:sz="4" w:space="0" w:color="auto"/>
              <w:right w:val="single" w:sz="4" w:space="0" w:color="auto"/>
            </w:tcBorders>
            <w:shd w:val="clear" w:color="auto" w:fill="auto"/>
          </w:tcPr>
          <w:p w14:paraId="23AEBA2D"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Modificación de datos de una parte </w:t>
            </w:r>
          </w:p>
          <w:p w14:paraId="01291237" w14:textId="4AA55A64" w:rsidR="008B3A45" w:rsidRPr="00F94944" w:rsidRDefault="008B3A45" w:rsidP="00693C25">
            <w:pPr>
              <w:spacing w:after="200"/>
              <w:ind w:hanging="20"/>
              <w:rPr>
                <w:sz w:val="17"/>
                <w:szCs w:val="17"/>
                <w:lang w:val="es-ES_tradnl"/>
              </w:rPr>
            </w:pPr>
            <w:r w:rsidRPr="00F94944">
              <w:rPr>
                <w:sz w:val="17"/>
                <w:lang w:val="es-ES_tradnl"/>
              </w:rPr>
              <w:t>Esta categoría se compone de un grupo de incidencias relacionadas con la inscripción en la Oficina de PI de cambios en los datos de una parte.</w:t>
            </w:r>
            <w:r w:rsidR="00F94944">
              <w:rPr>
                <w:sz w:val="17"/>
                <w:lang w:val="es-ES_tradnl"/>
              </w:rPr>
              <w:t xml:space="preserve"> </w:t>
            </w:r>
            <w:r w:rsidRPr="00F94944">
              <w:rPr>
                <w:sz w:val="17"/>
                <w:lang w:val="es-ES_tradnl"/>
              </w:rPr>
              <w:t>Incluye, por ejemplo, el caso de registro en la Oficina de PI de cambios de una parte relacionada con la solicitud o el derecho de PI, por ejemplo, el solicitante o solicitantes, titulares, inventores o representantes.</w:t>
            </w:r>
            <w:r w:rsidR="00F94944">
              <w:rPr>
                <w:sz w:val="17"/>
                <w:lang w:val="es-ES_tradnl"/>
              </w:rPr>
              <w:t xml:space="preserve"> </w:t>
            </w:r>
            <w:r w:rsidRPr="00F94944">
              <w:rPr>
                <w:sz w:val="17"/>
                <w:lang w:val="es-ES_tradnl"/>
              </w:rPr>
              <w:t>También incluye incidencias relacionadas con la inscripción de cambios en la información de contacto de una parte.</w:t>
            </w:r>
            <w:r w:rsidR="00F94944">
              <w:rPr>
                <w:sz w:val="17"/>
                <w:lang w:val="es-ES_tradnl"/>
              </w:rPr>
              <w:t xml:space="preserve"> </w:t>
            </w:r>
            <w:r w:rsidRPr="00F94944">
              <w:rPr>
                <w:sz w:val="17"/>
                <w:lang w:val="es-ES_tradnl"/>
              </w:rPr>
              <w:t>El cambio de datos puede referirse a cualquier tipo de solicitud de la categoría A o a cualquier tipo de derecho de PI de la categoría F. Las incidencias de esta categoría pueden producirse en cualquier etapa.</w:t>
            </w:r>
          </w:p>
        </w:tc>
        <w:tc>
          <w:tcPr>
            <w:tcW w:w="3680" w:type="dxa"/>
            <w:tcBorders>
              <w:top w:val="single" w:sz="4" w:space="0" w:color="auto"/>
              <w:left w:val="nil"/>
              <w:bottom w:val="single" w:sz="4" w:space="0" w:color="auto"/>
              <w:right w:val="single" w:sz="4" w:space="0" w:color="auto"/>
            </w:tcBorders>
            <w:shd w:val="clear" w:color="auto" w:fill="auto"/>
          </w:tcPr>
          <w:p w14:paraId="1FAC6E7F" w14:textId="3CC23018" w:rsidR="008B3A45" w:rsidRPr="00F94944" w:rsidRDefault="008B3A45" w:rsidP="008B3A45">
            <w:pPr>
              <w:pStyle w:val="ListParagraph"/>
              <w:numPr>
                <w:ilvl w:val="0"/>
                <w:numId w:val="30"/>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Categoría de modificación de datos de las partes (por ejemplo, cambio de titular, de inventor o de representante, o cambio de la información de contacto del titular, del inventor o del representante)</w:t>
            </w:r>
          </w:p>
          <w:p w14:paraId="3517BF8D" w14:textId="00BBD812" w:rsidR="008B3A45" w:rsidRPr="00F94944" w:rsidRDefault="008B3A45" w:rsidP="008B3A45">
            <w:pPr>
              <w:pStyle w:val="ListParagraph"/>
              <w:numPr>
                <w:ilvl w:val="0"/>
                <w:numId w:val="30"/>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 xml:space="preserve">Datos de la parte anterior (por ejemplo, nombre, información de contacto, código de país) </w:t>
            </w:r>
          </w:p>
          <w:p w14:paraId="6B1C5927" w14:textId="415CEBBA" w:rsidR="008B3A45" w:rsidRPr="00F94944" w:rsidRDefault="008B3A45" w:rsidP="008B3A45">
            <w:pPr>
              <w:pStyle w:val="ListParagraph"/>
              <w:numPr>
                <w:ilvl w:val="0"/>
                <w:numId w:val="30"/>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la parte nueva (por ejemplo, nombre, información de contacto, código de país)</w:t>
            </w:r>
          </w:p>
          <w:p w14:paraId="399515F5" w14:textId="77777777" w:rsidR="008B3A45" w:rsidRPr="00F94944" w:rsidRDefault="008B3A45" w:rsidP="008B3A45">
            <w:pPr>
              <w:pStyle w:val="ListParagraph"/>
              <w:numPr>
                <w:ilvl w:val="0"/>
                <w:numId w:val="30"/>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sobre la transferencia de titularidad (incluido el número del documento de asignación)</w:t>
            </w:r>
          </w:p>
          <w:p w14:paraId="76468973" w14:textId="77777777" w:rsidR="003F041A" w:rsidRPr="00F94944" w:rsidRDefault="008B3A45" w:rsidP="003F041A">
            <w:pPr>
              <w:pStyle w:val="ListParagraph"/>
              <w:numPr>
                <w:ilvl w:val="0"/>
                <w:numId w:val="30"/>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Información sobre los procedimientos judiciales (si procede)</w:t>
            </w:r>
          </w:p>
          <w:p w14:paraId="76E50B82" w14:textId="77777777" w:rsidR="003F041A" w:rsidRPr="00F94944" w:rsidRDefault="00B77446" w:rsidP="003F041A">
            <w:pPr>
              <w:pStyle w:val="ListParagraph"/>
              <w:numPr>
                <w:ilvl w:val="0"/>
                <w:numId w:val="30"/>
              </w:numPr>
              <w:spacing w:before="120" w:after="200"/>
              <w:ind w:left="461" w:hanging="432"/>
              <w:contextualSpacing w:val="0"/>
              <w:rPr>
                <w:rFonts w:eastAsia="Times New Roman"/>
                <w:color w:val="000000"/>
                <w:sz w:val="17"/>
                <w:szCs w:val="17"/>
                <w:u w:val="single"/>
                <w:lang w:val="es-ES_tradnl"/>
              </w:rPr>
            </w:pPr>
            <w:r w:rsidRPr="00F94944">
              <w:rPr>
                <w:color w:val="000000"/>
                <w:sz w:val="17"/>
                <w:u w:val="single"/>
                <w:lang w:val="es-ES_tradnl"/>
              </w:rPr>
              <w:t xml:space="preserve">Fecha de recepción de la petición </w:t>
            </w:r>
          </w:p>
          <w:p w14:paraId="27781FB6" w14:textId="3CA3E716" w:rsidR="00B77446" w:rsidRPr="00F94944" w:rsidRDefault="00B77446" w:rsidP="003F041A">
            <w:pPr>
              <w:pStyle w:val="ListParagraph"/>
              <w:numPr>
                <w:ilvl w:val="0"/>
                <w:numId w:val="30"/>
              </w:numPr>
              <w:spacing w:before="120" w:after="200"/>
              <w:ind w:left="461" w:hanging="432"/>
              <w:contextualSpacing w:val="0"/>
              <w:rPr>
                <w:rFonts w:eastAsia="Times New Roman"/>
                <w:color w:val="000000"/>
                <w:sz w:val="17"/>
                <w:szCs w:val="17"/>
                <w:u w:val="single"/>
                <w:lang w:val="es-ES_tradnl"/>
              </w:rPr>
            </w:pPr>
            <w:r w:rsidRPr="00F94944">
              <w:rPr>
                <w:color w:val="000000"/>
                <w:sz w:val="17"/>
                <w:u w:val="single"/>
                <w:lang w:val="es-ES_tradnl"/>
              </w:rPr>
              <w:t>Nombre del solicitante/Información de contacto</w:t>
            </w:r>
          </w:p>
        </w:tc>
      </w:tr>
      <w:tr w:rsidR="008B3A45" w:rsidRPr="00F94944" w14:paraId="01BEE012"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9980DEE"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S </w:t>
            </w:r>
          </w:p>
        </w:tc>
        <w:tc>
          <w:tcPr>
            <w:tcW w:w="4680" w:type="dxa"/>
            <w:tcBorders>
              <w:top w:val="single" w:sz="4" w:space="0" w:color="auto"/>
              <w:left w:val="nil"/>
              <w:bottom w:val="single" w:sz="4" w:space="0" w:color="auto"/>
              <w:right w:val="single" w:sz="4" w:space="0" w:color="auto"/>
            </w:tcBorders>
            <w:shd w:val="clear" w:color="auto" w:fill="auto"/>
          </w:tcPr>
          <w:p w14:paraId="195B23C1" w14:textId="77777777" w:rsidR="008B3A45" w:rsidRPr="00F94944" w:rsidRDefault="008B3A45" w:rsidP="00693C25">
            <w:pPr>
              <w:spacing w:before="120" w:after="120"/>
              <w:rPr>
                <w:rFonts w:eastAsia="Times New Roman"/>
                <w:color w:val="000000"/>
                <w:sz w:val="17"/>
                <w:szCs w:val="17"/>
                <w:u w:val="single"/>
                <w:lang w:val="es-ES_tradnl"/>
              </w:rPr>
            </w:pPr>
            <w:r w:rsidRPr="00F94944">
              <w:rPr>
                <w:sz w:val="17"/>
                <w:u w:val="single"/>
                <w:lang w:val="es-ES_tradnl"/>
              </w:rPr>
              <w:t>Licencias y aspectos relacionados</w:t>
            </w:r>
          </w:p>
          <w:p w14:paraId="587750BE" w14:textId="1A42C085" w:rsidR="008B3A45" w:rsidRPr="00F94944" w:rsidRDefault="008B3A45" w:rsidP="00693C25">
            <w:pPr>
              <w:spacing w:after="200"/>
              <w:ind w:hanging="14"/>
              <w:jc w:val="both"/>
              <w:rPr>
                <w:sz w:val="17"/>
                <w:szCs w:val="17"/>
                <w:lang w:val="es-ES_tradnl"/>
              </w:rPr>
            </w:pPr>
            <w:r w:rsidRPr="00F94944">
              <w:rPr>
                <w:sz w:val="17"/>
                <w:lang w:val="es-ES_tradnl"/>
              </w:rPr>
              <w:t>Esta categoría se compone de un grupo de incidencias relacionadas con la inscripción en la Oficina de PI de información sobre licencias y de modificaciones de dichos registros.</w:t>
            </w:r>
            <w:r w:rsidR="00F94944">
              <w:rPr>
                <w:sz w:val="17"/>
                <w:lang w:val="es-ES_tradnl"/>
              </w:rPr>
              <w:t xml:space="preserve"> </w:t>
            </w:r>
            <w:r w:rsidRPr="00F94944">
              <w:rPr>
                <w:sz w:val="17"/>
                <w:lang w:val="es-ES_tradnl"/>
              </w:rPr>
              <w:t>Incluye, por ejemplo, la inscripción en una OPI de que una licencia, un aval o una garantía ha sido acordada, modificada, cancelada o transferida.</w:t>
            </w:r>
            <w:r w:rsidR="00F94944">
              <w:rPr>
                <w:sz w:val="17"/>
                <w:lang w:val="es-ES_tradnl"/>
              </w:rPr>
              <w:t xml:space="preserve"> </w:t>
            </w:r>
            <w:r w:rsidRPr="00F94944">
              <w:rPr>
                <w:sz w:val="17"/>
                <w:lang w:val="es-ES_tradnl"/>
              </w:rPr>
              <w:t>La información sobre las licencias puede referirse a cualquier tipo de solicitud de la categoría A o a cualquier tipo de derecho de PI de la categoría F. Las incidencias de esta categoría pueden producirse en cualquier etapa.</w:t>
            </w:r>
          </w:p>
          <w:p w14:paraId="74617A9D" w14:textId="77777777" w:rsidR="008B3A45" w:rsidRPr="00F94944" w:rsidRDefault="008B3A45" w:rsidP="00693C25">
            <w:pPr>
              <w:spacing w:after="200"/>
              <w:ind w:hanging="20"/>
              <w:rPr>
                <w:sz w:val="17"/>
                <w:szCs w:val="17"/>
                <w:lang w:val="es-ES_tradnl"/>
              </w:rPr>
            </w:pPr>
          </w:p>
        </w:tc>
        <w:tc>
          <w:tcPr>
            <w:tcW w:w="3680" w:type="dxa"/>
            <w:tcBorders>
              <w:top w:val="single" w:sz="4" w:space="0" w:color="auto"/>
              <w:left w:val="nil"/>
              <w:bottom w:val="single" w:sz="4" w:space="0" w:color="auto"/>
              <w:right w:val="single" w:sz="4" w:space="0" w:color="auto"/>
            </w:tcBorders>
            <w:shd w:val="clear" w:color="auto" w:fill="auto"/>
          </w:tcPr>
          <w:p w14:paraId="5AA9C0F6" w14:textId="2B4D792F" w:rsidR="008B3A45" w:rsidRPr="00F94944" w:rsidRDefault="008B3A45" w:rsidP="008B3A45">
            <w:pPr>
              <w:pStyle w:val="ListParagraph"/>
              <w:numPr>
                <w:ilvl w:val="0"/>
                <w:numId w:val="31"/>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la licencia (por ejemplo, número de registro, número de documento de licencia, registro, tipo, estado, fecha inicial y final)</w:t>
            </w:r>
          </w:p>
          <w:p w14:paraId="3D5C74CF" w14:textId="5F1D3812" w:rsidR="008B3A45" w:rsidRPr="00F94944" w:rsidRDefault="008B3A45" w:rsidP="008B3A45">
            <w:pPr>
              <w:pStyle w:val="ListParagraph"/>
              <w:numPr>
                <w:ilvl w:val="0"/>
                <w:numId w:val="31"/>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los licenciantes (por ejemplo, nombre, información de contacto, código de país)</w:t>
            </w:r>
          </w:p>
          <w:p w14:paraId="1EFA0211" w14:textId="7EFCE4C0" w:rsidR="008B3A45" w:rsidRPr="00F94944" w:rsidRDefault="008B3A45" w:rsidP="008B3A45">
            <w:pPr>
              <w:pStyle w:val="ListParagraph"/>
              <w:numPr>
                <w:ilvl w:val="0"/>
                <w:numId w:val="31"/>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los licenciatarios (por ejemplo, nombre, información de contacto, código de país).</w:t>
            </w:r>
          </w:p>
          <w:p w14:paraId="782E09FC" w14:textId="46E08E43" w:rsidR="008B3A45" w:rsidRPr="00F94944" w:rsidRDefault="008B3A45" w:rsidP="008B3A45">
            <w:pPr>
              <w:pStyle w:val="ListParagraph"/>
              <w:numPr>
                <w:ilvl w:val="0"/>
                <w:numId w:val="31"/>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Categoría de modificación de la información sobre la licencia (es decir, qué términos fueron modificados)</w:t>
            </w:r>
          </w:p>
          <w:p w14:paraId="1941F126" w14:textId="77777777" w:rsidR="008B3A45" w:rsidRPr="00F94944" w:rsidRDefault="008B3A45" w:rsidP="008B3A45">
            <w:pPr>
              <w:pStyle w:val="ListParagraph"/>
              <w:numPr>
                <w:ilvl w:val="0"/>
                <w:numId w:val="31"/>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Territorio de validez de la licencia</w:t>
            </w:r>
          </w:p>
          <w:p w14:paraId="11CD082A" w14:textId="77777777" w:rsidR="008B3A45" w:rsidRPr="00F94944" w:rsidRDefault="008B3A45" w:rsidP="008B3A45">
            <w:pPr>
              <w:pStyle w:val="ListParagraph"/>
              <w:numPr>
                <w:ilvl w:val="0"/>
                <w:numId w:val="31"/>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Información sobre el procedimiento judicial (si procede)</w:t>
            </w:r>
          </w:p>
        </w:tc>
      </w:tr>
      <w:tr w:rsidR="008B3A45" w:rsidRPr="00F94944" w14:paraId="56E0F79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2A6B77B"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lastRenderedPageBreak/>
              <w:t xml:space="preserve">T </w:t>
            </w:r>
          </w:p>
        </w:tc>
        <w:tc>
          <w:tcPr>
            <w:tcW w:w="4680" w:type="dxa"/>
            <w:tcBorders>
              <w:top w:val="single" w:sz="4" w:space="0" w:color="auto"/>
              <w:left w:val="nil"/>
              <w:bottom w:val="single" w:sz="4" w:space="0" w:color="auto"/>
              <w:right w:val="single" w:sz="4" w:space="0" w:color="auto"/>
            </w:tcBorders>
            <w:shd w:val="clear" w:color="auto" w:fill="auto"/>
          </w:tcPr>
          <w:p w14:paraId="20D9B238" w14:textId="77777777" w:rsidR="008B3A45" w:rsidRPr="00F94944" w:rsidRDefault="008B3A45" w:rsidP="00693C25">
            <w:pPr>
              <w:spacing w:before="120" w:after="120"/>
              <w:rPr>
                <w:rFonts w:eastAsia="Times New Roman"/>
                <w:sz w:val="17"/>
                <w:szCs w:val="17"/>
                <w:u w:val="single"/>
                <w:lang w:val="es-ES_tradnl"/>
              </w:rPr>
            </w:pPr>
            <w:r w:rsidRPr="00F94944">
              <w:rPr>
                <w:sz w:val="17"/>
                <w:u w:val="single"/>
                <w:lang w:val="es-ES_tradnl"/>
              </w:rPr>
              <w:t xml:space="preserve">Ajuste de procedimiento administrativo </w:t>
            </w:r>
          </w:p>
          <w:p w14:paraId="5A96D23A" w14:textId="2A51C178" w:rsidR="008B3A45" w:rsidRPr="00F94944" w:rsidRDefault="008B3A45" w:rsidP="00693C25">
            <w:pPr>
              <w:spacing w:after="200"/>
              <w:ind w:hanging="14"/>
              <w:jc w:val="both"/>
              <w:rPr>
                <w:sz w:val="17"/>
                <w:szCs w:val="17"/>
                <w:lang w:val="es-ES_tradnl"/>
              </w:rPr>
            </w:pPr>
            <w:r w:rsidRPr="00F94944">
              <w:rPr>
                <w:sz w:val="17"/>
                <w:lang w:val="es-ES_tradnl"/>
              </w:rPr>
              <w:t>Esta categoría se compone de un grupo de incidencias relacionadas con el ajuste de un procedimiento administrativo tramitado por la Oficina de PI.</w:t>
            </w:r>
            <w:r w:rsidR="00F94944">
              <w:rPr>
                <w:sz w:val="17"/>
                <w:lang w:val="es-ES_tradnl"/>
              </w:rPr>
              <w:t xml:space="preserve"> </w:t>
            </w:r>
            <w:r w:rsidRPr="00F94944">
              <w:rPr>
                <w:sz w:val="17"/>
                <w:lang w:val="es-ES_tradnl"/>
              </w:rPr>
              <w:t>Incluye, por ejemplo, la concesión de prórroga de un plazo administrativo o la continuación de la tramitación de un procedimiento necesario.</w:t>
            </w:r>
            <w:r w:rsidR="00F94944">
              <w:rPr>
                <w:sz w:val="17"/>
                <w:lang w:val="es-ES_tradnl"/>
              </w:rPr>
              <w:t xml:space="preserve"> </w:t>
            </w:r>
            <w:r w:rsidRPr="00F94944">
              <w:rPr>
                <w:sz w:val="17"/>
                <w:lang w:val="es-ES_tradnl"/>
              </w:rPr>
              <w:t>También incluye la suspensión, paralización o interrupción de un procedimiento administrativo, o la reanudación de un procedimiento administrativo suspendido, paralizado o interrumpido.</w:t>
            </w:r>
            <w:r w:rsidR="00F94944">
              <w:rPr>
                <w:sz w:val="17"/>
                <w:lang w:val="es-ES_tradnl"/>
              </w:rPr>
              <w:t xml:space="preserve"> </w:t>
            </w:r>
            <w:r w:rsidRPr="00F94944">
              <w:rPr>
                <w:sz w:val="17"/>
                <w:lang w:val="es-ES_tradnl"/>
              </w:rPr>
              <w:t>El ajuste puede referirse a cualquier tipo de solicitud de la categoría A o a cualquier tipo de derecho de PI de la categoría F. Las incidencias de esta categoría pueden producirse en cualquier etapa.</w:t>
            </w:r>
          </w:p>
          <w:p w14:paraId="670BEAA3" w14:textId="77777777" w:rsidR="008B3A45" w:rsidRPr="00F94944" w:rsidRDefault="008B3A45" w:rsidP="00693C25">
            <w:pPr>
              <w:spacing w:after="200"/>
              <w:ind w:hanging="14"/>
              <w:rPr>
                <w:sz w:val="17"/>
                <w:szCs w:val="17"/>
                <w:lang w:val="es-ES_tradnl"/>
              </w:rPr>
            </w:pPr>
          </w:p>
        </w:tc>
        <w:tc>
          <w:tcPr>
            <w:tcW w:w="3680" w:type="dxa"/>
            <w:tcBorders>
              <w:top w:val="single" w:sz="4" w:space="0" w:color="auto"/>
              <w:left w:val="nil"/>
              <w:bottom w:val="single" w:sz="4" w:space="0" w:color="auto"/>
              <w:right w:val="single" w:sz="4" w:space="0" w:color="auto"/>
            </w:tcBorders>
            <w:shd w:val="clear" w:color="auto" w:fill="auto"/>
          </w:tcPr>
          <w:p w14:paraId="4F355AD0" w14:textId="3E6A5EA9" w:rsidR="008B3A45" w:rsidRPr="00F94944" w:rsidRDefault="008B3A45" w:rsidP="00FC3F7E">
            <w:pPr>
              <w:pStyle w:val="ListParagraph"/>
              <w:numPr>
                <w:ilvl w:val="0"/>
                <w:numId w:val="26"/>
              </w:numPr>
              <w:spacing w:before="120" w:after="200"/>
              <w:contextualSpacing w:val="0"/>
              <w:rPr>
                <w:rFonts w:eastAsia="Times New Roman"/>
                <w:color w:val="000000"/>
                <w:sz w:val="17"/>
                <w:szCs w:val="17"/>
                <w:lang w:val="es-ES_tradnl"/>
              </w:rPr>
            </w:pPr>
            <w:r w:rsidRPr="00F94944">
              <w:rPr>
                <w:color w:val="000000"/>
                <w:sz w:val="17"/>
                <w:lang w:val="es-ES_tradnl"/>
              </w:rPr>
              <w:t>Categoría de ajustes (por ejemplo, prórroga de plazo, suspensión, paralización, reanudación, interrupción, demora de los servicios de comunicación, prórroga concedida de pleno derecho, falta de acompasamiento de la Oficina de PI, irregularidades de la Oficina de PI)</w:t>
            </w:r>
          </w:p>
          <w:p w14:paraId="4CE9B11B" w14:textId="11BE54F6" w:rsidR="008B3A45" w:rsidRPr="00F94944" w:rsidRDefault="008B3A45" w:rsidP="00FC3F7E">
            <w:pPr>
              <w:pStyle w:val="ListParagraph"/>
              <w:numPr>
                <w:ilvl w:val="0"/>
                <w:numId w:val="26"/>
              </w:numPr>
              <w:spacing w:before="120" w:after="200"/>
              <w:contextualSpacing w:val="0"/>
              <w:rPr>
                <w:rFonts w:eastAsia="Times New Roman"/>
                <w:color w:val="000000"/>
                <w:sz w:val="17"/>
                <w:szCs w:val="17"/>
                <w:lang w:val="es-ES_tradnl"/>
              </w:rPr>
            </w:pPr>
            <w:r w:rsidRPr="00F94944">
              <w:rPr>
                <w:color w:val="000000"/>
                <w:sz w:val="17"/>
                <w:lang w:val="es-ES_tradnl"/>
              </w:rPr>
              <w:t>Motivo del ajuste (por ejemplo, catástrofe natural, demora de la Oficina de PI, demora del tribunal, demora del solicitante o del titular de la patente)</w:t>
            </w:r>
          </w:p>
          <w:p w14:paraId="3C3C46F4" w14:textId="4DCE137E" w:rsidR="008B3A45" w:rsidRPr="00F94944" w:rsidRDefault="008B3A45" w:rsidP="00FC3F7E">
            <w:pPr>
              <w:pStyle w:val="ListParagraph"/>
              <w:numPr>
                <w:ilvl w:val="0"/>
                <w:numId w:val="26"/>
              </w:numPr>
              <w:spacing w:before="120" w:after="200"/>
              <w:contextualSpacing w:val="0"/>
              <w:rPr>
                <w:rFonts w:eastAsia="Times New Roman"/>
                <w:color w:val="000000"/>
                <w:sz w:val="17"/>
                <w:szCs w:val="17"/>
                <w:lang w:val="es-ES_tradnl"/>
              </w:rPr>
            </w:pPr>
            <w:r w:rsidRPr="00F94944">
              <w:rPr>
                <w:color w:val="000000"/>
                <w:sz w:val="17"/>
                <w:lang w:val="es-ES_tradnl"/>
              </w:rPr>
              <w:t>Fecha de inicio y fin (por ejemplo, fecha de comienzo del ajuste y fecha de terminación)</w:t>
            </w:r>
          </w:p>
          <w:p w14:paraId="510B6858" w14:textId="77777777" w:rsidR="008B3A45" w:rsidRPr="00F94944" w:rsidRDefault="008B3A45" w:rsidP="00FC3F7E">
            <w:pPr>
              <w:pStyle w:val="ListParagraph"/>
              <w:numPr>
                <w:ilvl w:val="0"/>
                <w:numId w:val="26"/>
              </w:numPr>
              <w:spacing w:before="120" w:after="200"/>
              <w:contextualSpacing w:val="0"/>
              <w:rPr>
                <w:rFonts w:eastAsia="Times New Roman"/>
                <w:color w:val="000000"/>
                <w:sz w:val="17"/>
                <w:szCs w:val="17"/>
                <w:lang w:val="es-ES_tradnl"/>
              </w:rPr>
            </w:pPr>
            <w:r w:rsidRPr="00F94944">
              <w:rPr>
                <w:color w:val="000000"/>
                <w:sz w:val="17"/>
                <w:lang w:val="es-ES_tradnl"/>
              </w:rPr>
              <w:t>Indicador de derechos fundados en una utilización anterior</w:t>
            </w:r>
          </w:p>
          <w:p w14:paraId="2E9A3344" w14:textId="77777777" w:rsidR="00FC3F7E" w:rsidRPr="00F94944" w:rsidRDefault="00FC3F7E" w:rsidP="00FC3F7E">
            <w:pPr>
              <w:pStyle w:val="ListParagraph"/>
              <w:numPr>
                <w:ilvl w:val="0"/>
                <w:numId w:val="26"/>
              </w:numPr>
              <w:spacing w:before="120" w:after="200"/>
              <w:rPr>
                <w:rFonts w:eastAsia="Times New Roman"/>
                <w:color w:val="000000"/>
                <w:sz w:val="17"/>
                <w:szCs w:val="17"/>
                <w:u w:val="single"/>
                <w:lang w:val="es-ES_tradnl"/>
              </w:rPr>
            </w:pPr>
            <w:r w:rsidRPr="00F94944">
              <w:rPr>
                <w:color w:val="000000"/>
                <w:sz w:val="17"/>
                <w:u w:val="single"/>
                <w:lang w:val="es-ES_tradnl"/>
              </w:rPr>
              <w:t xml:space="preserve">Motivos de la denegación del ajuste del procedimiento administrativo (por ejemplo, retraso del registro, examen anticipado o ampliación del plazo) </w:t>
            </w:r>
          </w:p>
          <w:p w14:paraId="6CAD8CE5" w14:textId="77777777" w:rsidR="00FC3F7E" w:rsidRPr="00F94944" w:rsidRDefault="00FC3F7E" w:rsidP="00FC3F7E">
            <w:pPr>
              <w:pStyle w:val="ListParagraph"/>
              <w:spacing w:before="120" w:after="200"/>
              <w:ind w:left="360"/>
              <w:rPr>
                <w:rFonts w:eastAsia="Times New Roman"/>
                <w:color w:val="000000"/>
                <w:sz w:val="17"/>
                <w:szCs w:val="17"/>
                <w:u w:val="single"/>
                <w:lang w:val="es-ES_tradnl" w:eastAsia="en-US"/>
              </w:rPr>
            </w:pPr>
          </w:p>
          <w:p w14:paraId="6F7AD8ED" w14:textId="15C5808F" w:rsidR="00FC3F7E" w:rsidRPr="00F94944" w:rsidRDefault="00FC3F7E" w:rsidP="004B4BCF">
            <w:pPr>
              <w:pStyle w:val="ListParagraph"/>
              <w:numPr>
                <w:ilvl w:val="0"/>
                <w:numId w:val="26"/>
              </w:numPr>
              <w:spacing w:before="120" w:after="200"/>
              <w:rPr>
                <w:rFonts w:eastAsia="Times New Roman"/>
                <w:color w:val="000000"/>
                <w:sz w:val="17"/>
                <w:szCs w:val="17"/>
                <w:lang w:val="es-ES_tradnl"/>
              </w:rPr>
            </w:pPr>
            <w:r w:rsidRPr="00F94944">
              <w:rPr>
                <w:color w:val="000000"/>
                <w:sz w:val="17"/>
                <w:u w:val="single"/>
                <w:lang w:val="es-ES_tradnl"/>
              </w:rPr>
              <w:t>Confirmación del ajuste del procedimiento administrativo</w:t>
            </w:r>
          </w:p>
        </w:tc>
      </w:tr>
      <w:tr w:rsidR="008B3A45" w:rsidRPr="00F94944" w14:paraId="7152DB96"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F86CFCC"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 xml:space="preserve">U </w:t>
            </w:r>
          </w:p>
        </w:tc>
        <w:tc>
          <w:tcPr>
            <w:tcW w:w="4680" w:type="dxa"/>
            <w:tcBorders>
              <w:top w:val="single" w:sz="4" w:space="0" w:color="auto"/>
              <w:left w:val="nil"/>
              <w:bottom w:val="single" w:sz="4" w:space="0" w:color="auto"/>
              <w:right w:val="single" w:sz="4" w:space="0" w:color="auto"/>
            </w:tcBorders>
            <w:shd w:val="clear" w:color="auto" w:fill="auto"/>
          </w:tcPr>
          <w:p w14:paraId="41DE6F38"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Pago </w:t>
            </w:r>
          </w:p>
          <w:p w14:paraId="0D5D9455" w14:textId="5CB03B24" w:rsidR="008B3A45" w:rsidRPr="00F94944" w:rsidRDefault="008B3A45" w:rsidP="00693C25">
            <w:pPr>
              <w:spacing w:after="200"/>
              <w:ind w:hanging="14"/>
              <w:jc w:val="both"/>
              <w:rPr>
                <w:b/>
                <w:sz w:val="17"/>
                <w:szCs w:val="17"/>
                <w:lang w:val="es-ES_tradnl"/>
              </w:rPr>
            </w:pPr>
            <w:r w:rsidRPr="00F94944">
              <w:rPr>
                <w:sz w:val="17"/>
                <w:lang w:val="es-ES_tradnl"/>
              </w:rPr>
              <w:t>Esta categoría se compone de un grupo de incidencias relacionadas con el pago de tasas.</w:t>
            </w:r>
            <w:r w:rsidR="00F94944">
              <w:rPr>
                <w:sz w:val="17"/>
                <w:lang w:val="es-ES_tradnl"/>
              </w:rPr>
              <w:t xml:space="preserve"> </w:t>
            </w:r>
            <w:r w:rsidRPr="00F94944">
              <w:rPr>
                <w:sz w:val="17"/>
                <w:lang w:val="es-ES_tradnl"/>
              </w:rPr>
              <w:t>Incluye, por ejemplo, el pago de una tasa de renovación, de mantenimiento o por otra designación.</w:t>
            </w:r>
            <w:r w:rsidR="00F94944">
              <w:rPr>
                <w:sz w:val="17"/>
                <w:lang w:val="es-ES_tradnl"/>
              </w:rPr>
              <w:t xml:space="preserve"> </w:t>
            </w:r>
            <w:r w:rsidRPr="00F94944">
              <w:rPr>
                <w:sz w:val="17"/>
                <w:lang w:val="es-ES_tradnl"/>
              </w:rPr>
              <w:t>El pago puede referirse</w:t>
            </w:r>
            <w:r w:rsidR="00F94944">
              <w:rPr>
                <w:sz w:val="17"/>
                <w:lang w:val="es-ES_tradnl"/>
              </w:rPr>
              <w:t xml:space="preserve"> </w:t>
            </w:r>
            <w:r w:rsidRPr="00F94944">
              <w:rPr>
                <w:sz w:val="17"/>
                <w:lang w:val="es-ES_tradnl"/>
              </w:rPr>
              <w:t>a cualquier tipo de solicitud de la categoría A o a cualquier tipo de derecho de PI de la categoría F. Las incidencias de esta categoría pueden producirse en cualquier etapa.</w:t>
            </w:r>
          </w:p>
          <w:p w14:paraId="5A104450" w14:textId="77777777" w:rsidR="008B3A45" w:rsidRPr="00F94944" w:rsidRDefault="008B3A45" w:rsidP="00693C25">
            <w:pPr>
              <w:spacing w:after="200"/>
              <w:ind w:hanging="14"/>
              <w:rPr>
                <w:color w:val="222222"/>
                <w:sz w:val="17"/>
                <w:szCs w:val="17"/>
                <w:shd w:val="clear" w:color="auto" w:fill="FFFFFF"/>
                <w:lang w:val="es-ES_tradnl"/>
              </w:rPr>
            </w:pPr>
          </w:p>
        </w:tc>
        <w:tc>
          <w:tcPr>
            <w:tcW w:w="3680" w:type="dxa"/>
            <w:tcBorders>
              <w:top w:val="single" w:sz="4" w:space="0" w:color="auto"/>
              <w:left w:val="nil"/>
              <w:bottom w:val="single" w:sz="4" w:space="0" w:color="auto"/>
              <w:right w:val="single" w:sz="4" w:space="0" w:color="auto"/>
            </w:tcBorders>
            <w:shd w:val="clear" w:color="auto" w:fill="auto"/>
          </w:tcPr>
          <w:p w14:paraId="3D199D2F" w14:textId="69CDF142" w:rsidR="008B3A45" w:rsidRPr="00F94944" w:rsidRDefault="008B3A45" w:rsidP="008B3A45">
            <w:pPr>
              <w:pStyle w:val="ListParagraph"/>
              <w:numPr>
                <w:ilvl w:val="0"/>
                <w:numId w:val="38"/>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Categoría de pagos (por ejemplo, tasa de inscripción, tasa de mantenimiento, tasa de renovación, tasa de designación)</w:t>
            </w:r>
          </w:p>
          <w:p w14:paraId="1AAFF209" w14:textId="1CAD6C9C" w:rsidR="008B3A45" w:rsidRPr="00F94944" w:rsidRDefault="008B3A45" w:rsidP="008B3A45">
            <w:pPr>
              <w:pStyle w:val="ListParagraph"/>
              <w:numPr>
                <w:ilvl w:val="0"/>
                <w:numId w:val="38"/>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 xml:space="preserve">Datos del pago (por ejemplo, estado del pago, año del pago de la tasa) </w:t>
            </w:r>
          </w:p>
          <w:p w14:paraId="6AE51490" w14:textId="442C6B46" w:rsidR="008B3A45" w:rsidRPr="00F94944" w:rsidRDefault="008B3A45" w:rsidP="008B3A45">
            <w:pPr>
              <w:pStyle w:val="ListParagraph"/>
              <w:numPr>
                <w:ilvl w:val="0"/>
                <w:numId w:val="38"/>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Datos de la renovación (por ejemplo, duración de la renovación, cambios en el alcance, próxima</w:t>
            </w:r>
            <w:r w:rsidRPr="00F94944">
              <w:rPr>
                <w:color w:val="000000"/>
                <w:sz w:val="17"/>
                <w:lang w:val="es-ES_tradnl"/>
              </w:rPr>
              <w:cr/>
            </w:r>
            <w:r w:rsidRPr="00F94944">
              <w:rPr>
                <w:color w:val="000000"/>
                <w:sz w:val="17"/>
                <w:lang w:val="es-ES_tradnl"/>
              </w:rPr>
              <w:br/>
              <w:t>fecha de vencimiento de la tasa)</w:t>
            </w:r>
          </w:p>
        </w:tc>
      </w:tr>
      <w:tr w:rsidR="008B3A45" w:rsidRPr="00F94944" w14:paraId="40FA2D95"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2BEEC53"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V</w:t>
            </w:r>
          </w:p>
        </w:tc>
        <w:tc>
          <w:tcPr>
            <w:tcW w:w="4680" w:type="dxa"/>
            <w:tcBorders>
              <w:top w:val="single" w:sz="4" w:space="0" w:color="auto"/>
              <w:left w:val="nil"/>
              <w:bottom w:val="single" w:sz="4" w:space="0" w:color="auto"/>
              <w:right w:val="single" w:sz="4" w:space="0" w:color="auto"/>
            </w:tcBorders>
            <w:shd w:val="clear" w:color="auto" w:fill="auto"/>
          </w:tcPr>
          <w:p w14:paraId="417CF61B" w14:textId="77777777" w:rsidR="008B3A45" w:rsidRPr="00F94944" w:rsidRDefault="008B3A45" w:rsidP="00693C25">
            <w:pPr>
              <w:spacing w:before="120" w:after="120"/>
              <w:rPr>
                <w:rFonts w:eastAsia="Times New Roman"/>
                <w:sz w:val="17"/>
                <w:szCs w:val="17"/>
                <w:u w:val="single"/>
                <w:lang w:val="es-ES_tradnl"/>
              </w:rPr>
            </w:pPr>
            <w:r w:rsidRPr="00F94944">
              <w:rPr>
                <w:sz w:val="17"/>
                <w:u w:val="single"/>
                <w:lang w:val="es-ES_tradnl"/>
              </w:rPr>
              <w:t>Apelación</w:t>
            </w:r>
          </w:p>
          <w:p w14:paraId="71FA4E5C" w14:textId="6E6AB970" w:rsidR="008B3A45" w:rsidRPr="00F94944" w:rsidRDefault="008B3A45" w:rsidP="00693C25">
            <w:pPr>
              <w:spacing w:after="200"/>
              <w:ind w:hanging="14"/>
              <w:rPr>
                <w:sz w:val="17"/>
                <w:szCs w:val="17"/>
                <w:lang w:val="es-ES_tradnl"/>
              </w:rPr>
            </w:pPr>
            <w:r w:rsidRPr="00F94944">
              <w:rPr>
                <w:sz w:val="17"/>
                <w:lang w:val="es-ES_tradnl"/>
              </w:rPr>
              <w:t>Esta categoría se compone de un grupo de incidencias relacionadas con la apelación de una decisión tomada durante la tramitación de un derecho de PI.</w:t>
            </w:r>
            <w:r w:rsidR="00F94944">
              <w:rPr>
                <w:sz w:val="17"/>
                <w:lang w:val="es-ES_tradnl"/>
              </w:rPr>
              <w:t xml:space="preserve"> </w:t>
            </w:r>
            <w:r w:rsidRPr="00F94944">
              <w:rPr>
                <w:sz w:val="17"/>
                <w:lang w:val="es-ES_tradnl"/>
              </w:rPr>
              <w:t>Incluye, por ejemplo, la presentación por parte de un solicitante, un titular de derecho de PI o un tercero, de un recurso de apelación administrativo o judicial contra una decisión tomada durante la tramitación de un derecho de PI así como el resultado procedimental de dicha apelación.</w:t>
            </w:r>
            <w:r w:rsidR="00F94944">
              <w:rPr>
                <w:sz w:val="17"/>
                <w:lang w:val="es-ES_tradnl"/>
              </w:rPr>
              <w:t xml:space="preserve"> </w:t>
            </w:r>
            <w:r w:rsidRPr="00F94944">
              <w:rPr>
                <w:sz w:val="17"/>
                <w:lang w:val="es-ES_tradnl"/>
              </w:rPr>
              <w:t>Los aspectos fundamentales del resultado de la apelación pueden aplicarse a incidencias de otras categorías, por ejemplo, solicitud suspendida, solicitud reactivada, derecho de PI concedido, derecho de PI extinguido o derecho de PI mantenido.</w:t>
            </w:r>
            <w:r w:rsidR="00F94944">
              <w:rPr>
                <w:sz w:val="17"/>
                <w:lang w:val="es-ES_tradnl"/>
              </w:rPr>
              <w:t xml:space="preserve"> </w:t>
            </w:r>
            <w:r w:rsidRPr="00F94944">
              <w:rPr>
                <w:sz w:val="17"/>
                <w:lang w:val="es-ES_tradnl"/>
              </w:rPr>
              <w:t>La apelación puede referirse a cualquier tipo de solicitud de la categoría A o a cualquier tipo de derecho de PI de la categoría F. Las incidencias de esta categoría pueden producirse en cualquier etapa.</w:t>
            </w:r>
          </w:p>
        </w:tc>
        <w:tc>
          <w:tcPr>
            <w:tcW w:w="3680" w:type="dxa"/>
            <w:tcBorders>
              <w:top w:val="single" w:sz="4" w:space="0" w:color="auto"/>
              <w:left w:val="nil"/>
              <w:bottom w:val="single" w:sz="4" w:space="0" w:color="auto"/>
              <w:right w:val="single" w:sz="4" w:space="0" w:color="auto"/>
            </w:tcBorders>
            <w:shd w:val="clear" w:color="auto" w:fill="auto"/>
          </w:tcPr>
          <w:p w14:paraId="2A9D167C" w14:textId="4B791EA0" w:rsidR="008B3A45" w:rsidRPr="00F94944" w:rsidRDefault="00A16443" w:rsidP="008B3A45">
            <w:pPr>
              <w:pStyle w:val="ListParagraph"/>
              <w:numPr>
                <w:ilvl w:val="0"/>
                <w:numId w:val="27"/>
              </w:numPr>
              <w:spacing w:before="120" w:after="200"/>
              <w:ind w:left="461" w:hanging="432"/>
              <w:contextualSpacing w:val="0"/>
              <w:rPr>
                <w:rFonts w:eastAsia="Times New Roman"/>
                <w:color w:val="000000"/>
                <w:sz w:val="17"/>
                <w:szCs w:val="17"/>
                <w:lang w:val="es-ES_tradnl"/>
              </w:rPr>
            </w:pPr>
            <w:r w:rsidRPr="00F94944">
              <w:rPr>
                <w:color w:val="000000"/>
                <w:sz w:val="17"/>
                <w:u w:val="single"/>
                <w:lang w:val="es-ES_tradnl"/>
              </w:rPr>
              <w:t>Detalles de la administración decisora (por ejemplo nombre de la administración y su categoría, como tribunal nacional, juzgado, órgano de la Oficina de PI)</w:t>
            </w:r>
            <w:r w:rsidRPr="00F94944">
              <w:rPr>
                <w:strike/>
                <w:color w:val="000000"/>
                <w:sz w:val="17"/>
                <w:lang w:val="es-ES_tradnl"/>
              </w:rPr>
              <w:t>Órgano de apelación</w:t>
            </w:r>
          </w:p>
          <w:p w14:paraId="67745EA6" w14:textId="77777777" w:rsidR="008B3A45" w:rsidRPr="00F94944" w:rsidRDefault="008B3A45" w:rsidP="008B3A45">
            <w:pPr>
              <w:pStyle w:val="ListParagraph"/>
              <w:numPr>
                <w:ilvl w:val="0"/>
                <w:numId w:val="2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 xml:space="preserve">Decisión objeto de apelación </w:t>
            </w:r>
          </w:p>
          <w:p w14:paraId="765FEAB5" w14:textId="77777777" w:rsidR="008B3A45" w:rsidRPr="00F94944" w:rsidRDefault="008B3A45" w:rsidP="008B3A45">
            <w:pPr>
              <w:pStyle w:val="ListParagraph"/>
              <w:numPr>
                <w:ilvl w:val="0"/>
                <w:numId w:val="2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Información sobre la resolución de la apelación</w:t>
            </w:r>
          </w:p>
          <w:p w14:paraId="58BC0AE1" w14:textId="6328A44B" w:rsidR="0049022B" w:rsidRPr="00F94944" w:rsidRDefault="008B3A45" w:rsidP="008B3A45">
            <w:pPr>
              <w:pStyle w:val="ListParagraph"/>
              <w:numPr>
                <w:ilvl w:val="0"/>
                <w:numId w:val="27"/>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Cita de la decisión</w:t>
            </w:r>
          </w:p>
        </w:tc>
      </w:tr>
      <w:tr w:rsidR="008B3A45" w:rsidRPr="00F94944" w14:paraId="45817C94"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8B390C8"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lastRenderedPageBreak/>
              <w:t>W</w:t>
            </w:r>
          </w:p>
        </w:tc>
        <w:tc>
          <w:tcPr>
            <w:tcW w:w="4680" w:type="dxa"/>
            <w:tcBorders>
              <w:top w:val="single" w:sz="4" w:space="0" w:color="auto"/>
              <w:left w:val="nil"/>
              <w:bottom w:val="single" w:sz="4" w:space="0" w:color="auto"/>
              <w:right w:val="single" w:sz="4" w:space="0" w:color="auto"/>
            </w:tcBorders>
            <w:shd w:val="clear" w:color="auto" w:fill="auto"/>
          </w:tcPr>
          <w:p w14:paraId="7BC638D2"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Otras</w:t>
            </w:r>
          </w:p>
          <w:p w14:paraId="7E7ECD44" w14:textId="5FE395AF" w:rsidR="008B3A45" w:rsidRPr="00F94944" w:rsidRDefault="008B3A45" w:rsidP="00693C25">
            <w:pPr>
              <w:spacing w:after="200"/>
              <w:ind w:hanging="14"/>
              <w:rPr>
                <w:sz w:val="17"/>
                <w:szCs w:val="17"/>
                <w:lang w:val="es-ES_tradnl"/>
              </w:rPr>
            </w:pPr>
            <w:r w:rsidRPr="00F94944">
              <w:rPr>
                <w:sz w:val="17"/>
                <w:lang w:val="es-ES_tradnl"/>
              </w:rPr>
              <w:t>Esta categoría abarca incidencias que no pueden clasificarse como pertenecientes a ninguna de las restantes categorías.</w:t>
            </w:r>
            <w:r w:rsidR="00F94944">
              <w:rPr>
                <w:sz w:val="17"/>
                <w:lang w:val="es-ES_tradnl"/>
              </w:rPr>
              <w:t xml:space="preserve"> </w:t>
            </w:r>
            <w:r w:rsidRPr="00F94944">
              <w:rPr>
                <w:sz w:val="17"/>
                <w:lang w:val="es-ES_tradnl"/>
              </w:rPr>
              <w:t>Se recomienda utilizar esta categoría como último recurso en casos poco habituales, para los que una interpretación flexible de las descripciones de las restantes categorías no se adapta adecuadamente a la incidencia nacional/regional (por ejemplo, incidencias antiguas o incidencias provisionales/internas).</w:t>
            </w:r>
          </w:p>
        </w:tc>
        <w:tc>
          <w:tcPr>
            <w:tcW w:w="3680" w:type="dxa"/>
            <w:tcBorders>
              <w:top w:val="single" w:sz="4" w:space="0" w:color="auto"/>
              <w:left w:val="nil"/>
              <w:bottom w:val="single" w:sz="4" w:space="0" w:color="auto"/>
              <w:right w:val="single" w:sz="4" w:space="0" w:color="auto"/>
            </w:tcBorders>
            <w:shd w:val="clear" w:color="auto" w:fill="auto"/>
          </w:tcPr>
          <w:p w14:paraId="6195A901" w14:textId="77777777" w:rsidR="008B3A45" w:rsidRPr="00F94944" w:rsidRDefault="008B3A45" w:rsidP="008B3A45">
            <w:pPr>
              <w:pStyle w:val="ListParagraph"/>
              <w:numPr>
                <w:ilvl w:val="0"/>
                <w:numId w:val="28"/>
              </w:numPr>
              <w:spacing w:before="120" w:after="200"/>
              <w:rPr>
                <w:rFonts w:eastAsia="Times New Roman"/>
                <w:color w:val="000000"/>
                <w:sz w:val="17"/>
                <w:szCs w:val="17"/>
                <w:lang w:val="es-ES_tradnl"/>
              </w:rPr>
            </w:pPr>
            <w:r w:rsidRPr="00F94944">
              <w:rPr>
                <w:color w:val="000000"/>
                <w:sz w:val="17"/>
                <w:lang w:val="es-ES_tradnl"/>
              </w:rPr>
              <w:t>Descripción de la incidencia nacional o regional</w:t>
            </w:r>
          </w:p>
        </w:tc>
      </w:tr>
      <w:tr w:rsidR="008B3A45" w:rsidRPr="00F94944" w14:paraId="7BCE13A5" w14:textId="77777777" w:rsidTr="00693C25">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3952537" w14:textId="77777777" w:rsidR="008B3A45" w:rsidRPr="00F94944" w:rsidRDefault="008B3A45" w:rsidP="00693C25">
            <w:pPr>
              <w:spacing w:before="120" w:after="120" w:line="276" w:lineRule="auto"/>
              <w:rPr>
                <w:rFonts w:eastAsia="Times New Roman"/>
                <w:color w:val="000000"/>
                <w:sz w:val="17"/>
                <w:szCs w:val="17"/>
                <w:lang w:val="es-ES_tradnl"/>
              </w:rPr>
            </w:pPr>
            <w:r w:rsidRPr="00F94944">
              <w:rPr>
                <w:color w:val="000000"/>
                <w:sz w:val="17"/>
                <w:lang w:val="es-ES_tradnl"/>
              </w:rPr>
              <w:t>Y</w:t>
            </w:r>
          </w:p>
          <w:p w14:paraId="5BC17496" w14:textId="77777777" w:rsidR="008B3A45" w:rsidRPr="00F94944" w:rsidRDefault="008B3A45" w:rsidP="00693C25">
            <w:pPr>
              <w:rPr>
                <w:rFonts w:eastAsia="Times New Roman"/>
                <w:sz w:val="17"/>
                <w:szCs w:val="17"/>
                <w:lang w:val="es-ES_tradnl" w:eastAsia="en-US"/>
              </w:rPr>
            </w:pPr>
          </w:p>
          <w:p w14:paraId="27A294E1" w14:textId="77777777" w:rsidR="008B3A45" w:rsidRPr="00F94944" w:rsidRDefault="008B3A45" w:rsidP="00693C25">
            <w:pPr>
              <w:rPr>
                <w:rFonts w:eastAsia="Times New Roman"/>
                <w:sz w:val="17"/>
                <w:szCs w:val="17"/>
                <w:lang w:val="es-ES_tradnl" w:eastAsia="en-US"/>
              </w:rPr>
            </w:pPr>
          </w:p>
          <w:p w14:paraId="23365548" w14:textId="77777777" w:rsidR="008B3A45" w:rsidRPr="00F94944" w:rsidRDefault="008B3A45" w:rsidP="00693C25">
            <w:pPr>
              <w:rPr>
                <w:rFonts w:eastAsia="Times New Roman"/>
                <w:sz w:val="17"/>
                <w:szCs w:val="17"/>
                <w:lang w:val="es-ES_tradnl" w:eastAsia="en-US"/>
              </w:rPr>
            </w:pPr>
          </w:p>
          <w:p w14:paraId="767260F4" w14:textId="77777777" w:rsidR="008B3A45" w:rsidRPr="00F94944" w:rsidRDefault="008B3A45" w:rsidP="00693C25">
            <w:pPr>
              <w:rPr>
                <w:rFonts w:eastAsia="Times New Roman"/>
                <w:sz w:val="17"/>
                <w:szCs w:val="17"/>
                <w:lang w:val="es-ES_tradnl" w:eastAsia="en-US"/>
              </w:rPr>
            </w:pPr>
          </w:p>
          <w:p w14:paraId="1CFE5A84" w14:textId="77777777" w:rsidR="008B3A45" w:rsidRPr="00F94944" w:rsidRDefault="008B3A45" w:rsidP="00693C25">
            <w:pPr>
              <w:rPr>
                <w:rFonts w:eastAsia="Times New Roman"/>
                <w:sz w:val="17"/>
                <w:szCs w:val="17"/>
                <w:lang w:val="es-ES_tradnl" w:eastAsia="en-US"/>
              </w:rPr>
            </w:pPr>
          </w:p>
          <w:p w14:paraId="64E346C1" w14:textId="77777777" w:rsidR="008B3A45" w:rsidRPr="00F94944" w:rsidRDefault="008B3A45" w:rsidP="00693C25">
            <w:pPr>
              <w:rPr>
                <w:rFonts w:eastAsia="Times New Roman"/>
                <w:sz w:val="17"/>
                <w:szCs w:val="17"/>
                <w:lang w:val="es-ES_tradnl" w:eastAsia="en-US"/>
              </w:rPr>
            </w:pPr>
          </w:p>
          <w:p w14:paraId="7E1E3AEB" w14:textId="77777777" w:rsidR="008B3A45" w:rsidRPr="00F94944" w:rsidRDefault="008B3A45" w:rsidP="00693C25">
            <w:pPr>
              <w:rPr>
                <w:rFonts w:eastAsia="Times New Roman"/>
                <w:sz w:val="17"/>
                <w:szCs w:val="17"/>
                <w:lang w:val="es-ES_tradnl" w:eastAsia="en-US"/>
              </w:rPr>
            </w:pPr>
          </w:p>
          <w:p w14:paraId="68C73D48" w14:textId="77777777" w:rsidR="008B3A45" w:rsidRPr="00F94944" w:rsidRDefault="008B3A45" w:rsidP="00693C25">
            <w:pPr>
              <w:rPr>
                <w:rFonts w:eastAsia="Times New Roman"/>
                <w:sz w:val="17"/>
                <w:szCs w:val="17"/>
                <w:lang w:val="es-ES_tradnl" w:eastAsia="en-US"/>
              </w:rPr>
            </w:pPr>
          </w:p>
          <w:p w14:paraId="3E86F35C" w14:textId="77777777" w:rsidR="008B3A45" w:rsidRPr="00F94944" w:rsidRDefault="008B3A45" w:rsidP="00693C25">
            <w:pPr>
              <w:rPr>
                <w:rFonts w:eastAsia="Times New Roman"/>
                <w:sz w:val="17"/>
                <w:szCs w:val="17"/>
                <w:lang w:val="es-ES_tradnl" w:eastAsia="en-US"/>
              </w:rPr>
            </w:pPr>
          </w:p>
          <w:p w14:paraId="5A32E218" w14:textId="77777777" w:rsidR="008B3A45" w:rsidRPr="00F94944" w:rsidRDefault="008B3A45" w:rsidP="00693C25">
            <w:pPr>
              <w:rPr>
                <w:rFonts w:eastAsia="Times New Roman"/>
                <w:sz w:val="17"/>
                <w:szCs w:val="17"/>
                <w:lang w:val="es-ES_tradnl" w:eastAsia="en-US"/>
              </w:rPr>
            </w:pPr>
          </w:p>
          <w:p w14:paraId="6D188C1B" w14:textId="77777777" w:rsidR="008B3A45" w:rsidRPr="00F94944" w:rsidRDefault="008B3A45" w:rsidP="00693C25">
            <w:pPr>
              <w:rPr>
                <w:rFonts w:eastAsia="Times New Roman"/>
                <w:sz w:val="17"/>
                <w:szCs w:val="17"/>
                <w:lang w:val="es-ES_tradnl" w:eastAsia="en-US"/>
              </w:rPr>
            </w:pPr>
          </w:p>
          <w:p w14:paraId="61C3DC65" w14:textId="77777777" w:rsidR="008B3A45" w:rsidRPr="00F94944" w:rsidRDefault="008B3A45" w:rsidP="00693C25">
            <w:pPr>
              <w:rPr>
                <w:rFonts w:eastAsia="Times New Roman"/>
                <w:sz w:val="17"/>
                <w:szCs w:val="17"/>
                <w:lang w:val="es-ES_tradnl" w:eastAsia="en-US"/>
              </w:rPr>
            </w:pPr>
          </w:p>
          <w:p w14:paraId="31EB00CF" w14:textId="77777777" w:rsidR="008B3A45" w:rsidRPr="00F94944" w:rsidRDefault="008B3A45" w:rsidP="00693C25">
            <w:pPr>
              <w:rPr>
                <w:rFonts w:eastAsia="Times New Roman"/>
                <w:sz w:val="17"/>
                <w:szCs w:val="17"/>
                <w:lang w:val="es-ES_tradnl" w:eastAsia="en-US"/>
              </w:rPr>
            </w:pPr>
          </w:p>
        </w:tc>
        <w:tc>
          <w:tcPr>
            <w:tcW w:w="4680" w:type="dxa"/>
            <w:tcBorders>
              <w:top w:val="single" w:sz="4" w:space="0" w:color="auto"/>
              <w:left w:val="nil"/>
              <w:bottom w:val="single" w:sz="4" w:space="0" w:color="auto"/>
              <w:right w:val="single" w:sz="4" w:space="0" w:color="auto"/>
            </w:tcBorders>
            <w:shd w:val="clear" w:color="auto" w:fill="auto"/>
          </w:tcPr>
          <w:p w14:paraId="1F8AD12E" w14:textId="77777777" w:rsidR="008B3A45" w:rsidRPr="00F94944" w:rsidRDefault="008B3A45" w:rsidP="00693C25">
            <w:pPr>
              <w:spacing w:before="120" w:after="120"/>
              <w:rPr>
                <w:rFonts w:eastAsia="Times New Roman"/>
                <w:color w:val="000000"/>
                <w:sz w:val="17"/>
                <w:szCs w:val="17"/>
                <w:u w:val="single"/>
                <w:lang w:val="es-ES_tradnl"/>
              </w:rPr>
            </w:pPr>
            <w:r w:rsidRPr="00F94944">
              <w:rPr>
                <w:color w:val="000000"/>
                <w:sz w:val="17"/>
                <w:u w:val="single"/>
                <w:lang w:val="es-ES_tradnl"/>
              </w:rPr>
              <w:t xml:space="preserve">Corrección y supresión de información de incidencia </w:t>
            </w:r>
          </w:p>
          <w:p w14:paraId="2B878C3B" w14:textId="34320F42" w:rsidR="008B3A45" w:rsidRPr="00F94944" w:rsidRDefault="008B3A45" w:rsidP="00693C25">
            <w:pPr>
              <w:spacing w:after="200"/>
              <w:ind w:hanging="14"/>
              <w:rPr>
                <w:color w:val="222222"/>
                <w:sz w:val="17"/>
                <w:szCs w:val="17"/>
                <w:shd w:val="clear" w:color="auto" w:fill="FFFFFF"/>
                <w:lang w:val="es-ES_tradnl"/>
              </w:rPr>
            </w:pPr>
            <w:r w:rsidRPr="00F94944">
              <w:rPr>
                <w:sz w:val="17"/>
                <w:lang w:val="es-ES_tradnl"/>
              </w:rPr>
              <w:t>Esta categoría se compone de un grupo de incidencias relacionadas con la corrección o supresión de información errónea de alguna incidencia previamente facilitada por la Oficina de PI.</w:t>
            </w:r>
            <w:r w:rsidR="00F94944">
              <w:rPr>
                <w:sz w:val="17"/>
                <w:lang w:val="es-ES_tradnl"/>
              </w:rPr>
              <w:t xml:space="preserve"> </w:t>
            </w:r>
            <w:r w:rsidRPr="00F94944">
              <w:rPr>
                <w:sz w:val="17"/>
                <w:lang w:val="es-ES_tradnl"/>
              </w:rPr>
              <w:t>Incluye, por ejemplo, la corrección del código de incidencia relativa a la situación de una solicitud o un derecho de PI facilitado en virtud de la presente Norma, o la corrección o supresión de una incidencia que ha sido anunciada erróneamente en un boletín, registro de PI u otra documentación publicada.</w:t>
            </w:r>
            <w:r w:rsidR="00F94944">
              <w:rPr>
                <w:sz w:val="17"/>
                <w:lang w:val="es-ES_tradnl"/>
              </w:rPr>
              <w:t xml:space="preserve"> </w:t>
            </w:r>
            <w:r w:rsidRPr="00F94944">
              <w:rPr>
                <w:sz w:val="17"/>
                <w:lang w:val="es-ES_tradnl"/>
              </w:rPr>
              <w:t>La información sobre la incidencia puede referirse a cualquier tipo de solicitud de la categoría A o a cualquier tipo de derecho de PI de la categoría F. Las incidencias de esta categoría pueden producirse en cualquier etapa.</w:t>
            </w:r>
          </w:p>
        </w:tc>
        <w:tc>
          <w:tcPr>
            <w:tcW w:w="3680" w:type="dxa"/>
            <w:tcBorders>
              <w:top w:val="single" w:sz="4" w:space="0" w:color="auto"/>
              <w:left w:val="nil"/>
              <w:bottom w:val="single" w:sz="4" w:space="0" w:color="auto"/>
              <w:right w:val="single" w:sz="4" w:space="0" w:color="auto"/>
            </w:tcBorders>
            <w:shd w:val="clear" w:color="auto" w:fill="auto"/>
          </w:tcPr>
          <w:p w14:paraId="0A1B87F5" w14:textId="77777777" w:rsidR="008B3A45" w:rsidRPr="00F94944" w:rsidRDefault="008B3A45" w:rsidP="008B3A45">
            <w:pPr>
              <w:pStyle w:val="ListParagraph"/>
              <w:numPr>
                <w:ilvl w:val="0"/>
                <w:numId w:val="29"/>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Identificación de la incidencia relativa a la situación (código y fecha de la incidencia relativa a la situación; o identificador único)</w:t>
            </w:r>
          </w:p>
          <w:p w14:paraId="5D3B7148" w14:textId="77777777" w:rsidR="008B3A45" w:rsidRPr="00F94944" w:rsidRDefault="008B3A45" w:rsidP="008B3A45">
            <w:pPr>
              <w:pStyle w:val="ListParagraph"/>
              <w:numPr>
                <w:ilvl w:val="0"/>
                <w:numId w:val="29"/>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Contenido erróneo previamente publicado</w:t>
            </w:r>
          </w:p>
          <w:p w14:paraId="4C75C899" w14:textId="77777777" w:rsidR="008B3A45" w:rsidRPr="00F94944" w:rsidRDefault="008B3A45" w:rsidP="008B3A45">
            <w:pPr>
              <w:pStyle w:val="ListParagraph"/>
              <w:numPr>
                <w:ilvl w:val="0"/>
                <w:numId w:val="29"/>
              </w:numPr>
              <w:spacing w:before="120" w:after="200"/>
              <w:ind w:left="461" w:hanging="432"/>
              <w:contextualSpacing w:val="0"/>
              <w:rPr>
                <w:rFonts w:eastAsia="Times New Roman"/>
                <w:color w:val="000000"/>
                <w:sz w:val="17"/>
                <w:szCs w:val="17"/>
                <w:lang w:val="es-ES_tradnl"/>
              </w:rPr>
            </w:pPr>
            <w:r w:rsidRPr="00F94944">
              <w:rPr>
                <w:color w:val="000000"/>
                <w:sz w:val="17"/>
                <w:lang w:val="es-ES_tradnl"/>
              </w:rPr>
              <w:t>Contenido nuevo corregido</w:t>
            </w:r>
          </w:p>
          <w:p w14:paraId="6690AFA3" w14:textId="7464A6F6" w:rsidR="00E8509C" w:rsidRPr="00F94944" w:rsidRDefault="00E8509C" w:rsidP="008B3A45">
            <w:pPr>
              <w:pStyle w:val="ListParagraph"/>
              <w:numPr>
                <w:ilvl w:val="0"/>
                <w:numId w:val="29"/>
              </w:numPr>
              <w:spacing w:before="120" w:after="200"/>
              <w:ind w:left="461" w:hanging="432"/>
              <w:contextualSpacing w:val="0"/>
              <w:rPr>
                <w:rFonts w:eastAsia="Times New Roman"/>
                <w:color w:val="000000"/>
                <w:sz w:val="17"/>
                <w:szCs w:val="17"/>
                <w:u w:val="single"/>
                <w:lang w:val="es-ES_tradnl"/>
              </w:rPr>
            </w:pPr>
            <w:r w:rsidRPr="00F94944">
              <w:rPr>
                <w:color w:val="000000"/>
                <w:sz w:val="17"/>
                <w:u w:val="single"/>
                <w:lang w:val="es-ES_tradnl"/>
              </w:rPr>
              <w:t>Motivo de la corrección</w:t>
            </w:r>
          </w:p>
          <w:p w14:paraId="5D9D6F92" w14:textId="77777777" w:rsidR="008B3A45" w:rsidRPr="00F94944" w:rsidRDefault="008B3A45" w:rsidP="00693C25">
            <w:pPr>
              <w:pStyle w:val="ListParagraph"/>
              <w:spacing w:before="120" w:after="200"/>
              <w:ind w:left="461"/>
              <w:contextualSpacing w:val="0"/>
              <w:rPr>
                <w:rFonts w:eastAsia="Times New Roman"/>
                <w:color w:val="000000"/>
                <w:sz w:val="17"/>
                <w:szCs w:val="17"/>
                <w:lang w:val="es-ES_tradnl" w:eastAsia="en-US"/>
              </w:rPr>
            </w:pPr>
          </w:p>
        </w:tc>
      </w:tr>
    </w:tbl>
    <w:p w14:paraId="5D269B8F" w14:textId="2870F9AC" w:rsidR="00F10968" w:rsidRPr="00F94944" w:rsidRDefault="005A5CB3" w:rsidP="00F94944">
      <w:pPr>
        <w:spacing w:before="600" w:after="600"/>
        <w:rPr>
          <w:bCs/>
          <w:iCs/>
          <w:caps/>
          <w:sz w:val="17"/>
          <w:szCs w:val="17"/>
          <w:lang w:val="es-ES_tradnl"/>
        </w:rPr>
      </w:pPr>
      <w:r w:rsidRPr="00F94944">
        <w:rPr>
          <w:caps/>
          <w:sz w:val="17"/>
          <w:u w:val="single"/>
          <w:lang w:val="es-ES_tradnl"/>
        </w:rPr>
        <w:t>[…]</w:t>
      </w:r>
    </w:p>
    <w:p w14:paraId="03A02B59" w14:textId="2BB88409" w:rsidR="005A5CB3" w:rsidRPr="00F94944" w:rsidRDefault="005A5CB3" w:rsidP="00F94944">
      <w:pPr>
        <w:pStyle w:val="Endofdocument-Annex"/>
        <w:rPr>
          <w:szCs w:val="22"/>
          <w:lang w:val="es-ES_tradnl"/>
        </w:rPr>
      </w:pPr>
      <w:r w:rsidRPr="00F94944">
        <w:rPr>
          <w:lang w:val="es-ES_tradnl"/>
        </w:rPr>
        <w:t>[</w:t>
      </w:r>
      <w:r w:rsidR="0034221A" w:rsidRPr="0034221A">
        <w:rPr>
          <w:strike/>
          <w:lang w:val="es-ES_tradnl"/>
        </w:rPr>
        <w:t>Fin del Anexo II</w:t>
      </w:r>
      <w:r w:rsidR="00823E77">
        <w:rPr>
          <w:strike/>
          <w:lang w:val="es-ES_tradnl"/>
        </w:rPr>
        <w:t xml:space="preserve"> y del </w:t>
      </w:r>
      <w:proofErr w:type="spellStart"/>
      <w:r w:rsidR="00823E77">
        <w:rPr>
          <w:strike/>
          <w:lang w:val="es-ES_tradnl"/>
        </w:rPr>
        <w:t>documento</w:t>
      </w:r>
      <w:r w:rsidRPr="00ED3D30">
        <w:rPr>
          <w:u w:val="single"/>
          <w:lang w:val="es-ES_tradnl"/>
        </w:rPr>
        <w:t>Sigu</w:t>
      </w:r>
      <w:r w:rsidRPr="00A91845">
        <w:rPr>
          <w:u w:val="single"/>
          <w:lang w:val="es-ES_tradnl"/>
        </w:rPr>
        <w:t>e</w:t>
      </w:r>
      <w:proofErr w:type="spellEnd"/>
      <w:r w:rsidRPr="00A91845">
        <w:rPr>
          <w:u w:val="single"/>
          <w:lang w:val="es-ES_tradnl"/>
        </w:rPr>
        <w:t xml:space="preserve"> el Anexo III</w:t>
      </w:r>
      <w:r w:rsidRPr="00F94944">
        <w:rPr>
          <w:lang w:val="es-ES_tradnl"/>
        </w:rPr>
        <w:t>]</w:t>
      </w:r>
    </w:p>
    <w:sectPr w:rsidR="005A5CB3" w:rsidRPr="00F94944" w:rsidSect="00F94944">
      <w:headerReference w:type="even" r:id="rId13"/>
      <w:headerReference w:type="default" r:id="rId14"/>
      <w:head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F72DE" w14:textId="77777777" w:rsidR="00900FDA" w:rsidRDefault="00900FDA">
      <w:r>
        <w:separator/>
      </w:r>
    </w:p>
  </w:endnote>
  <w:endnote w:type="continuationSeparator" w:id="0">
    <w:p w14:paraId="5E4080EC" w14:textId="77777777" w:rsidR="00900FDA" w:rsidRDefault="00900FDA" w:rsidP="00A326CA">
      <w:r>
        <w:separator/>
      </w:r>
    </w:p>
    <w:p w14:paraId="6B9EC728" w14:textId="77777777" w:rsidR="00900FDA" w:rsidRPr="00F94944" w:rsidRDefault="00900FDA" w:rsidP="00A326CA">
      <w:pPr>
        <w:rPr>
          <w:lang w:val="en-US"/>
        </w:rPr>
      </w:pPr>
      <w:r w:rsidRPr="00F94944">
        <w:rPr>
          <w:sz w:val="17"/>
          <w:lang w:val="en-US"/>
        </w:rPr>
        <w:t>[Endnote continued from previous page]</w:t>
      </w:r>
    </w:p>
  </w:endnote>
  <w:endnote w:type="continuationNotice" w:id="1">
    <w:p w14:paraId="71DD3FB2" w14:textId="77777777" w:rsidR="00900FDA" w:rsidRPr="00F94944" w:rsidRDefault="00900FDA" w:rsidP="00A326CA">
      <w:pPr>
        <w:spacing w:before="60"/>
        <w:jc w:val="right"/>
        <w:rPr>
          <w:sz w:val="17"/>
          <w:szCs w:val="17"/>
          <w:lang w:val="en-US"/>
        </w:rPr>
      </w:pPr>
      <w:r w:rsidRPr="00F9494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FFEC7" w14:textId="77777777" w:rsidR="00900FDA" w:rsidRDefault="00900FDA">
      <w:r>
        <w:separator/>
      </w:r>
    </w:p>
  </w:footnote>
  <w:footnote w:type="continuationSeparator" w:id="0">
    <w:p w14:paraId="465D43EE" w14:textId="77777777" w:rsidR="00900FDA" w:rsidRDefault="00900FDA" w:rsidP="00A326CA">
      <w:r>
        <w:separator/>
      </w:r>
    </w:p>
    <w:p w14:paraId="0303E306" w14:textId="77777777" w:rsidR="00900FDA" w:rsidRPr="00F94944" w:rsidRDefault="00900FDA" w:rsidP="00A326CA">
      <w:pPr>
        <w:spacing w:after="60"/>
        <w:rPr>
          <w:sz w:val="17"/>
          <w:szCs w:val="17"/>
          <w:lang w:val="en-US"/>
        </w:rPr>
      </w:pPr>
      <w:r w:rsidRPr="00F94944">
        <w:rPr>
          <w:sz w:val="17"/>
          <w:szCs w:val="17"/>
          <w:lang w:val="en-US"/>
        </w:rPr>
        <w:t>[Footnote continued from previous page]</w:t>
      </w:r>
    </w:p>
  </w:footnote>
  <w:footnote w:type="continuationNotice" w:id="1">
    <w:p w14:paraId="0A8B3013" w14:textId="77777777" w:rsidR="00900FDA" w:rsidRPr="00F94944" w:rsidRDefault="00900FDA" w:rsidP="00A326CA">
      <w:pPr>
        <w:spacing w:before="60"/>
        <w:jc w:val="right"/>
        <w:rPr>
          <w:sz w:val="17"/>
          <w:szCs w:val="17"/>
          <w:lang w:val="en-US"/>
        </w:rPr>
      </w:pPr>
      <w:r w:rsidRPr="00F94944">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1E7DC" w14:textId="0A5EB40B" w:rsidR="00762A6F" w:rsidRPr="00C626B8" w:rsidRDefault="00762A6F" w:rsidP="00762A6F">
    <w:pPr>
      <w:pStyle w:val="Header"/>
      <w:jc w:val="right"/>
      <w:rPr>
        <w:szCs w:val="22"/>
      </w:rPr>
    </w:pPr>
    <w:r>
      <w:t>CWS/12/19</w:t>
    </w:r>
  </w:p>
  <w:p w14:paraId="75A8CA8B" w14:textId="06C6B2E1" w:rsidR="00762A6F" w:rsidRDefault="00762A6F" w:rsidP="00762A6F">
    <w:pPr>
      <w:pStyle w:val="Header"/>
      <w:jc w:val="right"/>
      <w:rPr>
        <w:szCs w:val="22"/>
      </w:rPr>
    </w:pPr>
    <w:r>
      <w:t xml:space="preserve">Anexo II, página </w:t>
    </w:r>
    <w:r w:rsidRPr="00C626B8">
      <w:fldChar w:fldCharType="begin"/>
    </w:r>
    <w:r w:rsidRPr="00C626B8">
      <w:instrText xml:space="preserve"> PAGE  \* Arabic  \* MERGEFORMAT </w:instrText>
    </w:r>
    <w:r w:rsidRPr="00C626B8">
      <w:fldChar w:fldCharType="separate"/>
    </w:r>
    <w:r>
      <w:t>1</w:t>
    </w:r>
    <w:r w:rsidRPr="00C626B8">
      <w:fldChar w:fldCharType="end"/>
    </w:r>
  </w:p>
  <w:p w14:paraId="75107E92" w14:textId="77777777" w:rsidR="00762A6F" w:rsidRPr="00C626B8" w:rsidRDefault="00762A6F" w:rsidP="00762A6F">
    <w:pPr>
      <w:pStyle w:val="Header"/>
      <w:jc w:val="right"/>
      <w:rPr>
        <w:szCs w:val="22"/>
      </w:rPr>
    </w:pPr>
  </w:p>
  <w:p w14:paraId="196D867D" w14:textId="77777777" w:rsidR="00762A6F" w:rsidRDefault="00762A6F" w:rsidP="00762A6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52F14" w14:textId="78934F4C" w:rsidR="00A13B39" w:rsidRPr="00F94944" w:rsidRDefault="00A13B39" w:rsidP="00F94944">
    <w:pPr>
      <w:pStyle w:val="Header"/>
      <w:jc w:val="right"/>
      <w:rPr>
        <w:sz w:val="20"/>
      </w:rPr>
    </w:pPr>
    <w:r w:rsidRPr="00F94944">
      <w:rPr>
        <w:sz w:val="20"/>
      </w:rPr>
      <w:t>CWS/12/19</w:t>
    </w:r>
    <w:r w:rsidR="009F72D7">
      <w:rPr>
        <w:sz w:val="20"/>
      </w:rPr>
      <w:t xml:space="preserve"> Rev.</w:t>
    </w:r>
  </w:p>
  <w:p w14:paraId="311BD567" w14:textId="0F1BD5BE" w:rsidR="00A13B39" w:rsidRPr="00F94944" w:rsidRDefault="00A13B39" w:rsidP="00F94944">
    <w:pPr>
      <w:pStyle w:val="Header"/>
      <w:jc w:val="right"/>
      <w:rPr>
        <w:sz w:val="20"/>
      </w:rPr>
    </w:pPr>
    <w:r w:rsidRPr="00F94944">
      <w:rPr>
        <w:sz w:val="20"/>
      </w:rPr>
      <w:t xml:space="preserve">Anexo II, página </w:t>
    </w:r>
    <w:r w:rsidRPr="00F94944">
      <w:rPr>
        <w:sz w:val="20"/>
      </w:rPr>
      <w:fldChar w:fldCharType="begin"/>
    </w:r>
    <w:r w:rsidRPr="00F94944">
      <w:rPr>
        <w:sz w:val="20"/>
      </w:rPr>
      <w:instrText xml:space="preserve"> PAGE  \* Arabic  \* MERGEFORMAT </w:instrText>
    </w:r>
    <w:r w:rsidRPr="00F94944">
      <w:rPr>
        <w:sz w:val="20"/>
      </w:rPr>
      <w:fldChar w:fldCharType="separate"/>
    </w:r>
    <w:r w:rsidRPr="00F94944">
      <w:rPr>
        <w:sz w:val="20"/>
      </w:rPr>
      <w:t>6</w:t>
    </w:r>
    <w:r w:rsidRPr="00F94944">
      <w:rPr>
        <w:sz w:val="20"/>
      </w:rPr>
      <w:fldChar w:fldCharType="end"/>
    </w:r>
  </w:p>
  <w:p w14:paraId="463ABC63" w14:textId="77777777" w:rsidR="00A13B39" w:rsidRPr="00F94944" w:rsidRDefault="00A13B39" w:rsidP="00F94944">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D75C" w14:textId="75284796" w:rsidR="005B6AF3" w:rsidRPr="00F94944" w:rsidRDefault="005B6AF3" w:rsidP="005B6AF3">
    <w:pPr>
      <w:pStyle w:val="Header"/>
      <w:jc w:val="right"/>
      <w:rPr>
        <w:sz w:val="20"/>
      </w:rPr>
    </w:pPr>
    <w:r w:rsidRPr="00F94944">
      <w:rPr>
        <w:sz w:val="20"/>
      </w:rPr>
      <w:t>CWS/12/19</w:t>
    </w:r>
    <w:r w:rsidR="00F458D4">
      <w:rPr>
        <w:sz w:val="20"/>
      </w:rPr>
      <w:t xml:space="preserve"> Rev.</w:t>
    </w:r>
  </w:p>
  <w:p w14:paraId="16578F5B" w14:textId="6F3B139B" w:rsidR="005B6AF3" w:rsidRPr="00F94944" w:rsidRDefault="00F94944" w:rsidP="00F94944">
    <w:pPr>
      <w:pStyle w:val="Header"/>
      <w:jc w:val="right"/>
      <w:rPr>
        <w:sz w:val="20"/>
      </w:rPr>
    </w:pPr>
    <w:r w:rsidRPr="00F94944">
      <w:rPr>
        <w:sz w:val="20"/>
      </w:rPr>
      <w:t xml:space="preserve">ANEXO </w:t>
    </w:r>
    <w:r w:rsidR="005B6AF3" w:rsidRPr="00F94944">
      <w:rPr>
        <w:sz w:val="20"/>
      </w:rPr>
      <w:t>II</w:t>
    </w:r>
  </w:p>
  <w:p w14:paraId="68073CB4" w14:textId="77777777" w:rsidR="00F94944" w:rsidRPr="00F94944" w:rsidRDefault="00F94944" w:rsidP="00F94944">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845D2"/>
    <w:multiLevelType w:val="hybridMultilevel"/>
    <w:tmpl w:val="4F68B9F4"/>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9590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8627C"/>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1842A3"/>
    <w:multiLevelType w:val="hybridMultilevel"/>
    <w:tmpl w:val="672C72E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6601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04CC5"/>
    <w:multiLevelType w:val="hybridMultilevel"/>
    <w:tmpl w:val="FDAA190A"/>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E1D8A5F4">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729FF"/>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B34D01"/>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15:restartNumberingAfterBreak="0">
    <w:nsid w:val="135136EB"/>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F93B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2F2534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D071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463B8"/>
    <w:multiLevelType w:val="hybridMultilevel"/>
    <w:tmpl w:val="4B381CFC"/>
    <w:lvl w:ilvl="0" w:tplc="2AAECE6E">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6" w15:restartNumberingAfterBreak="0">
    <w:nsid w:val="31F664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22E4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822DA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E2930"/>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7639A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17FF5"/>
    <w:multiLevelType w:val="hybridMultilevel"/>
    <w:tmpl w:val="2236F568"/>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E1D8A5F4">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1C728B"/>
    <w:multiLevelType w:val="hybridMultilevel"/>
    <w:tmpl w:val="9112C676"/>
    <w:lvl w:ilvl="0" w:tplc="377CEB1E">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C7AEA"/>
    <w:multiLevelType w:val="hybridMultilevel"/>
    <w:tmpl w:val="38F6A502"/>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CB4338"/>
    <w:multiLevelType w:val="hybridMultilevel"/>
    <w:tmpl w:val="DF50AC4E"/>
    <w:lvl w:ilvl="0" w:tplc="C794156A">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E5605708">
      <w:numFmt w:val="bullet"/>
      <w:lvlText w:val="•"/>
      <w:lvlJc w:val="left"/>
      <w:pPr>
        <w:ind w:left="853" w:hanging="425"/>
      </w:pPr>
      <w:rPr>
        <w:rFonts w:hint="default"/>
        <w:lang w:val="en-US" w:eastAsia="en-US" w:bidi="ar-SA"/>
      </w:rPr>
    </w:lvl>
    <w:lvl w:ilvl="2" w:tplc="5D4CB9B0">
      <w:numFmt w:val="bullet"/>
      <w:lvlText w:val="•"/>
      <w:lvlJc w:val="left"/>
      <w:pPr>
        <w:ind w:left="1146" w:hanging="425"/>
      </w:pPr>
      <w:rPr>
        <w:rFonts w:hint="default"/>
        <w:lang w:val="en-US" w:eastAsia="en-US" w:bidi="ar-SA"/>
      </w:rPr>
    </w:lvl>
    <w:lvl w:ilvl="3" w:tplc="0504E7B8">
      <w:numFmt w:val="bullet"/>
      <w:lvlText w:val="•"/>
      <w:lvlJc w:val="left"/>
      <w:pPr>
        <w:ind w:left="1439" w:hanging="425"/>
      </w:pPr>
      <w:rPr>
        <w:rFonts w:hint="default"/>
        <w:lang w:val="en-US" w:eastAsia="en-US" w:bidi="ar-SA"/>
      </w:rPr>
    </w:lvl>
    <w:lvl w:ilvl="4" w:tplc="3294B7E4">
      <w:numFmt w:val="bullet"/>
      <w:lvlText w:val="•"/>
      <w:lvlJc w:val="left"/>
      <w:pPr>
        <w:ind w:left="1732" w:hanging="425"/>
      </w:pPr>
      <w:rPr>
        <w:rFonts w:hint="default"/>
        <w:lang w:val="en-US" w:eastAsia="en-US" w:bidi="ar-SA"/>
      </w:rPr>
    </w:lvl>
    <w:lvl w:ilvl="5" w:tplc="3042CA48">
      <w:numFmt w:val="bullet"/>
      <w:lvlText w:val="•"/>
      <w:lvlJc w:val="left"/>
      <w:pPr>
        <w:ind w:left="2025" w:hanging="425"/>
      </w:pPr>
      <w:rPr>
        <w:rFonts w:hint="default"/>
        <w:lang w:val="en-US" w:eastAsia="en-US" w:bidi="ar-SA"/>
      </w:rPr>
    </w:lvl>
    <w:lvl w:ilvl="6" w:tplc="E0D61DAA">
      <w:numFmt w:val="bullet"/>
      <w:lvlText w:val="•"/>
      <w:lvlJc w:val="left"/>
      <w:pPr>
        <w:ind w:left="2318" w:hanging="425"/>
      </w:pPr>
      <w:rPr>
        <w:rFonts w:hint="default"/>
        <w:lang w:val="en-US" w:eastAsia="en-US" w:bidi="ar-SA"/>
      </w:rPr>
    </w:lvl>
    <w:lvl w:ilvl="7" w:tplc="8670F07E">
      <w:numFmt w:val="bullet"/>
      <w:lvlText w:val="•"/>
      <w:lvlJc w:val="left"/>
      <w:pPr>
        <w:ind w:left="2611" w:hanging="425"/>
      </w:pPr>
      <w:rPr>
        <w:rFonts w:hint="default"/>
        <w:lang w:val="en-US" w:eastAsia="en-US" w:bidi="ar-SA"/>
      </w:rPr>
    </w:lvl>
    <w:lvl w:ilvl="8" w:tplc="A46AF400">
      <w:numFmt w:val="bullet"/>
      <w:lvlText w:val="•"/>
      <w:lvlJc w:val="left"/>
      <w:pPr>
        <w:ind w:left="2904" w:hanging="425"/>
      </w:pPr>
      <w:rPr>
        <w:rFonts w:hint="default"/>
        <w:lang w:val="en-US" w:eastAsia="en-US" w:bidi="ar-SA"/>
      </w:rPr>
    </w:lvl>
  </w:abstractNum>
  <w:abstractNum w:abstractNumId="28" w15:restartNumberingAfterBreak="0">
    <w:nsid w:val="5F020C9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2C62CE"/>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986D96"/>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1B54B2"/>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71258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D40839"/>
    <w:multiLevelType w:val="hybridMultilevel"/>
    <w:tmpl w:val="81F62604"/>
    <w:lvl w:ilvl="0" w:tplc="DC3211F0">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77B0E"/>
    <w:multiLevelType w:val="hybridMultilevel"/>
    <w:tmpl w:val="1EB2D560"/>
    <w:lvl w:ilvl="0" w:tplc="8B7A67F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C519B"/>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0" w15:restartNumberingAfterBreak="0">
    <w:nsid w:val="714949A9"/>
    <w:multiLevelType w:val="hybridMultilevel"/>
    <w:tmpl w:val="9F9CD21E"/>
    <w:lvl w:ilvl="0" w:tplc="0409000F">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8A6199"/>
    <w:multiLevelType w:val="hybridMultilevel"/>
    <w:tmpl w:val="1AC430B6"/>
    <w:lvl w:ilvl="0" w:tplc="3ECEDC8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674A77"/>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0117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530701">
    <w:abstractNumId w:val="20"/>
  </w:num>
  <w:num w:numId="2" w16cid:durableId="2075421824">
    <w:abstractNumId w:val="3"/>
  </w:num>
  <w:num w:numId="3" w16cid:durableId="624118026">
    <w:abstractNumId w:val="11"/>
  </w:num>
  <w:num w:numId="4" w16cid:durableId="1289553049">
    <w:abstractNumId w:val="33"/>
  </w:num>
  <w:num w:numId="5" w16cid:durableId="2124568691">
    <w:abstractNumId w:val="13"/>
  </w:num>
  <w:num w:numId="6" w16cid:durableId="1731077999">
    <w:abstractNumId w:val="32"/>
  </w:num>
  <w:num w:numId="7" w16cid:durableId="186218219">
    <w:abstractNumId w:val="25"/>
  </w:num>
  <w:num w:numId="8" w16cid:durableId="495728198">
    <w:abstractNumId w:val="37"/>
  </w:num>
  <w:num w:numId="9" w16cid:durableId="931619962">
    <w:abstractNumId w:val="23"/>
  </w:num>
  <w:num w:numId="10" w16cid:durableId="1714572864">
    <w:abstractNumId w:val="26"/>
  </w:num>
  <w:num w:numId="11" w16cid:durableId="1496994938">
    <w:abstractNumId w:val="24"/>
  </w:num>
  <w:num w:numId="12" w16cid:durableId="1638679843">
    <w:abstractNumId w:val="22"/>
  </w:num>
  <w:num w:numId="13" w16cid:durableId="699204913">
    <w:abstractNumId w:val="30"/>
  </w:num>
  <w:num w:numId="14" w16cid:durableId="2079130893">
    <w:abstractNumId w:val="41"/>
  </w:num>
  <w:num w:numId="15" w16cid:durableId="1180201478">
    <w:abstractNumId w:val="6"/>
  </w:num>
  <w:num w:numId="16" w16cid:durableId="223639962">
    <w:abstractNumId w:val="29"/>
  </w:num>
  <w:num w:numId="17" w16cid:durableId="1862746180">
    <w:abstractNumId w:val="19"/>
  </w:num>
  <w:num w:numId="18" w16cid:durableId="2094084656">
    <w:abstractNumId w:val="39"/>
  </w:num>
  <w:num w:numId="19" w16cid:durableId="321810592">
    <w:abstractNumId w:val="18"/>
  </w:num>
  <w:num w:numId="20" w16cid:durableId="727193176">
    <w:abstractNumId w:val="1"/>
  </w:num>
  <w:num w:numId="21" w16cid:durableId="1105344211">
    <w:abstractNumId w:val="10"/>
  </w:num>
  <w:num w:numId="22" w16cid:durableId="806093341">
    <w:abstractNumId w:val="8"/>
  </w:num>
  <w:num w:numId="23" w16cid:durableId="1670594312">
    <w:abstractNumId w:val="5"/>
  </w:num>
  <w:num w:numId="24" w16cid:durableId="1291014977">
    <w:abstractNumId w:val="36"/>
  </w:num>
  <w:num w:numId="25" w16cid:durableId="1431505284">
    <w:abstractNumId w:val="12"/>
  </w:num>
  <w:num w:numId="26" w16cid:durableId="620576683">
    <w:abstractNumId w:val="16"/>
  </w:num>
  <w:num w:numId="27" w16cid:durableId="1654678804">
    <w:abstractNumId w:val="28"/>
  </w:num>
  <w:num w:numId="28" w16cid:durableId="885484829">
    <w:abstractNumId w:val="15"/>
  </w:num>
  <w:num w:numId="29" w16cid:durableId="396440666">
    <w:abstractNumId w:val="17"/>
  </w:num>
  <w:num w:numId="30" w16cid:durableId="164244788">
    <w:abstractNumId w:val="14"/>
  </w:num>
  <w:num w:numId="31" w16cid:durableId="1367952403">
    <w:abstractNumId w:val="38"/>
  </w:num>
  <w:num w:numId="32" w16cid:durableId="563373400">
    <w:abstractNumId w:val="21"/>
  </w:num>
  <w:num w:numId="33" w16cid:durableId="508328555">
    <w:abstractNumId w:val="2"/>
  </w:num>
  <w:num w:numId="34" w16cid:durableId="2116947704">
    <w:abstractNumId w:val="31"/>
  </w:num>
  <w:num w:numId="35" w16cid:durableId="1512989564">
    <w:abstractNumId w:val="9"/>
  </w:num>
  <w:num w:numId="36" w16cid:durableId="1451050430">
    <w:abstractNumId w:val="34"/>
  </w:num>
  <w:num w:numId="37" w16cid:durableId="944192390">
    <w:abstractNumId w:val="42"/>
  </w:num>
  <w:num w:numId="38" w16cid:durableId="1111971069">
    <w:abstractNumId w:val="43"/>
  </w:num>
  <w:num w:numId="39" w16cid:durableId="1960644633">
    <w:abstractNumId w:val="4"/>
  </w:num>
  <w:num w:numId="40" w16cid:durableId="280379985">
    <w:abstractNumId w:val="40"/>
  </w:num>
  <w:num w:numId="41" w16cid:durableId="2031639862">
    <w:abstractNumId w:val="0"/>
  </w:num>
  <w:num w:numId="42" w16cid:durableId="1901135542">
    <w:abstractNumId w:val="35"/>
  </w:num>
  <w:num w:numId="43" w16cid:durableId="1342780173">
    <w:abstractNumId w:val="7"/>
  </w:num>
  <w:num w:numId="44" w16cid:durableId="1756631779">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ctiveWritingStyle w:appName="MSWord" w:lang="fr-CH"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411C"/>
    <w:rsid w:val="00004790"/>
    <w:rsid w:val="00005B98"/>
    <w:rsid w:val="0000695D"/>
    <w:rsid w:val="00006AD3"/>
    <w:rsid w:val="000076EB"/>
    <w:rsid w:val="00010912"/>
    <w:rsid w:val="00012634"/>
    <w:rsid w:val="0001307F"/>
    <w:rsid w:val="000159AF"/>
    <w:rsid w:val="000171FA"/>
    <w:rsid w:val="000216C4"/>
    <w:rsid w:val="0002178B"/>
    <w:rsid w:val="00021A17"/>
    <w:rsid w:val="00023181"/>
    <w:rsid w:val="00025D2B"/>
    <w:rsid w:val="00026707"/>
    <w:rsid w:val="00030118"/>
    <w:rsid w:val="00033557"/>
    <w:rsid w:val="00035FC1"/>
    <w:rsid w:val="000377E3"/>
    <w:rsid w:val="00043535"/>
    <w:rsid w:val="000435C3"/>
    <w:rsid w:val="00052BC5"/>
    <w:rsid w:val="00054664"/>
    <w:rsid w:val="000551CE"/>
    <w:rsid w:val="00056F7E"/>
    <w:rsid w:val="00057FE5"/>
    <w:rsid w:val="0006031D"/>
    <w:rsid w:val="000613A4"/>
    <w:rsid w:val="00062B0D"/>
    <w:rsid w:val="00063264"/>
    <w:rsid w:val="00063CE2"/>
    <w:rsid w:val="00064265"/>
    <w:rsid w:val="00071087"/>
    <w:rsid w:val="000730C1"/>
    <w:rsid w:val="00074658"/>
    <w:rsid w:val="00075EDA"/>
    <w:rsid w:val="000779BE"/>
    <w:rsid w:val="00077ECE"/>
    <w:rsid w:val="00081591"/>
    <w:rsid w:val="00082D23"/>
    <w:rsid w:val="00083B7D"/>
    <w:rsid w:val="00084B82"/>
    <w:rsid w:val="0008624E"/>
    <w:rsid w:val="0008761A"/>
    <w:rsid w:val="000876D4"/>
    <w:rsid w:val="0008793C"/>
    <w:rsid w:val="00087F49"/>
    <w:rsid w:val="0009122A"/>
    <w:rsid w:val="000916A6"/>
    <w:rsid w:val="00091D2C"/>
    <w:rsid w:val="0009399C"/>
    <w:rsid w:val="000948EF"/>
    <w:rsid w:val="0009580B"/>
    <w:rsid w:val="00096D76"/>
    <w:rsid w:val="0009786B"/>
    <w:rsid w:val="000A162F"/>
    <w:rsid w:val="000A37EB"/>
    <w:rsid w:val="000A3AA1"/>
    <w:rsid w:val="000A3EF3"/>
    <w:rsid w:val="000A7995"/>
    <w:rsid w:val="000B2E9D"/>
    <w:rsid w:val="000B3077"/>
    <w:rsid w:val="000B3E93"/>
    <w:rsid w:val="000B3F9E"/>
    <w:rsid w:val="000B5000"/>
    <w:rsid w:val="000B753F"/>
    <w:rsid w:val="000C1D2A"/>
    <w:rsid w:val="000C2BCA"/>
    <w:rsid w:val="000C32AD"/>
    <w:rsid w:val="000C3E47"/>
    <w:rsid w:val="000C40C6"/>
    <w:rsid w:val="000C4B55"/>
    <w:rsid w:val="000D0C16"/>
    <w:rsid w:val="000D129E"/>
    <w:rsid w:val="000D22D5"/>
    <w:rsid w:val="000D7129"/>
    <w:rsid w:val="000D733E"/>
    <w:rsid w:val="000D7DC0"/>
    <w:rsid w:val="000E0957"/>
    <w:rsid w:val="000E3B76"/>
    <w:rsid w:val="000E523C"/>
    <w:rsid w:val="000E53F0"/>
    <w:rsid w:val="000E6A67"/>
    <w:rsid w:val="000F13AD"/>
    <w:rsid w:val="000F15A0"/>
    <w:rsid w:val="000F48A8"/>
    <w:rsid w:val="000F537B"/>
    <w:rsid w:val="000F54CC"/>
    <w:rsid w:val="000F5E56"/>
    <w:rsid w:val="000F6529"/>
    <w:rsid w:val="000F6AEF"/>
    <w:rsid w:val="000F7F3F"/>
    <w:rsid w:val="00100A06"/>
    <w:rsid w:val="00106A1A"/>
    <w:rsid w:val="001075A4"/>
    <w:rsid w:val="0011083B"/>
    <w:rsid w:val="00120D16"/>
    <w:rsid w:val="001219E2"/>
    <w:rsid w:val="00121A15"/>
    <w:rsid w:val="00121F0F"/>
    <w:rsid w:val="001228E2"/>
    <w:rsid w:val="001233B1"/>
    <w:rsid w:val="0012353B"/>
    <w:rsid w:val="00124D06"/>
    <w:rsid w:val="00125E9B"/>
    <w:rsid w:val="001333CA"/>
    <w:rsid w:val="001346E6"/>
    <w:rsid w:val="001358E7"/>
    <w:rsid w:val="001364E6"/>
    <w:rsid w:val="001371A3"/>
    <w:rsid w:val="0014038B"/>
    <w:rsid w:val="00140D4D"/>
    <w:rsid w:val="0014142B"/>
    <w:rsid w:val="001424E4"/>
    <w:rsid w:val="001426BB"/>
    <w:rsid w:val="00143089"/>
    <w:rsid w:val="0014523A"/>
    <w:rsid w:val="00145B81"/>
    <w:rsid w:val="0014627D"/>
    <w:rsid w:val="00146B2B"/>
    <w:rsid w:val="00152FFA"/>
    <w:rsid w:val="001531CB"/>
    <w:rsid w:val="001536CF"/>
    <w:rsid w:val="00154A84"/>
    <w:rsid w:val="00156495"/>
    <w:rsid w:val="001575A3"/>
    <w:rsid w:val="00161A86"/>
    <w:rsid w:val="00162429"/>
    <w:rsid w:val="00162ADD"/>
    <w:rsid w:val="0016336C"/>
    <w:rsid w:val="00164081"/>
    <w:rsid w:val="00164E8C"/>
    <w:rsid w:val="0016587D"/>
    <w:rsid w:val="00165E42"/>
    <w:rsid w:val="00167597"/>
    <w:rsid w:val="00167936"/>
    <w:rsid w:val="001705AA"/>
    <w:rsid w:val="00170652"/>
    <w:rsid w:val="001708F5"/>
    <w:rsid w:val="00170B52"/>
    <w:rsid w:val="001713DB"/>
    <w:rsid w:val="00172386"/>
    <w:rsid w:val="00172D36"/>
    <w:rsid w:val="001736E1"/>
    <w:rsid w:val="00175322"/>
    <w:rsid w:val="00176918"/>
    <w:rsid w:val="00177426"/>
    <w:rsid w:val="00177946"/>
    <w:rsid w:val="00180D5D"/>
    <w:rsid w:val="00181949"/>
    <w:rsid w:val="001836EE"/>
    <w:rsid w:val="00184900"/>
    <w:rsid w:val="001852B3"/>
    <w:rsid w:val="0018775C"/>
    <w:rsid w:val="00190F24"/>
    <w:rsid w:val="001910EE"/>
    <w:rsid w:val="00194F40"/>
    <w:rsid w:val="001959AB"/>
    <w:rsid w:val="0019609E"/>
    <w:rsid w:val="001971E0"/>
    <w:rsid w:val="00197741"/>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ED0"/>
    <w:rsid w:val="001B348B"/>
    <w:rsid w:val="001B3F36"/>
    <w:rsid w:val="001B5C8E"/>
    <w:rsid w:val="001B5DA8"/>
    <w:rsid w:val="001B5F88"/>
    <w:rsid w:val="001B710C"/>
    <w:rsid w:val="001C4D18"/>
    <w:rsid w:val="001C60BF"/>
    <w:rsid w:val="001D3A8E"/>
    <w:rsid w:val="001D6ED4"/>
    <w:rsid w:val="001E0838"/>
    <w:rsid w:val="001E0EFB"/>
    <w:rsid w:val="001E1553"/>
    <w:rsid w:val="001E2851"/>
    <w:rsid w:val="001E343D"/>
    <w:rsid w:val="001E3F4E"/>
    <w:rsid w:val="001E40DE"/>
    <w:rsid w:val="001E4268"/>
    <w:rsid w:val="001E47D6"/>
    <w:rsid w:val="001F06D0"/>
    <w:rsid w:val="001F1A76"/>
    <w:rsid w:val="001F2129"/>
    <w:rsid w:val="001F45BD"/>
    <w:rsid w:val="001F5D2F"/>
    <w:rsid w:val="00200079"/>
    <w:rsid w:val="00201583"/>
    <w:rsid w:val="0020513E"/>
    <w:rsid w:val="00205DD2"/>
    <w:rsid w:val="002065E4"/>
    <w:rsid w:val="002075F9"/>
    <w:rsid w:val="00207C45"/>
    <w:rsid w:val="00210C81"/>
    <w:rsid w:val="0021108E"/>
    <w:rsid w:val="00212A8F"/>
    <w:rsid w:val="00212C7A"/>
    <w:rsid w:val="00213111"/>
    <w:rsid w:val="00213473"/>
    <w:rsid w:val="00214ED8"/>
    <w:rsid w:val="00215030"/>
    <w:rsid w:val="002171D0"/>
    <w:rsid w:val="00217ADA"/>
    <w:rsid w:val="00217DDA"/>
    <w:rsid w:val="00224505"/>
    <w:rsid w:val="00225655"/>
    <w:rsid w:val="00232AAA"/>
    <w:rsid w:val="00234787"/>
    <w:rsid w:val="00234B38"/>
    <w:rsid w:val="00236345"/>
    <w:rsid w:val="00236507"/>
    <w:rsid w:val="0024083C"/>
    <w:rsid w:val="00241D9A"/>
    <w:rsid w:val="002435D8"/>
    <w:rsid w:val="002438D0"/>
    <w:rsid w:val="0024690E"/>
    <w:rsid w:val="00254132"/>
    <w:rsid w:val="002566EC"/>
    <w:rsid w:val="00256A41"/>
    <w:rsid w:val="002570E3"/>
    <w:rsid w:val="00260380"/>
    <w:rsid w:val="00262498"/>
    <w:rsid w:val="00262E3E"/>
    <w:rsid w:val="002639EF"/>
    <w:rsid w:val="0026432B"/>
    <w:rsid w:val="0026463D"/>
    <w:rsid w:val="00264AA6"/>
    <w:rsid w:val="00265FA7"/>
    <w:rsid w:val="0026761A"/>
    <w:rsid w:val="00271077"/>
    <w:rsid w:val="00272BE9"/>
    <w:rsid w:val="00276F5E"/>
    <w:rsid w:val="00277827"/>
    <w:rsid w:val="0028058A"/>
    <w:rsid w:val="00280A4E"/>
    <w:rsid w:val="0028389C"/>
    <w:rsid w:val="00285826"/>
    <w:rsid w:val="00287596"/>
    <w:rsid w:val="002904BC"/>
    <w:rsid w:val="0029059E"/>
    <w:rsid w:val="00290981"/>
    <w:rsid w:val="00291172"/>
    <w:rsid w:val="00291226"/>
    <w:rsid w:val="002914A4"/>
    <w:rsid w:val="00292148"/>
    <w:rsid w:val="002929A7"/>
    <w:rsid w:val="00292D7F"/>
    <w:rsid w:val="00294534"/>
    <w:rsid w:val="002956F3"/>
    <w:rsid w:val="00295882"/>
    <w:rsid w:val="002965FB"/>
    <w:rsid w:val="00297369"/>
    <w:rsid w:val="00297D13"/>
    <w:rsid w:val="002A0B57"/>
    <w:rsid w:val="002A0EB4"/>
    <w:rsid w:val="002A7E92"/>
    <w:rsid w:val="002B2785"/>
    <w:rsid w:val="002B44A1"/>
    <w:rsid w:val="002B4CD4"/>
    <w:rsid w:val="002B5292"/>
    <w:rsid w:val="002C1035"/>
    <w:rsid w:val="002C125C"/>
    <w:rsid w:val="002C270A"/>
    <w:rsid w:val="002D151A"/>
    <w:rsid w:val="002D1C73"/>
    <w:rsid w:val="002D28D6"/>
    <w:rsid w:val="002D2B82"/>
    <w:rsid w:val="002D2ECF"/>
    <w:rsid w:val="002D592C"/>
    <w:rsid w:val="002D7C6B"/>
    <w:rsid w:val="002E0A4C"/>
    <w:rsid w:val="002E1652"/>
    <w:rsid w:val="002E45B4"/>
    <w:rsid w:val="002E7E8B"/>
    <w:rsid w:val="002F3D4E"/>
    <w:rsid w:val="002F4CFB"/>
    <w:rsid w:val="002F53C1"/>
    <w:rsid w:val="002F5965"/>
    <w:rsid w:val="0030069A"/>
    <w:rsid w:val="00301D3F"/>
    <w:rsid w:val="00302849"/>
    <w:rsid w:val="00302BA6"/>
    <w:rsid w:val="003038A4"/>
    <w:rsid w:val="003041C5"/>
    <w:rsid w:val="003050DD"/>
    <w:rsid w:val="00305E03"/>
    <w:rsid w:val="00307031"/>
    <w:rsid w:val="00310DE0"/>
    <w:rsid w:val="003113EF"/>
    <w:rsid w:val="00312AB8"/>
    <w:rsid w:val="00314072"/>
    <w:rsid w:val="00314C2C"/>
    <w:rsid w:val="00315BA6"/>
    <w:rsid w:val="00315E6D"/>
    <w:rsid w:val="00316BB2"/>
    <w:rsid w:val="00316BF8"/>
    <w:rsid w:val="00321AAC"/>
    <w:rsid w:val="003243AB"/>
    <w:rsid w:val="00324DB5"/>
    <w:rsid w:val="003264EE"/>
    <w:rsid w:val="00327FBD"/>
    <w:rsid w:val="00333732"/>
    <w:rsid w:val="00333B35"/>
    <w:rsid w:val="00333E7E"/>
    <w:rsid w:val="00336592"/>
    <w:rsid w:val="0034190B"/>
    <w:rsid w:val="00342029"/>
    <w:rsid w:val="0034221A"/>
    <w:rsid w:val="003427CC"/>
    <w:rsid w:val="00343A33"/>
    <w:rsid w:val="0034419E"/>
    <w:rsid w:val="00350D32"/>
    <w:rsid w:val="0035150E"/>
    <w:rsid w:val="00351FDC"/>
    <w:rsid w:val="00352A36"/>
    <w:rsid w:val="00353810"/>
    <w:rsid w:val="003552AF"/>
    <w:rsid w:val="003560D4"/>
    <w:rsid w:val="003611ED"/>
    <w:rsid w:val="003625DA"/>
    <w:rsid w:val="00363C7C"/>
    <w:rsid w:val="003643B3"/>
    <w:rsid w:val="00364A84"/>
    <w:rsid w:val="00365612"/>
    <w:rsid w:val="0036577B"/>
    <w:rsid w:val="00366031"/>
    <w:rsid w:val="00367B09"/>
    <w:rsid w:val="00367D2D"/>
    <w:rsid w:val="003714F1"/>
    <w:rsid w:val="00371EC3"/>
    <w:rsid w:val="00372AD0"/>
    <w:rsid w:val="00372D77"/>
    <w:rsid w:val="00372E6F"/>
    <w:rsid w:val="003737B9"/>
    <w:rsid w:val="00376D07"/>
    <w:rsid w:val="003778A5"/>
    <w:rsid w:val="00380617"/>
    <w:rsid w:val="00381E71"/>
    <w:rsid w:val="00383103"/>
    <w:rsid w:val="003860B3"/>
    <w:rsid w:val="003864DD"/>
    <w:rsid w:val="003912A5"/>
    <w:rsid w:val="00391371"/>
    <w:rsid w:val="003922A6"/>
    <w:rsid w:val="003930C3"/>
    <w:rsid w:val="003958B9"/>
    <w:rsid w:val="00395952"/>
    <w:rsid w:val="003A0670"/>
    <w:rsid w:val="003A143C"/>
    <w:rsid w:val="003A364D"/>
    <w:rsid w:val="003A3D8F"/>
    <w:rsid w:val="003A46EF"/>
    <w:rsid w:val="003A5A8D"/>
    <w:rsid w:val="003B08AC"/>
    <w:rsid w:val="003B1271"/>
    <w:rsid w:val="003B1845"/>
    <w:rsid w:val="003B1B21"/>
    <w:rsid w:val="003B1BA7"/>
    <w:rsid w:val="003B3666"/>
    <w:rsid w:val="003B4363"/>
    <w:rsid w:val="003B56BC"/>
    <w:rsid w:val="003B7707"/>
    <w:rsid w:val="003C0137"/>
    <w:rsid w:val="003C0E3C"/>
    <w:rsid w:val="003C2A7B"/>
    <w:rsid w:val="003C3149"/>
    <w:rsid w:val="003C31BA"/>
    <w:rsid w:val="003C334B"/>
    <w:rsid w:val="003C3758"/>
    <w:rsid w:val="003C39B3"/>
    <w:rsid w:val="003C3BC0"/>
    <w:rsid w:val="003C55B6"/>
    <w:rsid w:val="003C626D"/>
    <w:rsid w:val="003D0277"/>
    <w:rsid w:val="003D0960"/>
    <w:rsid w:val="003D0A1C"/>
    <w:rsid w:val="003D2A22"/>
    <w:rsid w:val="003D2CDC"/>
    <w:rsid w:val="003D2F29"/>
    <w:rsid w:val="003D421E"/>
    <w:rsid w:val="003D543D"/>
    <w:rsid w:val="003D669E"/>
    <w:rsid w:val="003D7016"/>
    <w:rsid w:val="003D73C7"/>
    <w:rsid w:val="003E0174"/>
    <w:rsid w:val="003E111A"/>
    <w:rsid w:val="003E1693"/>
    <w:rsid w:val="003E2884"/>
    <w:rsid w:val="003E34B3"/>
    <w:rsid w:val="003E39E7"/>
    <w:rsid w:val="003E3B45"/>
    <w:rsid w:val="003E4664"/>
    <w:rsid w:val="003E49DF"/>
    <w:rsid w:val="003E5CF4"/>
    <w:rsid w:val="003E6827"/>
    <w:rsid w:val="003E6DEE"/>
    <w:rsid w:val="003E6E5E"/>
    <w:rsid w:val="003F041A"/>
    <w:rsid w:val="003F0C97"/>
    <w:rsid w:val="003F16FD"/>
    <w:rsid w:val="003F1AD4"/>
    <w:rsid w:val="003F2B62"/>
    <w:rsid w:val="003F46ED"/>
    <w:rsid w:val="004017E3"/>
    <w:rsid w:val="00404C6A"/>
    <w:rsid w:val="00406689"/>
    <w:rsid w:val="00406B33"/>
    <w:rsid w:val="00410224"/>
    <w:rsid w:val="00411E57"/>
    <w:rsid w:val="00411FBE"/>
    <w:rsid w:val="00414A28"/>
    <w:rsid w:val="004152C3"/>
    <w:rsid w:val="004156B6"/>
    <w:rsid w:val="00416778"/>
    <w:rsid w:val="00417729"/>
    <w:rsid w:val="004206FC"/>
    <w:rsid w:val="0042292A"/>
    <w:rsid w:val="00422983"/>
    <w:rsid w:val="00422E5C"/>
    <w:rsid w:val="00424640"/>
    <w:rsid w:val="004269EA"/>
    <w:rsid w:val="00431F79"/>
    <w:rsid w:val="0043432D"/>
    <w:rsid w:val="0043694E"/>
    <w:rsid w:val="00442DED"/>
    <w:rsid w:val="00443E0C"/>
    <w:rsid w:val="00444802"/>
    <w:rsid w:val="0044712F"/>
    <w:rsid w:val="00450239"/>
    <w:rsid w:val="00451738"/>
    <w:rsid w:val="00452118"/>
    <w:rsid w:val="0045377A"/>
    <w:rsid w:val="00453F4C"/>
    <w:rsid w:val="00456852"/>
    <w:rsid w:val="00456DBE"/>
    <w:rsid w:val="004570C0"/>
    <w:rsid w:val="00457DD4"/>
    <w:rsid w:val="00460166"/>
    <w:rsid w:val="00460F69"/>
    <w:rsid w:val="0046268B"/>
    <w:rsid w:val="0046320B"/>
    <w:rsid w:val="004632A7"/>
    <w:rsid w:val="00464557"/>
    <w:rsid w:val="004650F4"/>
    <w:rsid w:val="00471426"/>
    <w:rsid w:val="00472616"/>
    <w:rsid w:val="004748DB"/>
    <w:rsid w:val="0047766D"/>
    <w:rsid w:val="004804B2"/>
    <w:rsid w:val="00480B5B"/>
    <w:rsid w:val="004825BF"/>
    <w:rsid w:val="00484CB4"/>
    <w:rsid w:val="004900F1"/>
    <w:rsid w:val="0049022B"/>
    <w:rsid w:val="004917D2"/>
    <w:rsid w:val="00492B94"/>
    <w:rsid w:val="00492EBD"/>
    <w:rsid w:val="0049343F"/>
    <w:rsid w:val="00493BFA"/>
    <w:rsid w:val="004945B8"/>
    <w:rsid w:val="004953BB"/>
    <w:rsid w:val="00495C2C"/>
    <w:rsid w:val="00496D95"/>
    <w:rsid w:val="00497C33"/>
    <w:rsid w:val="004A07C9"/>
    <w:rsid w:val="004A2A73"/>
    <w:rsid w:val="004A3F05"/>
    <w:rsid w:val="004A6358"/>
    <w:rsid w:val="004A69D8"/>
    <w:rsid w:val="004A6A4E"/>
    <w:rsid w:val="004A7BFA"/>
    <w:rsid w:val="004B4BCF"/>
    <w:rsid w:val="004B6CD1"/>
    <w:rsid w:val="004B7FCA"/>
    <w:rsid w:val="004C030F"/>
    <w:rsid w:val="004C04C6"/>
    <w:rsid w:val="004C0C09"/>
    <w:rsid w:val="004C3F55"/>
    <w:rsid w:val="004C5641"/>
    <w:rsid w:val="004C5E2F"/>
    <w:rsid w:val="004C5EC3"/>
    <w:rsid w:val="004C610F"/>
    <w:rsid w:val="004C65AA"/>
    <w:rsid w:val="004C674B"/>
    <w:rsid w:val="004C724A"/>
    <w:rsid w:val="004D2EC3"/>
    <w:rsid w:val="004D4794"/>
    <w:rsid w:val="004D4BCF"/>
    <w:rsid w:val="004D5A0C"/>
    <w:rsid w:val="004D6F76"/>
    <w:rsid w:val="004D6FA3"/>
    <w:rsid w:val="004E5561"/>
    <w:rsid w:val="004E5AAA"/>
    <w:rsid w:val="004E691B"/>
    <w:rsid w:val="004E73A8"/>
    <w:rsid w:val="004E77C0"/>
    <w:rsid w:val="004F037F"/>
    <w:rsid w:val="004F08CF"/>
    <w:rsid w:val="004F2BAE"/>
    <w:rsid w:val="004F3573"/>
    <w:rsid w:val="004F405F"/>
    <w:rsid w:val="004F5E19"/>
    <w:rsid w:val="004F6D14"/>
    <w:rsid w:val="00500A32"/>
    <w:rsid w:val="00501FF9"/>
    <w:rsid w:val="00502317"/>
    <w:rsid w:val="005078B2"/>
    <w:rsid w:val="00510151"/>
    <w:rsid w:val="00510B84"/>
    <w:rsid w:val="005125F8"/>
    <w:rsid w:val="00514F25"/>
    <w:rsid w:val="0051701E"/>
    <w:rsid w:val="00520009"/>
    <w:rsid w:val="005211E4"/>
    <w:rsid w:val="00522CF0"/>
    <w:rsid w:val="005233B4"/>
    <w:rsid w:val="00523462"/>
    <w:rsid w:val="00523AFF"/>
    <w:rsid w:val="005251A1"/>
    <w:rsid w:val="00526706"/>
    <w:rsid w:val="005330E1"/>
    <w:rsid w:val="005333B8"/>
    <w:rsid w:val="0053488C"/>
    <w:rsid w:val="00536C94"/>
    <w:rsid w:val="0053742B"/>
    <w:rsid w:val="005374F8"/>
    <w:rsid w:val="00540330"/>
    <w:rsid w:val="005406AB"/>
    <w:rsid w:val="00540FA3"/>
    <w:rsid w:val="00540FB4"/>
    <w:rsid w:val="00543644"/>
    <w:rsid w:val="0054419D"/>
    <w:rsid w:val="005448C2"/>
    <w:rsid w:val="00545D99"/>
    <w:rsid w:val="00546226"/>
    <w:rsid w:val="00546611"/>
    <w:rsid w:val="00547343"/>
    <w:rsid w:val="00551424"/>
    <w:rsid w:val="00560BE4"/>
    <w:rsid w:val="005615F5"/>
    <w:rsid w:val="0056427E"/>
    <w:rsid w:val="00564565"/>
    <w:rsid w:val="005657D5"/>
    <w:rsid w:val="005671E9"/>
    <w:rsid w:val="00567ECF"/>
    <w:rsid w:val="0057199F"/>
    <w:rsid w:val="00571D37"/>
    <w:rsid w:val="005726F0"/>
    <w:rsid w:val="00577028"/>
    <w:rsid w:val="00581CBE"/>
    <w:rsid w:val="00582044"/>
    <w:rsid w:val="005822C7"/>
    <w:rsid w:val="00583F91"/>
    <w:rsid w:val="0058481C"/>
    <w:rsid w:val="00587530"/>
    <w:rsid w:val="005879D2"/>
    <w:rsid w:val="00587EB4"/>
    <w:rsid w:val="00591226"/>
    <w:rsid w:val="005926B1"/>
    <w:rsid w:val="00596F9F"/>
    <w:rsid w:val="005A1D1E"/>
    <w:rsid w:val="005A2279"/>
    <w:rsid w:val="005A4430"/>
    <w:rsid w:val="005A4824"/>
    <w:rsid w:val="005A5802"/>
    <w:rsid w:val="005A5CB3"/>
    <w:rsid w:val="005A62B4"/>
    <w:rsid w:val="005A6609"/>
    <w:rsid w:val="005A6654"/>
    <w:rsid w:val="005A6B7A"/>
    <w:rsid w:val="005B184B"/>
    <w:rsid w:val="005B35A8"/>
    <w:rsid w:val="005B6AF3"/>
    <w:rsid w:val="005C50E3"/>
    <w:rsid w:val="005C5FEB"/>
    <w:rsid w:val="005C64FA"/>
    <w:rsid w:val="005C7C30"/>
    <w:rsid w:val="005D1937"/>
    <w:rsid w:val="005D1F0E"/>
    <w:rsid w:val="005D309D"/>
    <w:rsid w:val="005D35BF"/>
    <w:rsid w:val="005D536D"/>
    <w:rsid w:val="005D55CB"/>
    <w:rsid w:val="005D79AA"/>
    <w:rsid w:val="005D7BDD"/>
    <w:rsid w:val="005E0947"/>
    <w:rsid w:val="005E0F48"/>
    <w:rsid w:val="005E10C9"/>
    <w:rsid w:val="005E1833"/>
    <w:rsid w:val="005E3EE3"/>
    <w:rsid w:val="005E3F73"/>
    <w:rsid w:val="005E40C4"/>
    <w:rsid w:val="005E4B2B"/>
    <w:rsid w:val="005E4F02"/>
    <w:rsid w:val="005E6805"/>
    <w:rsid w:val="005E7CF3"/>
    <w:rsid w:val="005E7FA8"/>
    <w:rsid w:val="005F00F4"/>
    <w:rsid w:val="005F0FBC"/>
    <w:rsid w:val="005F1B9B"/>
    <w:rsid w:val="005F3C2B"/>
    <w:rsid w:val="005F4933"/>
    <w:rsid w:val="005F5893"/>
    <w:rsid w:val="005F7751"/>
    <w:rsid w:val="0060044C"/>
    <w:rsid w:val="006011C4"/>
    <w:rsid w:val="00602161"/>
    <w:rsid w:val="0060222E"/>
    <w:rsid w:val="00602277"/>
    <w:rsid w:val="006062D2"/>
    <w:rsid w:val="0060685F"/>
    <w:rsid w:val="0061037F"/>
    <w:rsid w:val="006104EC"/>
    <w:rsid w:val="0061315E"/>
    <w:rsid w:val="00613F1D"/>
    <w:rsid w:val="00614497"/>
    <w:rsid w:val="006148F4"/>
    <w:rsid w:val="00617555"/>
    <w:rsid w:val="00622F3B"/>
    <w:rsid w:val="00623D72"/>
    <w:rsid w:val="006243F6"/>
    <w:rsid w:val="00624557"/>
    <w:rsid w:val="00624C3D"/>
    <w:rsid w:val="00625086"/>
    <w:rsid w:val="00627FEF"/>
    <w:rsid w:val="0063087E"/>
    <w:rsid w:val="00637681"/>
    <w:rsid w:val="006402BF"/>
    <w:rsid w:val="00640459"/>
    <w:rsid w:val="00640EB2"/>
    <w:rsid w:val="00641CB9"/>
    <w:rsid w:val="00644CAB"/>
    <w:rsid w:val="006478EC"/>
    <w:rsid w:val="00647FCD"/>
    <w:rsid w:val="00650044"/>
    <w:rsid w:val="0065093C"/>
    <w:rsid w:val="00651326"/>
    <w:rsid w:val="00651E35"/>
    <w:rsid w:val="00652D4D"/>
    <w:rsid w:val="00653DA9"/>
    <w:rsid w:val="006551F8"/>
    <w:rsid w:val="0066073F"/>
    <w:rsid w:val="00666B78"/>
    <w:rsid w:val="0066721D"/>
    <w:rsid w:val="006726C7"/>
    <w:rsid w:val="006741F6"/>
    <w:rsid w:val="0067592D"/>
    <w:rsid w:val="0067697B"/>
    <w:rsid w:val="00677494"/>
    <w:rsid w:val="00680202"/>
    <w:rsid w:val="00681A59"/>
    <w:rsid w:val="0068275C"/>
    <w:rsid w:val="00682904"/>
    <w:rsid w:val="00682DC6"/>
    <w:rsid w:val="00684E34"/>
    <w:rsid w:val="00687B3C"/>
    <w:rsid w:val="006921E9"/>
    <w:rsid w:val="006927DA"/>
    <w:rsid w:val="00693C25"/>
    <w:rsid w:val="0069413D"/>
    <w:rsid w:val="00694BE8"/>
    <w:rsid w:val="006951D4"/>
    <w:rsid w:val="006A21FC"/>
    <w:rsid w:val="006A2E10"/>
    <w:rsid w:val="006A3A8D"/>
    <w:rsid w:val="006A5658"/>
    <w:rsid w:val="006A5C39"/>
    <w:rsid w:val="006A6914"/>
    <w:rsid w:val="006A7169"/>
    <w:rsid w:val="006B191B"/>
    <w:rsid w:val="006B26E1"/>
    <w:rsid w:val="006B2EB2"/>
    <w:rsid w:val="006B3A31"/>
    <w:rsid w:val="006B3C6B"/>
    <w:rsid w:val="006B4C09"/>
    <w:rsid w:val="006B5BE7"/>
    <w:rsid w:val="006B789F"/>
    <w:rsid w:val="006C17C9"/>
    <w:rsid w:val="006C1CF0"/>
    <w:rsid w:val="006C239E"/>
    <w:rsid w:val="006C6840"/>
    <w:rsid w:val="006C6C96"/>
    <w:rsid w:val="006D068F"/>
    <w:rsid w:val="006D0AB9"/>
    <w:rsid w:val="006D163B"/>
    <w:rsid w:val="006D5BF5"/>
    <w:rsid w:val="006D6830"/>
    <w:rsid w:val="006D68FD"/>
    <w:rsid w:val="006D7410"/>
    <w:rsid w:val="006D7C83"/>
    <w:rsid w:val="006E00C6"/>
    <w:rsid w:val="006E02DC"/>
    <w:rsid w:val="006E1A45"/>
    <w:rsid w:val="006E4368"/>
    <w:rsid w:val="006F197C"/>
    <w:rsid w:val="006F3158"/>
    <w:rsid w:val="006F4947"/>
    <w:rsid w:val="006F5543"/>
    <w:rsid w:val="006F5AAB"/>
    <w:rsid w:val="006F7168"/>
    <w:rsid w:val="00702AD1"/>
    <w:rsid w:val="0070352D"/>
    <w:rsid w:val="00705189"/>
    <w:rsid w:val="007061A1"/>
    <w:rsid w:val="00707367"/>
    <w:rsid w:val="00707CA5"/>
    <w:rsid w:val="00707F44"/>
    <w:rsid w:val="00710C71"/>
    <w:rsid w:val="00711F21"/>
    <w:rsid w:val="0071275D"/>
    <w:rsid w:val="00716B1D"/>
    <w:rsid w:val="0071706B"/>
    <w:rsid w:val="0071767A"/>
    <w:rsid w:val="00717D5B"/>
    <w:rsid w:val="007208E7"/>
    <w:rsid w:val="00720FEB"/>
    <w:rsid w:val="007229F1"/>
    <w:rsid w:val="00723B55"/>
    <w:rsid w:val="007241C1"/>
    <w:rsid w:val="007242B1"/>
    <w:rsid w:val="00724C36"/>
    <w:rsid w:val="00725D6D"/>
    <w:rsid w:val="0072620F"/>
    <w:rsid w:val="00727432"/>
    <w:rsid w:val="00730C59"/>
    <w:rsid w:val="007314A2"/>
    <w:rsid w:val="00731BB8"/>
    <w:rsid w:val="0073314D"/>
    <w:rsid w:val="0073439E"/>
    <w:rsid w:val="00737751"/>
    <w:rsid w:val="00742D66"/>
    <w:rsid w:val="0074404D"/>
    <w:rsid w:val="0074611E"/>
    <w:rsid w:val="007517CB"/>
    <w:rsid w:val="00752487"/>
    <w:rsid w:val="007539AF"/>
    <w:rsid w:val="00754AD5"/>
    <w:rsid w:val="007550A6"/>
    <w:rsid w:val="007552A1"/>
    <w:rsid w:val="00760A12"/>
    <w:rsid w:val="00762A6F"/>
    <w:rsid w:val="007638B7"/>
    <w:rsid w:val="00763B67"/>
    <w:rsid w:val="0076503A"/>
    <w:rsid w:val="0076636B"/>
    <w:rsid w:val="007704CC"/>
    <w:rsid w:val="00770B79"/>
    <w:rsid w:val="007719FC"/>
    <w:rsid w:val="00772A95"/>
    <w:rsid w:val="00773930"/>
    <w:rsid w:val="00775CD1"/>
    <w:rsid w:val="00777764"/>
    <w:rsid w:val="007777EA"/>
    <w:rsid w:val="00777ACA"/>
    <w:rsid w:val="007842CF"/>
    <w:rsid w:val="0078497F"/>
    <w:rsid w:val="00787F25"/>
    <w:rsid w:val="007903E4"/>
    <w:rsid w:val="007921ED"/>
    <w:rsid w:val="00792B04"/>
    <w:rsid w:val="00793496"/>
    <w:rsid w:val="00794372"/>
    <w:rsid w:val="007960D1"/>
    <w:rsid w:val="007A410E"/>
    <w:rsid w:val="007A4E66"/>
    <w:rsid w:val="007A74FB"/>
    <w:rsid w:val="007A7DDE"/>
    <w:rsid w:val="007B1803"/>
    <w:rsid w:val="007B312C"/>
    <w:rsid w:val="007B4865"/>
    <w:rsid w:val="007B4EA2"/>
    <w:rsid w:val="007B5CAC"/>
    <w:rsid w:val="007B6917"/>
    <w:rsid w:val="007B75DB"/>
    <w:rsid w:val="007B7698"/>
    <w:rsid w:val="007C05B8"/>
    <w:rsid w:val="007C2633"/>
    <w:rsid w:val="007C530B"/>
    <w:rsid w:val="007C5BF4"/>
    <w:rsid w:val="007C5C61"/>
    <w:rsid w:val="007C66B9"/>
    <w:rsid w:val="007C7907"/>
    <w:rsid w:val="007D3D27"/>
    <w:rsid w:val="007D4230"/>
    <w:rsid w:val="007D52CF"/>
    <w:rsid w:val="007D5A57"/>
    <w:rsid w:val="007D7599"/>
    <w:rsid w:val="007E1FFC"/>
    <w:rsid w:val="007E33FD"/>
    <w:rsid w:val="007E4D48"/>
    <w:rsid w:val="007E513E"/>
    <w:rsid w:val="007E5E67"/>
    <w:rsid w:val="007E6670"/>
    <w:rsid w:val="007F099A"/>
    <w:rsid w:val="007F410D"/>
    <w:rsid w:val="007F411F"/>
    <w:rsid w:val="007F5011"/>
    <w:rsid w:val="007F5DA9"/>
    <w:rsid w:val="00800574"/>
    <w:rsid w:val="00800940"/>
    <w:rsid w:val="00801BEE"/>
    <w:rsid w:val="008020F5"/>
    <w:rsid w:val="008024C7"/>
    <w:rsid w:val="00804FB9"/>
    <w:rsid w:val="0080580E"/>
    <w:rsid w:val="00805D06"/>
    <w:rsid w:val="00805E00"/>
    <w:rsid w:val="00812F7C"/>
    <w:rsid w:val="008133FE"/>
    <w:rsid w:val="00813844"/>
    <w:rsid w:val="00814E95"/>
    <w:rsid w:val="00815A90"/>
    <w:rsid w:val="0082003A"/>
    <w:rsid w:val="008201C8"/>
    <w:rsid w:val="0082126B"/>
    <w:rsid w:val="008219C8"/>
    <w:rsid w:val="008227CE"/>
    <w:rsid w:val="0082294B"/>
    <w:rsid w:val="008232F9"/>
    <w:rsid w:val="00823E77"/>
    <w:rsid w:val="00824A2F"/>
    <w:rsid w:val="00825424"/>
    <w:rsid w:val="0082555E"/>
    <w:rsid w:val="00825678"/>
    <w:rsid w:val="00826718"/>
    <w:rsid w:val="008270F0"/>
    <w:rsid w:val="00831F87"/>
    <w:rsid w:val="00834440"/>
    <w:rsid w:val="00834930"/>
    <w:rsid w:val="00835BBE"/>
    <w:rsid w:val="008369F4"/>
    <w:rsid w:val="00837F50"/>
    <w:rsid w:val="00840A36"/>
    <w:rsid w:val="008447DD"/>
    <w:rsid w:val="00844C92"/>
    <w:rsid w:val="00845C6A"/>
    <w:rsid w:val="00847EAB"/>
    <w:rsid w:val="0085128B"/>
    <w:rsid w:val="00851801"/>
    <w:rsid w:val="008519E8"/>
    <w:rsid w:val="008527F6"/>
    <w:rsid w:val="00854294"/>
    <w:rsid w:val="00854E2F"/>
    <w:rsid w:val="00856A3C"/>
    <w:rsid w:val="00857535"/>
    <w:rsid w:val="0085788D"/>
    <w:rsid w:val="008631F9"/>
    <w:rsid w:val="00865C28"/>
    <w:rsid w:val="00867095"/>
    <w:rsid w:val="008672EA"/>
    <w:rsid w:val="00867AD4"/>
    <w:rsid w:val="00873D94"/>
    <w:rsid w:val="00875277"/>
    <w:rsid w:val="008753C8"/>
    <w:rsid w:val="00876112"/>
    <w:rsid w:val="00883271"/>
    <w:rsid w:val="008874A5"/>
    <w:rsid w:val="00887A04"/>
    <w:rsid w:val="00890111"/>
    <w:rsid w:val="008902DC"/>
    <w:rsid w:val="00890E82"/>
    <w:rsid w:val="0089117B"/>
    <w:rsid w:val="0089221C"/>
    <w:rsid w:val="00892375"/>
    <w:rsid w:val="00896814"/>
    <w:rsid w:val="008A04DA"/>
    <w:rsid w:val="008A189B"/>
    <w:rsid w:val="008A20A9"/>
    <w:rsid w:val="008A2921"/>
    <w:rsid w:val="008A5327"/>
    <w:rsid w:val="008A5B7C"/>
    <w:rsid w:val="008A6604"/>
    <w:rsid w:val="008A76CA"/>
    <w:rsid w:val="008B0360"/>
    <w:rsid w:val="008B0544"/>
    <w:rsid w:val="008B05D0"/>
    <w:rsid w:val="008B0BF6"/>
    <w:rsid w:val="008B10D3"/>
    <w:rsid w:val="008B254A"/>
    <w:rsid w:val="008B2B9A"/>
    <w:rsid w:val="008B3A45"/>
    <w:rsid w:val="008B4518"/>
    <w:rsid w:val="008C1893"/>
    <w:rsid w:val="008C262B"/>
    <w:rsid w:val="008C3E11"/>
    <w:rsid w:val="008C5D16"/>
    <w:rsid w:val="008C7601"/>
    <w:rsid w:val="008C78F9"/>
    <w:rsid w:val="008C7992"/>
    <w:rsid w:val="008C7D41"/>
    <w:rsid w:val="008D0FC6"/>
    <w:rsid w:val="008D171C"/>
    <w:rsid w:val="008D1AEF"/>
    <w:rsid w:val="008D299E"/>
    <w:rsid w:val="008D3EBB"/>
    <w:rsid w:val="008D5561"/>
    <w:rsid w:val="008D622C"/>
    <w:rsid w:val="008D7119"/>
    <w:rsid w:val="008D7918"/>
    <w:rsid w:val="008D7D29"/>
    <w:rsid w:val="008E4371"/>
    <w:rsid w:val="008E56BF"/>
    <w:rsid w:val="008F1B3F"/>
    <w:rsid w:val="008F2B0B"/>
    <w:rsid w:val="008F4A0B"/>
    <w:rsid w:val="008F4ACE"/>
    <w:rsid w:val="00900897"/>
    <w:rsid w:val="00900FDA"/>
    <w:rsid w:val="00901F24"/>
    <w:rsid w:val="009040E8"/>
    <w:rsid w:val="00904F06"/>
    <w:rsid w:val="00905C05"/>
    <w:rsid w:val="00906F5B"/>
    <w:rsid w:val="009124B9"/>
    <w:rsid w:val="0091743C"/>
    <w:rsid w:val="0092116C"/>
    <w:rsid w:val="00921524"/>
    <w:rsid w:val="00921FEB"/>
    <w:rsid w:val="00925A12"/>
    <w:rsid w:val="00926A9E"/>
    <w:rsid w:val="00927045"/>
    <w:rsid w:val="009279E0"/>
    <w:rsid w:val="0093024C"/>
    <w:rsid w:val="00931539"/>
    <w:rsid w:val="00932B6C"/>
    <w:rsid w:val="00934CC3"/>
    <w:rsid w:val="0093561D"/>
    <w:rsid w:val="00935D7B"/>
    <w:rsid w:val="00936222"/>
    <w:rsid w:val="009426EC"/>
    <w:rsid w:val="00943A79"/>
    <w:rsid w:val="00944C2E"/>
    <w:rsid w:val="00946B82"/>
    <w:rsid w:val="00947640"/>
    <w:rsid w:val="00951498"/>
    <w:rsid w:val="00953814"/>
    <w:rsid w:val="00954736"/>
    <w:rsid w:val="0095475A"/>
    <w:rsid w:val="00955435"/>
    <w:rsid w:val="0095652F"/>
    <w:rsid w:val="00956BAB"/>
    <w:rsid w:val="00956F5F"/>
    <w:rsid w:val="00957568"/>
    <w:rsid w:val="0096263D"/>
    <w:rsid w:val="009627C3"/>
    <w:rsid w:val="0096505B"/>
    <w:rsid w:val="00965F9F"/>
    <w:rsid w:val="00965FB8"/>
    <w:rsid w:val="00966D5D"/>
    <w:rsid w:val="00966FDE"/>
    <w:rsid w:val="0097106B"/>
    <w:rsid w:val="00971BDC"/>
    <w:rsid w:val="00972316"/>
    <w:rsid w:val="00972D9E"/>
    <w:rsid w:val="009733C6"/>
    <w:rsid w:val="00973BAC"/>
    <w:rsid w:val="00974734"/>
    <w:rsid w:val="00976A58"/>
    <w:rsid w:val="0098088A"/>
    <w:rsid w:val="009829A0"/>
    <w:rsid w:val="009836BE"/>
    <w:rsid w:val="009842CB"/>
    <w:rsid w:val="00987B00"/>
    <w:rsid w:val="00990A54"/>
    <w:rsid w:val="009921FE"/>
    <w:rsid w:val="00992674"/>
    <w:rsid w:val="009932FA"/>
    <w:rsid w:val="00993A31"/>
    <w:rsid w:val="00994100"/>
    <w:rsid w:val="0099595B"/>
    <w:rsid w:val="0099649B"/>
    <w:rsid w:val="009A116E"/>
    <w:rsid w:val="009A154F"/>
    <w:rsid w:val="009A2C8D"/>
    <w:rsid w:val="009A4CFD"/>
    <w:rsid w:val="009A4FED"/>
    <w:rsid w:val="009A5A2A"/>
    <w:rsid w:val="009A6424"/>
    <w:rsid w:val="009A7301"/>
    <w:rsid w:val="009B2817"/>
    <w:rsid w:val="009B5D40"/>
    <w:rsid w:val="009B65C3"/>
    <w:rsid w:val="009B7464"/>
    <w:rsid w:val="009C077E"/>
    <w:rsid w:val="009C216E"/>
    <w:rsid w:val="009C4643"/>
    <w:rsid w:val="009C6A84"/>
    <w:rsid w:val="009C70C2"/>
    <w:rsid w:val="009C7ABA"/>
    <w:rsid w:val="009C7AE5"/>
    <w:rsid w:val="009C7BC2"/>
    <w:rsid w:val="009C7CDF"/>
    <w:rsid w:val="009D0170"/>
    <w:rsid w:val="009D0281"/>
    <w:rsid w:val="009D34A7"/>
    <w:rsid w:val="009D505D"/>
    <w:rsid w:val="009D55CB"/>
    <w:rsid w:val="009E05D0"/>
    <w:rsid w:val="009E1474"/>
    <w:rsid w:val="009E38C7"/>
    <w:rsid w:val="009E498E"/>
    <w:rsid w:val="009E4C62"/>
    <w:rsid w:val="009F019B"/>
    <w:rsid w:val="009F147C"/>
    <w:rsid w:val="009F357E"/>
    <w:rsid w:val="009F39AE"/>
    <w:rsid w:val="009F3D36"/>
    <w:rsid w:val="009F4219"/>
    <w:rsid w:val="009F50BA"/>
    <w:rsid w:val="009F6F2C"/>
    <w:rsid w:val="009F72D7"/>
    <w:rsid w:val="009F7A05"/>
    <w:rsid w:val="009F7D50"/>
    <w:rsid w:val="009F7D96"/>
    <w:rsid w:val="00A014D6"/>
    <w:rsid w:val="00A01690"/>
    <w:rsid w:val="00A01C81"/>
    <w:rsid w:val="00A03087"/>
    <w:rsid w:val="00A03E5E"/>
    <w:rsid w:val="00A046A2"/>
    <w:rsid w:val="00A0496D"/>
    <w:rsid w:val="00A100A7"/>
    <w:rsid w:val="00A11C3E"/>
    <w:rsid w:val="00A129FF"/>
    <w:rsid w:val="00A13B39"/>
    <w:rsid w:val="00A143FD"/>
    <w:rsid w:val="00A16443"/>
    <w:rsid w:val="00A16459"/>
    <w:rsid w:val="00A165ED"/>
    <w:rsid w:val="00A21BCD"/>
    <w:rsid w:val="00A235F3"/>
    <w:rsid w:val="00A23706"/>
    <w:rsid w:val="00A23FA3"/>
    <w:rsid w:val="00A27D98"/>
    <w:rsid w:val="00A30A17"/>
    <w:rsid w:val="00A31A7E"/>
    <w:rsid w:val="00A326CA"/>
    <w:rsid w:val="00A331B9"/>
    <w:rsid w:val="00A338A1"/>
    <w:rsid w:val="00A3411B"/>
    <w:rsid w:val="00A36ADD"/>
    <w:rsid w:val="00A36EE4"/>
    <w:rsid w:val="00A420C0"/>
    <w:rsid w:val="00A432C9"/>
    <w:rsid w:val="00A4690B"/>
    <w:rsid w:val="00A46E4E"/>
    <w:rsid w:val="00A47121"/>
    <w:rsid w:val="00A5423E"/>
    <w:rsid w:val="00A548DC"/>
    <w:rsid w:val="00A6001D"/>
    <w:rsid w:val="00A6130D"/>
    <w:rsid w:val="00A62173"/>
    <w:rsid w:val="00A62D3C"/>
    <w:rsid w:val="00A65B54"/>
    <w:rsid w:val="00A70420"/>
    <w:rsid w:val="00A725F7"/>
    <w:rsid w:val="00A74D9B"/>
    <w:rsid w:val="00A76EC9"/>
    <w:rsid w:val="00A7704E"/>
    <w:rsid w:val="00A811D3"/>
    <w:rsid w:val="00A81BD2"/>
    <w:rsid w:val="00A8245E"/>
    <w:rsid w:val="00A83BE6"/>
    <w:rsid w:val="00A858E0"/>
    <w:rsid w:val="00A859F0"/>
    <w:rsid w:val="00A85DFA"/>
    <w:rsid w:val="00A8718F"/>
    <w:rsid w:val="00A91845"/>
    <w:rsid w:val="00A9344A"/>
    <w:rsid w:val="00A9384E"/>
    <w:rsid w:val="00A93910"/>
    <w:rsid w:val="00A93D2A"/>
    <w:rsid w:val="00A93DCF"/>
    <w:rsid w:val="00A94A6A"/>
    <w:rsid w:val="00A94AE7"/>
    <w:rsid w:val="00A953E1"/>
    <w:rsid w:val="00A96385"/>
    <w:rsid w:val="00A96722"/>
    <w:rsid w:val="00A96900"/>
    <w:rsid w:val="00AA2CA0"/>
    <w:rsid w:val="00AA428F"/>
    <w:rsid w:val="00AA476C"/>
    <w:rsid w:val="00AA575C"/>
    <w:rsid w:val="00AA5B85"/>
    <w:rsid w:val="00AA5BAF"/>
    <w:rsid w:val="00AA7A7C"/>
    <w:rsid w:val="00AB0F73"/>
    <w:rsid w:val="00AB37AA"/>
    <w:rsid w:val="00AB38A1"/>
    <w:rsid w:val="00AB5072"/>
    <w:rsid w:val="00AB560B"/>
    <w:rsid w:val="00AB6F06"/>
    <w:rsid w:val="00AC028E"/>
    <w:rsid w:val="00AC095B"/>
    <w:rsid w:val="00AC19B0"/>
    <w:rsid w:val="00AC2655"/>
    <w:rsid w:val="00AC295C"/>
    <w:rsid w:val="00AC3616"/>
    <w:rsid w:val="00AC4B99"/>
    <w:rsid w:val="00AC4C29"/>
    <w:rsid w:val="00AC4FEC"/>
    <w:rsid w:val="00AC5016"/>
    <w:rsid w:val="00AC62BE"/>
    <w:rsid w:val="00AC6F66"/>
    <w:rsid w:val="00AD1812"/>
    <w:rsid w:val="00AD2130"/>
    <w:rsid w:val="00AD3AA9"/>
    <w:rsid w:val="00AD61AA"/>
    <w:rsid w:val="00AE0274"/>
    <w:rsid w:val="00AE0600"/>
    <w:rsid w:val="00AE15E5"/>
    <w:rsid w:val="00AE1A37"/>
    <w:rsid w:val="00AE2EB2"/>
    <w:rsid w:val="00AE3F4B"/>
    <w:rsid w:val="00AE410B"/>
    <w:rsid w:val="00AE49D4"/>
    <w:rsid w:val="00AE4B47"/>
    <w:rsid w:val="00AE70EB"/>
    <w:rsid w:val="00AF0E5B"/>
    <w:rsid w:val="00AF11C1"/>
    <w:rsid w:val="00AF21BA"/>
    <w:rsid w:val="00AF2DF1"/>
    <w:rsid w:val="00AF3E50"/>
    <w:rsid w:val="00AF3E5B"/>
    <w:rsid w:val="00B004D0"/>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30BAC"/>
    <w:rsid w:val="00B30D66"/>
    <w:rsid w:val="00B319E1"/>
    <w:rsid w:val="00B31A54"/>
    <w:rsid w:val="00B321D1"/>
    <w:rsid w:val="00B32B8A"/>
    <w:rsid w:val="00B34446"/>
    <w:rsid w:val="00B35323"/>
    <w:rsid w:val="00B35F80"/>
    <w:rsid w:val="00B360C3"/>
    <w:rsid w:val="00B37755"/>
    <w:rsid w:val="00B37E0A"/>
    <w:rsid w:val="00B40134"/>
    <w:rsid w:val="00B40860"/>
    <w:rsid w:val="00B40FBE"/>
    <w:rsid w:val="00B41B06"/>
    <w:rsid w:val="00B4206A"/>
    <w:rsid w:val="00B43152"/>
    <w:rsid w:val="00B438E8"/>
    <w:rsid w:val="00B4795D"/>
    <w:rsid w:val="00B50244"/>
    <w:rsid w:val="00B541E6"/>
    <w:rsid w:val="00B55394"/>
    <w:rsid w:val="00B60200"/>
    <w:rsid w:val="00B61009"/>
    <w:rsid w:val="00B63311"/>
    <w:rsid w:val="00B639E8"/>
    <w:rsid w:val="00B64652"/>
    <w:rsid w:val="00B65934"/>
    <w:rsid w:val="00B7221C"/>
    <w:rsid w:val="00B74A87"/>
    <w:rsid w:val="00B77446"/>
    <w:rsid w:val="00B7748E"/>
    <w:rsid w:val="00B77686"/>
    <w:rsid w:val="00B80B41"/>
    <w:rsid w:val="00B85B9C"/>
    <w:rsid w:val="00B927C3"/>
    <w:rsid w:val="00BA139A"/>
    <w:rsid w:val="00BA48ED"/>
    <w:rsid w:val="00BA4A4A"/>
    <w:rsid w:val="00BA60BE"/>
    <w:rsid w:val="00BB1432"/>
    <w:rsid w:val="00BB365F"/>
    <w:rsid w:val="00BB4F99"/>
    <w:rsid w:val="00BB6694"/>
    <w:rsid w:val="00BC2559"/>
    <w:rsid w:val="00BC25E6"/>
    <w:rsid w:val="00BC65A4"/>
    <w:rsid w:val="00BC739E"/>
    <w:rsid w:val="00BD0EF2"/>
    <w:rsid w:val="00BD17D1"/>
    <w:rsid w:val="00BD2741"/>
    <w:rsid w:val="00BD2AD5"/>
    <w:rsid w:val="00BD2DA6"/>
    <w:rsid w:val="00BD4600"/>
    <w:rsid w:val="00BD590D"/>
    <w:rsid w:val="00BD7EDB"/>
    <w:rsid w:val="00BE071C"/>
    <w:rsid w:val="00BE18CF"/>
    <w:rsid w:val="00BE1C6E"/>
    <w:rsid w:val="00BF05E0"/>
    <w:rsid w:val="00BF2761"/>
    <w:rsid w:val="00BF4D0A"/>
    <w:rsid w:val="00BF5441"/>
    <w:rsid w:val="00BF56CA"/>
    <w:rsid w:val="00BF5CFE"/>
    <w:rsid w:val="00C00C91"/>
    <w:rsid w:val="00C013DA"/>
    <w:rsid w:val="00C032AE"/>
    <w:rsid w:val="00C048EE"/>
    <w:rsid w:val="00C04918"/>
    <w:rsid w:val="00C0713B"/>
    <w:rsid w:val="00C11EB0"/>
    <w:rsid w:val="00C14DAF"/>
    <w:rsid w:val="00C1547C"/>
    <w:rsid w:val="00C177B7"/>
    <w:rsid w:val="00C20540"/>
    <w:rsid w:val="00C20EC5"/>
    <w:rsid w:val="00C21771"/>
    <w:rsid w:val="00C21D9E"/>
    <w:rsid w:val="00C2321C"/>
    <w:rsid w:val="00C236B8"/>
    <w:rsid w:val="00C254F3"/>
    <w:rsid w:val="00C261AC"/>
    <w:rsid w:val="00C311E7"/>
    <w:rsid w:val="00C32AD9"/>
    <w:rsid w:val="00C353AB"/>
    <w:rsid w:val="00C37C5B"/>
    <w:rsid w:val="00C402FD"/>
    <w:rsid w:val="00C4067D"/>
    <w:rsid w:val="00C4171E"/>
    <w:rsid w:val="00C437A4"/>
    <w:rsid w:val="00C46CFC"/>
    <w:rsid w:val="00C53C0E"/>
    <w:rsid w:val="00C55928"/>
    <w:rsid w:val="00C56F5C"/>
    <w:rsid w:val="00C579C0"/>
    <w:rsid w:val="00C60A2E"/>
    <w:rsid w:val="00C6256D"/>
    <w:rsid w:val="00C626B8"/>
    <w:rsid w:val="00C627A9"/>
    <w:rsid w:val="00C62ABB"/>
    <w:rsid w:val="00C62FC2"/>
    <w:rsid w:val="00C63026"/>
    <w:rsid w:val="00C63E9A"/>
    <w:rsid w:val="00C65FAC"/>
    <w:rsid w:val="00C70022"/>
    <w:rsid w:val="00C703AC"/>
    <w:rsid w:val="00C75F97"/>
    <w:rsid w:val="00C77602"/>
    <w:rsid w:val="00C807A5"/>
    <w:rsid w:val="00C83AAC"/>
    <w:rsid w:val="00C845F4"/>
    <w:rsid w:val="00C84D09"/>
    <w:rsid w:val="00C86258"/>
    <w:rsid w:val="00C90726"/>
    <w:rsid w:val="00C93306"/>
    <w:rsid w:val="00C934EB"/>
    <w:rsid w:val="00C94730"/>
    <w:rsid w:val="00C969A8"/>
    <w:rsid w:val="00C96D7B"/>
    <w:rsid w:val="00CA15A8"/>
    <w:rsid w:val="00CA2BFD"/>
    <w:rsid w:val="00CA3939"/>
    <w:rsid w:val="00CA56CE"/>
    <w:rsid w:val="00CB01EF"/>
    <w:rsid w:val="00CB29E3"/>
    <w:rsid w:val="00CB2FE0"/>
    <w:rsid w:val="00CB56F9"/>
    <w:rsid w:val="00CB5C21"/>
    <w:rsid w:val="00CB60F0"/>
    <w:rsid w:val="00CC0CE4"/>
    <w:rsid w:val="00CC24E7"/>
    <w:rsid w:val="00CC35F1"/>
    <w:rsid w:val="00CC3A4C"/>
    <w:rsid w:val="00CC6027"/>
    <w:rsid w:val="00CC63A2"/>
    <w:rsid w:val="00CC6EEC"/>
    <w:rsid w:val="00CC70F6"/>
    <w:rsid w:val="00CD0F31"/>
    <w:rsid w:val="00CD112F"/>
    <w:rsid w:val="00CD2237"/>
    <w:rsid w:val="00CD2347"/>
    <w:rsid w:val="00CD43C8"/>
    <w:rsid w:val="00CD4672"/>
    <w:rsid w:val="00CD60F6"/>
    <w:rsid w:val="00CD79BB"/>
    <w:rsid w:val="00CE09F6"/>
    <w:rsid w:val="00CE133D"/>
    <w:rsid w:val="00CE3DB6"/>
    <w:rsid w:val="00CE479D"/>
    <w:rsid w:val="00CE5CEB"/>
    <w:rsid w:val="00CE738D"/>
    <w:rsid w:val="00CF0F38"/>
    <w:rsid w:val="00CF19BF"/>
    <w:rsid w:val="00CF235A"/>
    <w:rsid w:val="00CF3764"/>
    <w:rsid w:val="00CF3C6D"/>
    <w:rsid w:val="00CF3EBB"/>
    <w:rsid w:val="00CF4C0D"/>
    <w:rsid w:val="00CF5EAD"/>
    <w:rsid w:val="00D0058C"/>
    <w:rsid w:val="00D04F67"/>
    <w:rsid w:val="00D04F7A"/>
    <w:rsid w:val="00D04FEA"/>
    <w:rsid w:val="00D07BAA"/>
    <w:rsid w:val="00D07CB9"/>
    <w:rsid w:val="00D1050E"/>
    <w:rsid w:val="00D14D7E"/>
    <w:rsid w:val="00D14F0B"/>
    <w:rsid w:val="00D2024F"/>
    <w:rsid w:val="00D203F0"/>
    <w:rsid w:val="00D22FB1"/>
    <w:rsid w:val="00D2405D"/>
    <w:rsid w:val="00D25AA1"/>
    <w:rsid w:val="00D31E44"/>
    <w:rsid w:val="00D33289"/>
    <w:rsid w:val="00D3360D"/>
    <w:rsid w:val="00D33F3D"/>
    <w:rsid w:val="00D34E6F"/>
    <w:rsid w:val="00D35990"/>
    <w:rsid w:val="00D35C4B"/>
    <w:rsid w:val="00D36647"/>
    <w:rsid w:val="00D36DAA"/>
    <w:rsid w:val="00D37C9E"/>
    <w:rsid w:val="00D37EFE"/>
    <w:rsid w:val="00D41ECC"/>
    <w:rsid w:val="00D433DB"/>
    <w:rsid w:val="00D44D92"/>
    <w:rsid w:val="00D45D47"/>
    <w:rsid w:val="00D47471"/>
    <w:rsid w:val="00D509CE"/>
    <w:rsid w:val="00D51679"/>
    <w:rsid w:val="00D516E3"/>
    <w:rsid w:val="00D517D6"/>
    <w:rsid w:val="00D52B70"/>
    <w:rsid w:val="00D535CE"/>
    <w:rsid w:val="00D54B3F"/>
    <w:rsid w:val="00D57FD2"/>
    <w:rsid w:val="00D57FD3"/>
    <w:rsid w:val="00D60725"/>
    <w:rsid w:val="00D609A5"/>
    <w:rsid w:val="00D60AF3"/>
    <w:rsid w:val="00D622BF"/>
    <w:rsid w:val="00D6246B"/>
    <w:rsid w:val="00D62A12"/>
    <w:rsid w:val="00D630BF"/>
    <w:rsid w:val="00D64C69"/>
    <w:rsid w:val="00D65B8E"/>
    <w:rsid w:val="00D675FE"/>
    <w:rsid w:val="00D707BF"/>
    <w:rsid w:val="00D708ED"/>
    <w:rsid w:val="00D71E3C"/>
    <w:rsid w:val="00D739FE"/>
    <w:rsid w:val="00D73A42"/>
    <w:rsid w:val="00D74B9F"/>
    <w:rsid w:val="00D75563"/>
    <w:rsid w:val="00D75B8F"/>
    <w:rsid w:val="00D76A38"/>
    <w:rsid w:val="00D8261B"/>
    <w:rsid w:val="00D838DE"/>
    <w:rsid w:val="00D84418"/>
    <w:rsid w:val="00D855C8"/>
    <w:rsid w:val="00D86006"/>
    <w:rsid w:val="00D872E7"/>
    <w:rsid w:val="00D87840"/>
    <w:rsid w:val="00D90006"/>
    <w:rsid w:val="00D911F3"/>
    <w:rsid w:val="00D9271A"/>
    <w:rsid w:val="00D92B47"/>
    <w:rsid w:val="00D9307B"/>
    <w:rsid w:val="00D959FC"/>
    <w:rsid w:val="00D97DDD"/>
    <w:rsid w:val="00D97EAA"/>
    <w:rsid w:val="00DA18A3"/>
    <w:rsid w:val="00DA3784"/>
    <w:rsid w:val="00DA4742"/>
    <w:rsid w:val="00DA5778"/>
    <w:rsid w:val="00DA68FB"/>
    <w:rsid w:val="00DA7FEF"/>
    <w:rsid w:val="00DB06C8"/>
    <w:rsid w:val="00DB219D"/>
    <w:rsid w:val="00DB3A86"/>
    <w:rsid w:val="00DB47D8"/>
    <w:rsid w:val="00DB4824"/>
    <w:rsid w:val="00DB5C5C"/>
    <w:rsid w:val="00DB60CA"/>
    <w:rsid w:val="00DB7080"/>
    <w:rsid w:val="00DB7236"/>
    <w:rsid w:val="00DC10D5"/>
    <w:rsid w:val="00DC1AB4"/>
    <w:rsid w:val="00DC339B"/>
    <w:rsid w:val="00DC3BB8"/>
    <w:rsid w:val="00DC4131"/>
    <w:rsid w:val="00DC6523"/>
    <w:rsid w:val="00DD0DA9"/>
    <w:rsid w:val="00DD1586"/>
    <w:rsid w:val="00DD270F"/>
    <w:rsid w:val="00DD2767"/>
    <w:rsid w:val="00DD4C78"/>
    <w:rsid w:val="00DD530B"/>
    <w:rsid w:val="00DD615A"/>
    <w:rsid w:val="00DD721B"/>
    <w:rsid w:val="00DD7D7D"/>
    <w:rsid w:val="00DE2C9C"/>
    <w:rsid w:val="00DE4CFB"/>
    <w:rsid w:val="00DE52A2"/>
    <w:rsid w:val="00DE6474"/>
    <w:rsid w:val="00DF03CE"/>
    <w:rsid w:val="00DF086E"/>
    <w:rsid w:val="00DF1582"/>
    <w:rsid w:val="00DF1875"/>
    <w:rsid w:val="00DF22C4"/>
    <w:rsid w:val="00DF3256"/>
    <w:rsid w:val="00DF3C67"/>
    <w:rsid w:val="00DF4A94"/>
    <w:rsid w:val="00DF4E9B"/>
    <w:rsid w:val="00DF626D"/>
    <w:rsid w:val="00DF6A79"/>
    <w:rsid w:val="00DF6AC0"/>
    <w:rsid w:val="00E02339"/>
    <w:rsid w:val="00E023E4"/>
    <w:rsid w:val="00E0281A"/>
    <w:rsid w:val="00E04A26"/>
    <w:rsid w:val="00E0661B"/>
    <w:rsid w:val="00E10EAD"/>
    <w:rsid w:val="00E12388"/>
    <w:rsid w:val="00E13D49"/>
    <w:rsid w:val="00E1512B"/>
    <w:rsid w:val="00E15E1C"/>
    <w:rsid w:val="00E15ECB"/>
    <w:rsid w:val="00E16ED2"/>
    <w:rsid w:val="00E17EC7"/>
    <w:rsid w:val="00E20245"/>
    <w:rsid w:val="00E205AA"/>
    <w:rsid w:val="00E209B8"/>
    <w:rsid w:val="00E2315C"/>
    <w:rsid w:val="00E244D3"/>
    <w:rsid w:val="00E247E6"/>
    <w:rsid w:val="00E25260"/>
    <w:rsid w:val="00E25643"/>
    <w:rsid w:val="00E2574A"/>
    <w:rsid w:val="00E263EC"/>
    <w:rsid w:val="00E26BE8"/>
    <w:rsid w:val="00E278D7"/>
    <w:rsid w:val="00E30E7B"/>
    <w:rsid w:val="00E30F25"/>
    <w:rsid w:val="00E30F58"/>
    <w:rsid w:val="00E314BC"/>
    <w:rsid w:val="00E31771"/>
    <w:rsid w:val="00E317D0"/>
    <w:rsid w:val="00E31F35"/>
    <w:rsid w:val="00E3434B"/>
    <w:rsid w:val="00E36B32"/>
    <w:rsid w:val="00E41363"/>
    <w:rsid w:val="00E41A0A"/>
    <w:rsid w:val="00E424CD"/>
    <w:rsid w:val="00E4358E"/>
    <w:rsid w:val="00E43EB6"/>
    <w:rsid w:val="00E45193"/>
    <w:rsid w:val="00E4546E"/>
    <w:rsid w:val="00E47562"/>
    <w:rsid w:val="00E50517"/>
    <w:rsid w:val="00E5395F"/>
    <w:rsid w:val="00E53B63"/>
    <w:rsid w:val="00E55A03"/>
    <w:rsid w:val="00E57B49"/>
    <w:rsid w:val="00E62117"/>
    <w:rsid w:val="00E640FC"/>
    <w:rsid w:val="00E65A38"/>
    <w:rsid w:val="00E66324"/>
    <w:rsid w:val="00E73C63"/>
    <w:rsid w:val="00E75FF4"/>
    <w:rsid w:val="00E76611"/>
    <w:rsid w:val="00E772F3"/>
    <w:rsid w:val="00E826E7"/>
    <w:rsid w:val="00E82923"/>
    <w:rsid w:val="00E82E17"/>
    <w:rsid w:val="00E8509C"/>
    <w:rsid w:val="00E85932"/>
    <w:rsid w:val="00E85C5D"/>
    <w:rsid w:val="00E87859"/>
    <w:rsid w:val="00E90823"/>
    <w:rsid w:val="00E92C4F"/>
    <w:rsid w:val="00E95F7B"/>
    <w:rsid w:val="00E97695"/>
    <w:rsid w:val="00EA02D0"/>
    <w:rsid w:val="00EA07A6"/>
    <w:rsid w:val="00EA129B"/>
    <w:rsid w:val="00EA3646"/>
    <w:rsid w:val="00EA4590"/>
    <w:rsid w:val="00EA4F60"/>
    <w:rsid w:val="00EA6EC4"/>
    <w:rsid w:val="00EB1E57"/>
    <w:rsid w:val="00EB27C6"/>
    <w:rsid w:val="00EB2D51"/>
    <w:rsid w:val="00EB3BB7"/>
    <w:rsid w:val="00EB50E5"/>
    <w:rsid w:val="00EB5564"/>
    <w:rsid w:val="00EB6381"/>
    <w:rsid w:val="00EB65BF"/>
    <w:rsid w:val="00EB674A"/>
    <w:rsid w:val="00EB6CA5"/>
    <w:rsid w:val="00EB7A42"/>
    <w:rsid w:val="00EC1671"/>
    <w:rsid w:val="00EC1F16"/>
    <w:rsid w:val="00EC477A"/>
    <w:rsid w:val="00EC54F9"/>
    <w:rsid w:val="00EC78EB"/>
    <w:rsid w:val="00EC7B8B"/>
    <w:rsid w:val="00ED0004"/>
    <w:rsid w:val="00ED0867"/>
    <w:rsid w:val="00ED2A21"/>
    <w:rsid w:val="00ED3B52"/>
    <w:rsid w:val="00ED3D30"/>
    <w:rsid w:val="00ED4266"/>
    <w:rsid w:val="00ED6766"/>
    <w:rsid w:val="00ED6772"/>
    <w:rsid w:val="00ED6979"/>
    <w:rsid w:val="00ED6E27"/>
    <w:rsid w:val="00ED715A"/>
    <w:rsid w:val="00ED7CE1"/>
    <w:rsid w:val="00EE04C1"/>
    <w:rsid w:val="00EE2F7B"/>
    <w:rsid w:val="00EE6C14"/>
    <w:rsid w:val="00EE725B"/>
    <w:rsid w:val="00EE7EE5"/>
    <w:rsid w:val="00EF2624"/>
    <w:rsid w:val="00EF7252"/>
    <w:rsid w:val="00EF7EBC"/>
    <w:rsid w:val="00F00346"/>
    <w:rsid w:val="00F027A8"/>
    <w:rsid w:val="00F02CC0"/>
    <w:rsid w:val="00F03ADA"/>
    <w:rsid w:val="00F03D54"/>
    <w:rsid w:val="00F0448F"/>
    <w:rsid w:val="00F058B2"/>
    <w:rsid w:val="00F05E9E"/>
    <w:rsid w:val="00F06C75"/>
    <w:rsid w:val="00F10968"/>
    <w:rsid w:val="00F117FA"/>
    <w:rsid w:val="00F12A06"/>
    <w:rsid w:val="00F12DE8"/>
    <w:rsid w:val="00F15778"/>
    <w:rsid w:val="00F21531"/>
    <w:rsid w:val="00F23D9A"/>
    <w:rsid w:val="00F2522B"/>
    <w:rsid w:val="00F30488"/>
    <w:rsid w:val="00F3237C"/>
    <w:rsid w:val="00F327AF"/>
    <w:rsid w:val="00F32AF2"/>
    <w:rsid w:val="00F347E6"/>
    <w:rsid w:val="00F352B4"/>
    <w:rsid w:val="00F366F2"/>
    <w:rsid w:val="00F410C5"/>
    <w:rsid w:val="00F420E1"/>
    <w:rsid w:val="00F42A29"/>
    <w:rsid w:val="00F42BE8"/>
    <w:rsid w:val="00F42FEE"/>
    <w:rsid w:val="00F433F1"/>
    <w:rsid w:val="00F438B2"/>
    <w:rsid w:val="00F441CE"/>
    <w:rsid w:val="00F4510E"/>
    <w:rsid w:val="00F454AF"/>
    <w:rsid w:val="00F458D4"/>
    <w:rsid w:val="00F45C85"/>
    <w:rsid w:val="00F4725A"/>
    <w:rsid w:val="00F50879"/>
    <w:rsid w:val="00F50DDA"/>
    <w:rsid w:val="00F5169D"/>
    <w:rsid w:val="00F51C1B"/>
    <w:rsid w:val="00F52BFE"/>
    <w:rsid w:val="00F54327"/>
    <w:rsid w:val="00F54663"/>
    <w:rsid w:val="00F558A4"/>
    <w:rsid w:val="00F63C09"/>
    <w:rsid w:val="00F64BA3"/>
    <w:rsid w:val="00F666E8"/>
    <w:rsid w:val="00F67A44"/>
    <w:rsid w:val="00F71D5C"/>
    <w:rsid w:val="00F732B6"/>
    <w:rsid w:val="00F739BD"/>
    <w:rsid w:val="00F739C5"/>
    <w:rsid w:val="00F774C3"/>
    <w:rsid w:val="00F77C18"/>
    <w:rsid w:val="00F804D5"/>
    <w:rsid w:val="00F807F6"/>
    <w:rsid w:val="00F81629"/>
    <w:rsid w:val="00F83B71"/>
    <w:rsid w:val="00F848D3"/>
    <w:rsid w:val="00F852BD"/>
    <w:rsid w:val="00F85FED"/>
    <w:rsid w:val="00F86067"/>
    <w:rsid w:val="00F87145"/>
    <w:rsid w:val="00F87264"/>
    <w:rsid w:val="00F9147A"/>
    <w:rsid w:val="00F91B58"/>
    <w:rsid w:val="00F9274F"/>
    <w:rsid w:val="00F92816"/>
    <w:rsid w:val="00F92B7A"/>
    <w:rsid w:val="00F92BEC"/>
    <w:rsid w:val="00F93B90"/>
    <w:rsid w:val="00F946CE"/>
    <w:rsid w:val="00F94944"/>
    <w:rsid w:val="00F94958"/>
    <w:rsid w:val="00F96D6E"/>
    <w:rsid w:val="00FA0169"/>
    <w:rsid w:val="00FA3BD3"/>
    <w:rsid w:val="00FA7BB9"/>
    <w:rsid w:val="00FB0D67"/>
    <w:rsid w:val="00FB2592"/>
    <w:rsid w:val="00FB36FB"/>
    <w:rsid w:val="00FB3C96"/>
    <w:rsid w:val="00FC004E"/>
    <w:rsid w:val="00FC0E81"/>
    <w:rsid w:val="00FC3517"/>
    <w:rsid w:val="00FC3657"/>
    <w:rsid w:val="00FC3BB3"/>
    <w:rsid w:val="00FC3E7E"/>
    <w:rsid w:val="00FC3F7E"/>
    <w:rsid w:val="00FC6199"/>
    <w:rsid w:val="00FC6DCD"/>
    <w:rsid w:val="00FC7F60"/>
    <w:rsid w:val="00FD0512"/>
    <w:rsid w:val="00FD16C3"/>
    <w:rsid w:val="00FD2C05"/>
    <w:rsid w:val="00FD3BD2"/>
    <w:rsid w:val="00FD4390"/>
    <w:rsid w:val="00FD45B4"/>
    <w:rsid w:val="00FD532C"/>
    <w:rsid w:val="00FD6247"/>
    <w:rsid w:val="00FD6632"/>
    <w:rsid w:val="00FD785A"/>
    <w:rsid w:val="00FE1252"/>
    <w:rsid w:val="00FE132A"/>
    <w:rsid w:val="00FE19AA"/>
    <w:rsid w:val="00FE1BFA"/>
    <w:rsid w:val="00FE3B87"/>
    <w:rsid w:val="00FF0331"/>
    <w:rsid w:val="00FF07F6"/>
    <w:rsid w:val="00FF689D"/>
    <w:rsid w:val="00FF69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E7BCC548-210E-4580-A548-63197692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s-E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51A"/>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link w:val="Heading2Char"/>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paragraph" w:styleId="Heading5">
    <w:name w:val="heading 5"/>
    <w:basedOn w:val="Heading4"/>
    <w:next w:val="Normal"/>
    <w:link w:val="Heading5Char"/>
    <w:unhideWhenUsed/>
    <w:qFormat/>
    <w:rsid w:val="0095652F"/>
    <w:pPr>
      <w:spacing w:before="0"/>
      <w:ind w:left="567"/>
      <w:outlineLvl w:val="4"/>
    </w:pPr>
    <w:rPr>
      <w:sz w:val="17"/>
      <w:szCs w:val="17"/>
      <w:u w:val="single"/>
    </w:rPr>
  </w:style>
  <w:style w:type="paragraph" w:styleId="Heading6">
    <w:name w:val="heading 6"/>
    <w:basedOn w:val="Normal"/>
    <w:next w:val="Normal"/>
    <w:link w:val="Heading6Char"/>
    <w:unhideWhenUsed/>
    <w:qFormat/>
    <w:rsid w:val="0095652F"/>
    <w:pPr>
      <w:spacing w:after="120"/>
      <w:outlineLvl w:val="5"/>
    </w:pPr>
    <w:rPr>
      <w:rFonts w:eastAsia="Times New Roman"/>
      <w:b/>
      <w:sz w:val="17"/>
      <w:szCs w:val="17"/>
      <w:lang w:eastAsia="de-DE"/>
    </w:rPr>
  </w:style>
  <w:style w:type="paragraph" w:styleId="Heading7">
    <w:name w:val="heading 7"/>
    <w:basedOn w:val="Normal"/>
    <w:next w:val="Normal"/>
    <w:link w:val="Heading7Char"/>
    <w:semiHidden/>
    <w:unhideWhenUsed/>
    <w:qFormat/>
    <w:rsid w:val="0095652F"/>
    <w:pPr>
      <w:keepNext/>
      <w:keepLines/>
      <w:numPr>
        <w:ilvl w:val="6"/>
        <w:numId w:val="16"/>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Heading8">
    <w:name w:val="heading 8"/>
    <w:basedOn w:val="Normal"/>
    <w:next w:val="Normal"/>
    <w:link w:val="Heading8Char"/>
    <w:semiHidden/>
    <w:unhideWhenUsed/>
    <w:qFormat/>
    <w:rsid w:val="0095652F"/>
    <w:pPr>
      <w:keepNext/>
      <w:keepLines/>
      <w:numPr>
        <w:ilvl w:val="7"/>
        <w:numId w:val="16"/>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Heading9">
    <w:name w:val="heading 9"/>
    <w:basedOn w:val="Normal"/>
    <w:next w:val="Normal"/>
    <w:link w:val="Heading9Char"/>
    <w:semiHidden/>
    <w:unhideWhenUsed/>
    <w:qFormat/>
    <w:rsid w:val="0095652F"/>
    <w:pPr>
      <w:keepNext/>
      <w:keepLines/>
      <w:numPr>
        <w:ilvl w:val="8"/>
        <w:numId w:val="16"/>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4A2A73"/>
    <w:pPr>
      <w:tabs>
        <w:tab w:val="right" w:leader="dot" w:pos="9345"/>
      </w:tabs>
      <w:ind w:left="221"/>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2D151A"/>
    <w:rPr>
      <w:rFonts w:ascii="Tahoma" w:hAnsi="Tahoma" w:cs="Tahoma"/>
      <w:sz w:val="20"/>
      <w:szCs w:val="16"/>
    </w:rPr>
  </w:style>
  <w:style w:type="character" w:customStyle="1" w:styleId="BalloonTextChar">
    <w:name w:val="Balloon Text Char"/>
    <w:link w:val="BalloonText"/>
    <w:rsid w:val="002D151A"/>
    <w:rPr>
      <w:rFonts w:ascii="Tahoma" w:eastAsia="SimSun" w:hAnsi="Tahoma" w:cs="Tahoma"/>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uiPriority w:val="99"/>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uiPriority w:val="99"/>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6726C7"/>
    <w:rPr>
      <w:rFonts w:ascii="Arial" w:eastAsia="SimSun" w:hAnsi="Arial" w:cs="Arial"/>
      <w:sz w:val="22"/>
      <w:lang w:eastAsia="zh-CN"/>
    </w:rPr>
  </w:style>
  <w:style w:type="character" w:customStyle="1" w:styleId="Heading5Char">
    <w:name w:val="Heading 5 Char"/>
    <w:basedOn w:val="DefaultParagraphFont"/>
    <w:link w:val="Heading5"/>
    <w:rsid w:val="0095652F"/>
    <w:rPr>
      <w:rFonts w:ascii="Arial" w:eastAsia="SimSun" w:hAnsi="Arial" w:cs="Arial"/>
      <w:bCs/>
      <w:i/>
      <w:sz w:val="17"/>
      <w:szCs w:val="17"/>
      <w:u w:val="single"/>
      <w:lang w:eastAsia="zh-CN"/>
    </w:rPr>
  </w:style>
  <w:style w:type="character" w:customStyle="1" w:styleId="Heading6Char">
    <w:name w:val="Heading 6 Char"/>
    <w:basedOn w:val="DefaultParagraphFont"/>
    <w:link w:val="Heading6"/>
    <w:rsid w:val="0095652F"/>
    <w:rPr>
      <w:rFonts w:ascii="Arial" w:eastAsia="Times New Roman" w:hAnsi="Arial" w:cs="Arial"/>
      <w:b/>
      <w:sz w:val="17"/>
      <w:szCs w:val="17"/>
      <w:lang w:eastAsia="de-DE"/>
    </w:rPr>
  </w:style>
  <w:style w:type="character" w:customStyle="1" w:styleId="Heading7Char">
    <w:name w:val="Heading 7 Char"/>
    <w:basedOn w:val="DefaultParagraphFont"/>
    <w:link w:val="Heading7"/>
    <w:semiHidden/>
    <w:rsid w:val="0095652F"/>
    <w:rPr>
      <w:rFonts w:asciiTheme="majorHAnsi" w:eastAsiaTheme="majorEastAsia" w:hAnsiTheme="majorHAnsi" w:cstheme="majorBidi"/>
      <w:i/>
      <w:iCs/>
      <w:color w:val="404040" w:themeColor="text1" w:themeTint="BF"/>
      <w:sz w:val="17"/>
      <w:szCs w:val="17"/>
      <w:lang w:eastAsia="de-DE"/>
    </w:rPr>
  </w:style>
  <w:style w:type="character" w:customStyle="1" w:styleId="Heading8Char">
    <w:name w:val="Heading 8 Char"/>
    <w:basedOn w:val="DefaultParagraphFont"/>
    <w:link w:val="Heading8"/>
    <w:semiHidden/>
    <w:rsid w:val="0095652F"/>
    <w:rPr>
      <w:rFonts w:asciiTheme="majorHAnsi" w:eastAsiaTheme="majorEastAsia" w:hAnsiTheme="majorHAnsi" w:cstheme="majorBidi"/>
      <w:color w:val="404040" w:themeColor="text1" w:themeTint="BF"/>
      <w:lang w:eastAsia="de-DE"/>
    </w:rPr>
  </w:style>
  <w:style w:type="character" w:customStyle="1" w:styleId="Heading9Char">
    <w:name w:val="Heading 9 Char"/>
    <w:basedOn w:val="DefaultParagraphFont"/>
    <w:link w:val="Heading9"/>
    <w:semiHidden/>
    <w:rsid w:val="0095652F"/>
    <w:rPr>
      <w:rFonts w:asciiTheme="majorHAnsi" w:eastAsiaTheme="majorEastAsia" w:hAnsiTheme="majorHAnsi" w:cstheme="majorBidi"/>
      <w:i/>
      <w:iCs/>
      <w:color w:val="404040" w:themeColor="text1" w:themeTint="BF"/>
      <w:lang w:eastAsia="de-DE"/>
    </w:rPr>
  </w:style>
  <w:style w:type="character" w:customStyle="1" w:styleId="Heading2Char">
    <w:name w:val="Heading 2 Char"/>
    <w:basedOn w:val="DefaultParagraphFont"/>
    <w:link w:val="Heading2"/>
    <w:rsid w:val="0095652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5652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5652F"/>
    <w:rPr>
      <w:rFonts w:ascii="Arial" w:eastAsia="SimSun" w:hAnsi="Arial" w:cs="Arial"/>
      <w:bCs/>
      <w:i/>
      <w:sz w:val="22"/>
      <w:szCs w:val="28"/>
      <w:lang w:eastAsia="zh-CN"/>
    </w:rPr>
  </w:style>
  <w:style w:type="paragraph" w:customStyle="1" w:styleId="StyleHeading2ItalicUnderlineLeft05cm">
    <w:name w:val="Style Heading 2 + Italic Underline Left:  05 cm"/>
    <w:basedOn w:val="Normal"/>
    <w:rsid w:val="0095652F"/>
    <w:pPr>
      <w:pBdr>
        <w:top w:val="single" w:sz="6" w:space="4" w:color="auto"/>
        <w:bottom w:val="single" w:sz="6" w:space="4" w:color="auto"/>
      </w:pBdr>
      <w:tabs>
        <w:tab w:val="right" w:pos="9356"/>
      </w:tabs>
    </w:pPr>
    <w:rPr>
      <w:rFonts w:eastAsia="Times New Roman"/>
      <w:sz w:val="17"/>
      <w:lang w:eastAsia="en-US"/>
    </w:rPr>
  </w:style>
  <w:style w:type="paragraph" w:customStyle="1" w:styleId="EditorialNote">
    <w:name w:val="Editorial Note"/>
    <w:basedOn w:val="Normal"/>
    <w:rsid w:val="0095652F"/>
    <w:pPr>
      <w:spacing w:after="200"/>
      <w:jc w:val="center"/>
    </w:pPr>
    <w:rPr>
      <w:rFonts w:eastAsia="Times New Roman" w:cs="Times New Roman"/>
      <w:i/>
      <w:iCs/>
      <w:sz w:val="17"/>
      <w:lang w:eastAsia="en-US"/>
    </w:rPr>
  </w:style>
  <w:style w:type="paragraph" w:customStyle="1" w:styleId="DocumentTitle">
    <w:name w:val="Document Title"/>
    <w:basedOn w:val="Normal"/>
    <w:rsid w:val="0095652F"/>
    <w:pPr>
      <w:spacing w:after="200"/>
      <w:jc w:val="center"/>
    </w:pPr>
    <w:rPr>
      <w:rFonts w:eastAsia="Times New Roman" w:cs="Times New Roman"/>
      <w:sz w:val="17"/>
      <w:lang w:eastAsia="de-DE"/>
    </w:rPr>
  </w:style>
  <w:style w:type="paragraph" w:styleId="TOC5">
    <w:name w:val="toc 5"/>
    <w:basedOn w:val="Normal"/>
    <w:next w:val="Normal"/>
    <w:autoRedefine/>
    <w:uiPriority w:val="39"/>
    <w:unhideWhenUsed/>
    <w:rsid w:val="0095652F"/>
    <w:pPr>
      <w:spacing w:after="100"/>
      <w:ind w:left="680"/>
    </w:pPr>
    <w:rPr>
      <w:rFonts w:eastAsia="Times New Roman"/>
      <w:sz w:val="17"/>
      <w:szCs w:val="17"/>
      <w:lang w:eastAsia="de-DE"/>
    </w:rPr>
  </w:style>
  <w:style w:type="paragraph" w:styleId="TOC6">
    <w:name w:val="toc 6"/>
    <w:basedOn w:val="Normal"/>
    <w:next w:val="Normal"/>
    <w:autoRedefine/>
    <w:uiPriority w:val="39"/>
    <w:unhideWhenUsed/>
    <w:rsid w:val="0095652F"/>
    <w:pPr>
      <w:spacing w:after="100"/>
      <w:ind w:left="850"/>
    </w:pPr>
    <w:rPr>
      <w:rFonts w:eastAsia="Times New Roman"/>
      <w:sz w:val="17"/>
      <w:szCs w:val="17"/>
      <w:lang w:eastAsia="de-DE"/>
    </w:rPr>
  </w:style>
  <w:style w:type="paragraph" w:styleId="Date">
    <w:name w:val="Date"/>
    <w:basedOn w:val="Normal"/>
    <w:next w:val="Normal"/>
    <w:link w:val="DateChar"/>
    <w:rsid w:val="0095652F"/>
    <w:pPr>
      <w:spacing w:after="200"/>
    </w:pPr>
    <w:rPr>
      <w:rFonts w:eastAsia="Times New Roman"/>
      <w:sz w:val="17"/>
      <w:szCs w:val="17"/>
      <w:lang w:eastAsia="de-DE"/>
    </w:rPr>
  </w:style>
  <w:style w:type="character" w:customStyle="1" w:styleId="DateChar">
    <w:name w:val="Date Char"/>
    <w:basedOn w:val="DefaultParagraphFont"/>
    <w:link w:val="Date"/>
    <w:rsid w:val="0095652F"/>
    <w:rPr>
      <w:rFonts w:ascii="Arial" w:eastAsia="Times New Roman" w:hAnsi="Arial" w:cs="Arial"/>
      <w:sz w:val="17"/>
      <w:szCs w:val="17"/>
      <w:lang w:eastAsia="de-DE"/>
    </w:rPr>
  </w:style>
  <w:style w:type="character" w:customStyle="1" w:styleId="il">
    <w:name w:val="il"/>
    <w:basedOn w:val="DefaultParagraphFont"/>
    <w:rsid w:val="0095652F"/>
  </w:style>
  <w:style w:type="character" w:customStyle="1" w:styleId="FootnoteTextChar">
    <w:name w:val="Footnote Text Char"/>
    <w:basedOn w:val="DefaultParagraphFont"/>
    <w:link w:val="FootnoteText"/>
    <w:semiHidden/>
    <w:rsid w:val="0095652F"/>
    <w:rPr>
      <w:rFonts w:ascii="Arial" w:eastAsia="SimSun" w:hAnsi="Arial" w:cs="Arial"/>
      <w:sz w:val="18"/>
      <w:lang w:eastAsia="zh-CN"/>
    </w:rPr>
  </w:style>
  <w:style w:type="paragraph" w:styleId="TOC7">
    <w:name w:val="toc 7"/>
    <w:basedOn w:val="Normal"/>
    <w:next w:val="Normal"/>
    <w:autoRedefine/>
    <w:uiPriority w:val="39"/>
    <w:unhideWhenUsed/>
    <w:rsid w:val="0095652F"/>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95652F"/>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95652F"/>
    <w:pPr>
      <w:spacing w:after="100" w:line="276" w:lineRule="auto"/>
      <w:ind w:left="1760"/>
    </w:pPr>
    <w:rPr>
      <w:rFonts w:asciiTheme="minorHAnsi" w:eastAsiaTheme="minorEastAsia" w:hAnsiTheme="minorHAnsi" w:cstheme="minorBidi"/>
      <w:szCs w:val="22"/>
      <w:lang w:eastAsia="en-US"/>
    </w:rPr>
  </w:style>
  <w:style w:type="numbering" w:customStyle="1" w:styleId="NoList1">
    <w:name w:val="No List1"/>
    <w:next w:val="NoList"/>
    <w:uiPriority w:val="99"/>
    <w:semiHidden/>
    <w:unhideWhenUsed/>
    <w:rsid w:val="00087F49"/>
  </w:style>
  <w:style w:type="table" w:customStyle="1" w:styleId="TableGrid1">
    <w:name w:val="Table Grid1"/>
    <w:basedOn w:val="TableNormal"/>
    <w:next w:val="TableGrid"/>
    <w:rsid w:val="00087F49"/>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512B"/>
  </w:style>
  <w:style w:type="table" w:customStyle="1" w:styleId="TableGrid2">
    <w:name w:val="Table Grid2"/>
    <w:basedOn w:val="TableNormal"/>
    <w:next w:val="TableGrid"/>
    <w:rsid w:val="00E1512B"/>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874A5"/>
    <w:pPr>
      <w:spacing w:before="100" w:beforeAutospacing="1" w:after="100" w:afterAutospacing="1"/>
    </w:pPr>
    <w:rPr>
      <w:rFonts w:ascii="Times New Roman" w:eastAsia="Times New Roman" w:hAnsi="Times New Roman" w:cs="Times New Roman"/>
      <w:sz w:val="20"/>
      <w:lang w:eastAsia="en-CA"/>
    </w:rPr>
  </w:style>
  <w:style w:type="paragraph" w:customStyle="1" w:styleId="xl66">
    <w:name w:val="xl66"/>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eastAsia="en-CA"/>
    </w:rPr>
  </w:style>
  <w:style w:type="paragraph" w:customStyle="1" w:styleId="xl67">
    <w:name w:val="xl67"/>
    <w:basedOn w:val="Normal"/>
    <w:rsid w:val="008874A5"/>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eastAsia="en-CA"/>
    </w:rPr>
  </w:style>
  <w:style w:type="paragraph" w:customStyle="1" w:styleId="xl68">
    <w:name w:val="xl68"/>
    <w:basedOn w:val="Normal"/>
    <w:rsid w:val="008874A5"/>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eastAsia="en-CA"/>
    </w:rPr>
  </w:style>
  <w:style w:type="paragraph" w:customStyle="1" w:styleId="xl69">
    <w:name w:val="xl69"/>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b/>
      <w:bCs/>
      <w:color w:val="333333"/>
      <w:sz w:val="20"/>
      <w:lang w:eastAsia="en-CA"/>
    </w:rPr>
  </w:style>
  <w:style w:type="character" w:customStyle="1" w:styleId="uworddic">
    <w:name w:val="u_word_dic"/>
    <w:basedOn w:val="DefaultParagraphFont"/>
    <w:rsid w:val="00A65B54"/>
  </w:style>
  <w:style w:type="paragraph" w:customStyle="1" w:styleId="TOC20">
    <w:name w:val="TOC .2"/>
    <w:basedOn w:val="Normal"/>
    <w:qFormat/>
    <w:rsid w:val="0024083C"/>
    <w:pPr>
      <w:keepLines/>
      <w:widowControl w:val="0"/>
      <w:kinsoku w:val="0"/>
      <w:spacing w:after="200" w:line="259" w:lineRule="auto"/>
      <w:outlineLvl w:val="1"/>
    </w:pPr>
    <w:rPr>
      <w:rFonts w:eastAsia="Malgun Gothic"/>
      <w:bCs/>
      <w:sz w:val="17"/>
      <w:szCs w:val="17"/>
      <w:lang w:eastAsia="en-US"/>
    </w:rPr>
  </w:style>
  <w:style w:type="paragraph" w:customStyle="1" w:styleId="TOC30">
    <w:name w:val="TOC .3"/>
    <w:basedOn w:val="Normal"/>
    <w:qFormat/>
    <w:rsid w:val="0024083C"/>
    <w:pPr>
      <w:keepLines/>
      <w:widowControl w:val="0"/>
      <w:kinsoku w:val="0"/>
      <w:spacing w:after="200" w:line="259" w:lineRule="auto"/>
      <w:outlineLvl w:val="1"/>
    </w:pPr>
    <w:rPr>
      <w:rFonts w:eastAsia="Malgun Gothic"/>
      <w:b/>
      <w:bCs/>
      <w:sz w:val="17"/>
      <w:szCs w:val="17"/>
      <w:lang w:eastAsia="en-US"/>
    </w:rPr>
  </w:style>
  <w:style w:type="paragraph" w:customStyle="1" w:styleId="TOC40">
    <w:name w:val="TOC .4"/>
    <w:basedOn w:val="Normal"/>
    <w:qFormat/>
    <w:rsid w:val="0024083C"/>
    <w:pPr>
      <w:keepLines/>
      <w:widowControl w:val="0"/>
      <w:kinsoku w:val="0"/>
      <w:spacing w:after="200" w:line="259" w:lineRule="auto"/>
      <w:outlineLvl w:val="1"/>
    </w:pPr>
    <w:rPr>
      <w:rFonts w:eastAsia="Malgun Gothic"/>
      <w:b/>
      <w:bCs/>
      <w:sz w:val="17"/>
      <w:szCs w:val="17"/>
      <w:lang w:eastAsia="en-US"/>
    </w:rPr>
  </w:style>
  <w:style w:type="character" w:styleId="UnresolvedMention">
    <w:name w:val="Unresolved Mention"/>
    <w:basedOn w:val="DefaultParagraphFont"/>
    <w:uiPriority w:val="99"/>
    <w:semiHidden/>
    <w:unhideWhenUsed/>
    <w:rsid w:val="00C62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29897">
      <w:bodyDiv w:val="1"/>
      <w:marLeft w:val="0"/>
      <w:marRight w:val="0"/>
      <w:marTop w:val="0"/>
      <w:marBottom w:val="0"/>
      <w:divBdr>
        <w:top w:val="none" w:sz="0" w:space="0" w:color="auto"/>
        <w:left w:val="none" w:sz="0" w:space="0" w:color="auto"/>
        <w:bottom w:val="none" w:sz="0" w:space="0" w:color="auto"/>
        <w:right w:val="none" w:sz="0" w:space="0" w:color="auto"/>
      </w:divBdr>
    </w:div>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68057655">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39370042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5077321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994645191">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290358877">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4068047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71695941">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38584706">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es/pdf/03-02-01.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standards/es/pdf/03-87-0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standards/es/pdf/03-16-01.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standards/es/pdf/03-13-01.pdf" TargetMode="External"/><Relationship Id="rId4" Type="http://schemas.openxmlformats.org/officeDocument/2006/relationships/settings" Target="settings.xml"/><Relationship Id="rId9" Type="http://schemas.openxmlformats.org/officeDocument/2006/relationships/hyperlink" Target="https://www.wipo.int/export/sites/www/standards/es/pdf/03-03-01.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20E3-4798-467C-82E8-A9D2D415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4329</Words>
  <Characters>23005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ST.27 - Recommendation for the Exchange of Patent Legal Status Data</vt:lpstr>
    </vt:vector>
  </TitlesOfParts>
  <Company>WIPO</Company>
  <LinksUpToDate>false</LinksUpToDate>
  <CharactersWithSpaces>27280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ST.27 - Recommendation for the Exchange of Patent Legal Status Data</dc:title>
  <dc:subject>Standards - ST.27</dc:subject>
  <dc:creator>WIPO</dc:creator>
  <cp:keywords>FOR OFFICIAL USE ONLY</cp:keywords>
  <cp:lastModifiedBy>CILLERO Francisco</cp:lastModifiedBy>
  <cp:revision>10</cp:revision>
  <cp:lastPrinted>2020-12-18T13:21:00Z</cp:lastPrinted>
  <dcterms:created xsi:type="dcterms:W3CDTF">2024-07-26T09:39:00Z</dcterms:created>
  <dcterms:modified xsi:type="dcterms:W3CDTF">2024-09-24T14:16:00Z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75956960-5fe8-4a29-a74b-776401ca9aed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lassificationContentMarkingFooterShapeIds">
    <vt:lpwstr>1,2,5,7,8,b,d,e,11,14,15,16,17,1c,1d,1e,1f,20</vt:lpwstr>
  </property>
  <property fmtid="{D5CDD505-2E9C-101B-9397-08002B2CF9AE}" pid="8" name="ClassificationContentMarkingFooterFontProps">
    <vt:lpwstr>#000000,10,Calibri</vt:lpwstr>
  </property>
  <property fmtid="{D5CDD505-2E9C-101B-9397-08002B2CF9AE}" pid="9" name="ClassificationContentMarkingFooterText">
    <vt:lpwstr>WIPO FOR OFFICIAL USE ONLY </vt:lpwstr>
  </property>
  <property fmtid="{D5CDD505-2E9C-101B-9397-08002B2CF9AE}" pid="10" name="MSIP_Label_bfc084f7-b690-4c43-8ee6-d475b6d3461d_Enabled">
    <vt:lpwstr>true</vt:lpwstr>
  </property>
  <property fmtid="{D5CDD505-2E9C-101B-9397-08002B2CF9AE}" pid="11" name="MSIP_Label_bfc084f7-b690-4c43-8ee6-d475b6d3461d_SetDate">
    <vt:lpwstr>2024-07-10T12:28:27Z</vt:lpwstr>
  </property>
  <property fmtid="{D5CDD505-2E9C-101B-9397-08002B2CF9AE}" pid="12" name="MSIP_Label_bfc084f7-b690-4c43-8ee6-d475b6d3461d_Method">
    <vt:lpwstr>Standard</vt:lpwstr>
  </property>
  <property fmtid="{D5CDD505-2E9C-101B-9397-08002B2CF9AE}" pid="13" name="MSIP_Label_bfc084f7-b690-4c43-8ee6-d475b6d3461d_Name">
    <vt:lpwstr>FOR OFFICIAL USE ONLY</vt:lpwstr>
  </property>
  <property fmtid="{D5CDD505-2E9C-101B-9397-08002B2CF9AE}" pid="14" name="MSIP_Label_bfc084f7-b690-4c43-8ee6-d475b6d3461d_SiteId">
    <vt:lpwstr>faa31b06-8ccc-48c9-867f-f7510dd11c02</vt:lpwstr>
  </property>
  <property fmtid="{D5CDD505-2E9C-101B-9397-08002B2CF9AE}" pid="15" name="MSIP_Label_bfc084f7-b690-4c43-8ee6-d475b6d3461d_ActionId">
    <vt:lpwstr>add13506-6c23-4761-ae90-d7f8c6d22436</vt:lpwstr>
  </property>
  <property fmtid="{D5CDD505-2E9C-101B-9397-08002B2CF9AE}" pid="16" name="MSIP_Label_bfc084f7-b690-4c43-8ee6-d475b6d3461d_ContentBits">
    <vt:lpwstr>2</vt:lpwstr>
  </property>
</Properties>
</file>