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C9E01" w14:textId="77777777" w:rsidR="008B2CC1" w:rsidRPr="001F4F39" w:rsidRDefault="008B14EA" w:rsidP="008B14EA">
      <w:pPr>
        <w:spacing w:after="120"/>
        <w:jc w:val="right"/>
        <w:rPr>
          <w:lang w:val="es-ES_tradnl"/>
        </w:rPr>
      </w:pPr>
      <w:r w:rsidRPr="001F4F39">
        <w:rPr>
          <w:noProof/>
          <w:lang w:val="es-ES_tradnl" w:eastAsia="en-US"/>
        </w:rPr>
        <w:drawing>
          <wp:inline distT="0" distB="0" distL="0" distR="0" wp14:anchorId="1EEEF7F4" wp14:editId="50AB18D1">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1F4F39">
        <w:rPr>
          <w:rFonts w:ascii="Arial Black" w:hAnsi="Arial Black"/>
          <w:caps/>
          <w:noProof/>
          <w:sz w:val="15"/>
          <w:szCs w:val="15"/>
          <w:lang w:val="es-ES_tradnl" w:eastAsia="en-US"/>
        </w:rPr>
        <mc:AlternateContent>
          <mc:Choice Requires="wps">
            <w:drawing>
              <wp:inline distT="0" distB="0" distL="0" distR="0" wp14:anchorId="4EE3E736" wp14:editId="1829E1EE">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AABF9E1"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3C167A5C" w14:textId="77777777" w:rsidR="008B2CC1" w:rsidRPr="001F4F39" w:rsidRDefault="0066216D" w:rsidP="008B14EA">
      <w:pPr>
        <w:jc w:val="right"/>
        <w:rPr>
          <w:rFonts w:ascii="Arial Black" w:hAnsi="Arial Black"/>
          <w:caps/>
          <w:sz w:val="15"/>
          <w:lang w:val="es-ES_tradnl"/>
        </w:rPr>
      </w:pPr>
      <w:r w:rsidRPr="001F4F39">
        <w:rPr>
          <w:rFonts w:ascii="Arial Black" w:hAnsi="Arial Black"/>
          <w:caps/>
          <w:sz w:val="15"/>
          <w:lang w:val="es-ES_tradnl"/>
        </w:rPr>
        <w:t>CWS/1</w:t>
      </w:r>
      <w:r w:rsidR="00970F3D" w:rsidRPr="001F4F39">
        <w:rPr>
          <w:rFonts w:ascii="Arial Black" w:hAnsi="Arial Black"/>
          <w:caps/>
          <w:sz w:val="15"/>
          <w:lang w:val="es-ES_tradnl"/>
        </w:rPr>
        <w:t>2</w:t>
      </w:r>
      <w:r w:rsidRPr="001F4F39">
        <w:rPr>
          <w:rFonts w:ascii="Arial Black" w:hAnsi="Arial Black"/>
          <w:caps/>
          <w:sz w:val="15"/>
          <w:lang w:val="es-ES_tradnl"/>
        </w:rPr>
        <w:t>/</w:t>
      </w:r>
      <w:bookmarkStart w:id="0" w:name="Code"/>
      <w:bookmarkEnd w:id="0"/>
      <w:r w:rsidR="001F4F39" w:rsidRPr="001F4F39">
        <w:rPr>
          <w:rFonts w:ascii="Arial Black" w:hAnsi="Arial Black"/>
          <w:caps/>
          <w:sz w:val="15"/>
          <w:lang w:val="es-ES_tradnl"/>
        </w:rPr>
        <w:t>24</w:t>
      </w:r>
    </w:p>
    <w:p w14:paraId="4560E7C6" w14:textId="77777777" w:rsidR="008B2CC1" w:rsidRPr="001F4F39" w:rsidRDefault="008B14EA" w:rsidP="008B14EA">
      <w:pPr>
        <w:jc w:val="right"/>
        <w:rPr>
          <w:rFonts w:ascii="Arial Black" w:hAnsi="Arial Black"/>
          <w:caps/>
          <w:sz w:val="15"/>
          <w:lang w:val="es-ES_tradnl"/>
        </w:rPr>
      </w:pPr>
      <w:r w:rsidRPr="001F4F39">
        <w:rPr>
          <w:rFonts w:ascii="Arial Black" w:hAnsi="Arial Black"/>
          <w:caps/>
          <w:sz w:val="15"/>
          <w:lang w:val="es-ES_tradnl"/>
        </w:rPr>
        <w:t xml:space="preserve">ORIGINAL: </w:t>
      </w:r>
      <w:bookmarkStart w:id="1" w:name="Original"/>
      <w:r w:rsidR="001F4F39" w:rsidRPr="001F4F39">
        <w:rPr>
          <w:rFonts w:ascii="Arial Black" w:hAnsi="Arial Black"/>
          <w:caps/>
          <w:sz w:val="15"/>
          <w:lang w:val="es-ES_tradnl"/>
        </w:rPr>
        <w:t>INGLÉS</w:t>
      </w:r>
    </w:p>
    <w:bookmarkEnd w:id="1"/>
    <w:p w14:paraId="31A8744B" w14:textId="77777777" w:rsidR="008B2CC1" w:rsidRPr="001F4F39" w:rsidRDefault="008B14EA" w:rsidP="008B14EA">
      <w:pPr>
        <w:spacing w:after="1200"/>
        <w:jc w:val="right"/>
        <w:rPr>
          <w:rFonts w:ascii="Arial Black" w:hAnsi="Arial Black"/>
          <w:caps/>
          <w:sz w:val="15"/>
          <w:lang w:val="es-ES_tradnl"/>
        </w:rPr>
      </w:pPr>
      <w:r w:rsidRPr="001F4F39">
        <w:rPr>
          <w:rFonts w:ascii="Arial Black" w:hAnsi="Arial Black"/>
          <w:caps/>
          <w:sz w:val="15"/>
          <w:lang w:val="es-ES_tradnl"/>
        </w:rPr>
        <w:t xml:space="preserve">FECHA: </w:t>
      </w:r>
      <w:bookmarkStart w:id="2" w:name="Date"/>
      <w:r w:rsidR="001F4F39" w:rsidRPr="001F4F39">
        <w:rPr>
          <w:rFonts w:ascii="Arial Black" w:hAnsi="Arial Black"/>
          <w:caps/>
          <w:sz w:val="15"/>
          <w:lang w:val="es-ES_tradnl"/>
        </w:rPr>
        <w:t>15 DE AGOSTO DE 2024</w:t>
      </w:r>
    </w:p>
    <w:bookmarkEnd w:id="2"/>
    <w:p w14:paraId="26822129" w14:textId="77777777" w:rsidR="008B2CC1" w:rsidRPr="001F4F39" w:rsidRDefault="0066216D" w:rsidP="008B14EA">
      <w:pPr>
        <w:spacing w:after="600"/>
        <w:rPr>
          <w:b/>
          <w:sz w:val="28"/>
          <w:szCs w:val="28"/>
          <w:lang w:val="es-ES_tradnl"/>
        </w:rPr>
      </w:pPr>
      <w:r w:rsidRPr="001F4F39">
        <w:rPr>
          <w:b/>
          <w:sz w:val="28"/>
          <w:szCs w:val="28"/>
          <w:lang w:val="es-ES_tradnl"/>
        </w:rPr>
        <w:t>Comité de Normas Técnicas de la OMPI (CWS)</w:t>
      </w:r>
    </w:p>
    <w:p w14:paraId="693EF969" w14:textId="77777777" w:rsidR="00511D0C" w:rsidRPr="001F4F39" w:rsidRDefault="00970F3D" w:rsidP="00511D0C">
      <w:pPr>
        <w:rPr>
          <w:b/>
          <w:sz w:val="28"/>
          <w:szCs w:val="24"/>
          <w:lang w:val="es-ES_tradnl"/>
        </w:rPr>
      </w:pPr>
      <w:r w:rsidRPr="001F4F39">
        <w:rPr>
          <w:b/>
          <w:sz w:val="24"/>
          <w:lang w:val="es-ES_tradnl"/>
        </w:rPr>
        <w:t>Duodécima</w:t>
      </w:r>
      <w:r w:rsidR="0066216D" w:rsidRPr="001F4F39">
        <w:rPr>
          <w:b/>
          <w:sz w:val="24"/>
          <w:lang w:val="es-ES_tradnl"/>
        </w:rPr>
        <w:t xml:space="preserve"> sesión</w:t>
      </w:r>
    </w:p>
    <w:p w14:paraId="2FF310FB" w14:textId="031EE17E" w:rsidR="008B2CC1" w:rsidRPr="001F4F39" w:rsidRDefault="0066216D" w:rsidP="008B14EA">
      <w:pPr>
        <w:spacing w:after="720"/>
        <w:rPr>
          <w:b/>
          <w:sz w:val="28"/>
          <w:szCs w:val="24"/>
          <w:lang w:val="es-ES_tradnl"/>
        </w:rPr>
      </w:pPr>
      <w:r w:rsidRPr="001F4F39">
        <w:rPr>
          <w:b/>
          <w:sz w:val="24"/>
          <w:lang w:val="es-ES_tradnl"/>
        </w:rPr>
        <w:t xml:space="preserve">Ginebra, </w:t>
      </w:r>
      <w:r w:rsidR="00970F3D" w:rsidRPr="001F4F39">
        <w:rPr>
          <w:b/>
          <w:sz w:val="24"/>
          <w:lang w:val="es-ES_tradnl"/>
        </w:rPr>
        <w:t xml:space="preserve">16 a </w:t>
      </w:r>
      <w:r w:rsidR="006E6B2A">
        <w:rPr>
          <w:b/>
          <w:sz w:val="24"/>
          <w:lang w:val="es-ES_tradnl"/>
        </w:rPr>
        <w:t>19</w:t>
      </w:r>
      <w:r w:rsidR="00970F3D" w:rsidRPr="001F4F39">
        <w:rPr>
          <w:b/>
          <w:sz w:val="24"/>
          <w:lang w:val="es-ES_tradnl"/>
        </w:rPr>
        <w:t xml:space="preserve"> de septiembre de 2024</w:t>
      </w:r>
    </w:p>
    <w:p w14:paraId="1ADF2CE0" w14:textId="01C0C93F" w:rsidR="008B2CC1" w:rsidRPr="001F4F39" w:rsidRDefault="001F4F39" w:rsidP="008B14EA">
      <w:pPr>
        <w:spacing w:after="360"/>
        <w:rPr>
          <w:caps/>
          <w:sz w:val="24"/>
          <w:lang w:val="es-ES_tradnl"/>
        </w:rPr>
      </w:pPr>
      <w:bookmarkStart w:id="3" w:name="TitleOfDoc"/>
      <w:r w:rsidRPr="001F4F39">
        <w:rPr>
          <w:caps/>
          <w:sz w:val="24"/>
          <w:lang w:val="es-ES_tradnl"/>
        </w:rPr>
        <w:t>Informe sobre los informes técnicos anuales de 2023</w:t>
      </w:r>
    </w:p>
    <w:p w14:paraId="7EC94FFC" w14:textId="242D456A" w:rsidR="008B2CC1" w:rsidRPr="001F4F39" w:rsidRDefault="001F4F39" w:rsidP="008B14EA">
      <w:pPr>
        <w:spacing w:after="960"/>
        <w:rPr>
          <w:i/>
          <w:lang w:val="es-ES_tradnl"/>
        </w:rPr>
      </w:pPr>
      <w:bookmarkStart w:id="4" w:name="Prepared"/>
      <w:bookmarkEnd w:id="3"/>
      <w:r w:rsidRPr="001F4F39">
        <w:rPr>
          <w:i/>
          <w:lang w:val="es-ES_tradnl"/>
        </w:rPr>
        <w:t>preparado por la Secretaría</w:t>
      </w:r>
    </w:p>
    <w:bookmarkEnd w:id="4"/>
    <w:p w14:paraId="4C88A4AC" w14:textId="77777777" w:rsidR="001F4F39" w:rsidRPr="001F4F39" w:rsidRDefault="001F4F39" w:rsidP="001F4F39">
      <w:pPr>
        <w:pStyle w:val="Heading2"/>
        <w:spacing w:before="0" w:after="120"/>
        <w:rPr>
          <w:rFonts w:eastAsia="Malgun Gothic"/>
          <w:caps w:val="0"/>
          <w:szCs w:val="22"/>
          <w:lang w:val="es-ES_tradnl"/>
        </w:rPr>
      </w:pPr>
      <w:r w:rsidRPr="001F4F39">
        <w:rPr>
          <w:caps w:val="0"/>
          <w:lang w:val="es-ES_tradnl"/>
        </w:rPr>
        <w:t>RESUMEN</w:t>
      </w:r>
    </w:p>
    <w:p w14:paraId="31223C0B" w14:textId="77777777" w:rsidR="001F4F39" w:rsidRPr="001F4F39" w:rsidRDefault="001F4F39" w:rsidP="001F4F39">
      <w:pPr>
        <w:pStyle w:val="ONUMFS"/>
        <w:numPr>
          <w:ilvl w:val="0"/>
          <w:numId w:val="0"/>
        </w:numPr>
        <w:spacing w:after="480"/>
        <w:rPr>
          <w:lang w:val="es-ES_tradnl"/>
        </w:rPr>
      </w:pPr>
      <w:r w:rsidRPr="001F4F39">
        <w:rPr>
          <w:lang w:val="es-ES_tradnl"/>
        </w:rPr>
        <w:fldChar w:fldCharType="begin"/>
      </w:r>
      <w:r w:rsidRPr="001F4F39">
        <w:rPr>
          <w:lang w:val="es-ES_tradnl"/>
        </w:rPr>
        <w:instrText xml:space="preserve"> AUTONUM  </w:instrText>
      </w:r>
      <w:r w:rsidRPr="001F4F39">
        <w:rPr>
          <w:lang w:val="es-ES_tradnl"/>
        </w:rPr>
        <w:fldChar w:fldCharType="end"/>
      </w:r>
      <w:r w:rsidRPr="001F4F39">
        <w:rPr>
          <w:lang w:val="es-ES_tradnl"/>
        </w:rPr>
        <w:tab/>
        <w:t>El presente documento contiene información sobre los informes técnicos anuales (ATR) presentados en 2024 por las Oficinas de propiedad intelectual (OPI). Habida cuenta de que el período piloto en el que se utilizó el formato simplificado concluyó con un aumento del número de informes recibidos, la Oficina Internacional propone continuar con la compilación de los ATR.</w:t>
      </w:r>
    </w:p>
    <w:p w14:paraId="09663882" w14:textId="77777777" w:rsidR="001F4F39" w:rsidRPr="001F4F39" w:rsidRDefault="001F4F39" w:rsidP="001F4F39">
      <w:pPr>
        <w:pStyle w:val="Heading2"/>
        <w:spacing w:before="0" w:after="120"/>
        <w:rPr>
          <w:rFonts w:eastAsia="Malgun Gothic"/>
          <w:caps w:val="0"/>
          <w:szCs w:val="22"/>
          <w:lang w:val="es-ES_tradnl"/>
        </w:rPr>
      </w:pPr>
      <w:r w:rsidRPr="001F4F39">
        <w:rPr>
          <w:caps w:val="0"/>
          <w:lang w:val="es-ES_tradnl"/>
        </w:rPr>
        <w:t>ANTECEDENTES</w:t>
      </w:r>
    </w:p>
    <w:p w14:paraId="319283C8" w14:textId="77777777" w:rsidR="001F4F39" w:rsidRPr="001F4F39" w:rsidRDefault="001F4F39" w:rsidP="001F4F39">
      <w:pPr>
        <w:pStyle w:val="ONUMFS"/>
        <w:numPr>
          <w:ilvl w:val="0"/>
          <w:numId w:val="0"/>
        </w:numPr>
        <w:spacing w:after="240"/>
        <w:rPr>
          <w:lang w:val="es-ES_tradnl"/>
        </w:rPr>
      </w:pPr>
      <w:r w:rsidRPr="001F4F39">
        <w:rPr>
          <w:lang w:val="es-ES_tradnl"/>
        </w:rPr>
        <w:fldChar w:fldCharType="begin"/>
      </w:r>
      <w:r w:rsidRPr="001F4F39">
        <w:rPr>
          <w:lang w:val="es-ES_tradnl"/>
        </w:rPr>
        <w:instrText xml:space="preserve"> AUTONUM  </w:instrText>
      </w:r>
      <w:r w:rsidRPr="001F4F39">
        <w:rPr>
          <w:lang w:val="es-ES_tradnl"/>
        </w:rPr>
        <w:fldChar w:fldCharType="end"/>
      </w:r>
      <w:r w:rsidRPr="001F4F39">
        <w:rPr>
          <w:lang w:val="es-ES_tradnl"/>
        </w:rPr>
        <w:tab/>
        <w:t>La Oficina Internacional lleva compilando los ATR desde 1978 y publicándolos en el sitio web de la OMPI desde 1998. Se sigue invitando a las OPI a presentar sus ATR en el marco de la tarea n.º 24, cuya descripción es la siguiente:</w:t>
      </w:r>
    </w:p>
    <w:p w14:paraId="5CD65E1B" w14:textId="77777777" w:rsidR="001F4F39" w:rsidRPr="001F4F39" w:rsidRDefault="001F4F39" w:rsidP="001F4F39">
      <w:pPr>
        <w:pStyle w:val="ONUMFS"/>
        <w:numPr>
          <w:ilvl w:val="0"/>
          <w:numId w:val="0"/>
        </w:numPr>
        <w:spacing w:after="240"/>
        <w:ind w:left="567"/>
        <w:rPr>
          <w:i/>
          <w:iCs/>
          <w:lang w:val="es-ES_tradnl"/>
        </w:rPr>
      </w:pPr>
      <w:r w:rsidRPr="001F4F39">
        <w:rPr>
          <w:i/>
          <w:lang w:val="es-ES_tradnl"/>
        </w:rPr>
        <w:t>“Compilar y publicar informes técnicos anuales sobre las actividades de los miembros del CWS (ATR/PI, ATR/TM, ATR/ID) relativas a información en materia de patentes, marcas y dibujos y modelos industriales”.</w:t>
      </w:r>
    </w:p>
    <w:p w14:paraId="3D024535" w14:textId="0D78914B" w:rsidR="001F4F39" w:rsidRPr="001F4F39" w:rsidRDefault="001F4F39" w:rsidP="001F4F39">
      <w:pPr>
        <w:spacing w:after="240"/>
        <w:rPr>
          <w:lang w:val="es-ES_tradnl"/>
        </w:rPr>
      </w:pPr>
      <w:r w:rsidRPr="001F4F39">
        <w:rPr>
          <w:lang w:val="es-ES_tradnl"/>
        </w:rPr>
        <w:fldChar w:fldCharType="begin"/>
      </w:r>
      <w:r w:rsidRPr="001F4F39">
        <w:rPr>
          <w:lang w:val="es-ES_tradnl"/>
        </w:rPr>
        <w:instrText xml:space="preserve"> AUTONUM  </w:instrText>
      </w:r>
      <w:r w:rsidRPr="001F4F39">
        <w:rPr>
          <w:lang w:val="es-ES_tradnl"/>
        </w:rPr>
        <w:fldChar w:fldCharType="end"/>
      </w:r>
      <w:r w:rsidRPr="001F4F39">
        <w:rPr>
          <w:lang w:val="es-ES_tradnl"/>
        </w:rPr>
        <w:tab/>
        <w:t xml:space="preserve">En su novena sesión, celebrada en 2021, tras constatar la disminución de la participación y de la utilidad, el CWS examinó dos opciones que propuso la Oficina Internacional para mejorar la compilación de los ATR: dejar de compilar los ATR y simplificar dicha compilación mediante la recopilación de enlaces a esta información en los sitios web de las OPI. La Oficina Internacional formuló estas opciones partiendo de la base de que, hoy en día, este tipo de información se puede consultar fácilmente en otras fuentes, con lo que es posible que los objetivos originales de estos ATR se cumplan utilizando otros medios. En particular, los informes anuales y los sitios web de las OPI ofrecen datos técnicos pertinentes, el número de </w:t>
      </w:r>
      <w:r w:rsidRPr="001F4F39">
        <w:rPr>
          <w:lang w:val="es-ES_tradnl"/>
        </w:rPr>
        <w:lastRenderedPageBreak/>
        <w:t>ATR que se presentan está disminuyendo y el número de visitas a los ATR es reducido. (Véase el documento CWS/9/18).</w:t>
      </w:r>
    </w:p>
    <w:p w14:paraId="17B2A84C" w14:textId="213F0673" w:rsidR="001F4F39" w:rsidRPr="001F4F39" w:rsidRDefault="001F4F39" w:rsidP="001F4F39">
      <w:pPr>
        <w:spacing w:after="480"/>
        <w:rPr>
          <w:lang w:val="es-ES_tradnl"/>
        </w:rPr>
      </w:pPr>
      <w:r w:rsidRPr="001F4F39">
        <w:rPr>
          <w:lang w:val="es-ES_tradnl"/>
        </w:rPr>
        <w:fldChar w:fldCharType="begin"/>
      </w:r>
      <w:r w:rsidRPr="001F4F39">
        <w:rPr>
          <w:lang w:val="es-ES_tradnl"/>
        </w:rPr>
        <w:instrText xml:space="preserve"> AUTONUM  </w:instrText>
      </w:r>
      <w:r w:rsidRPr="001F4F39">
        <w:rPr>
          <w:lang w:val="es-ES_tradnl"/>
        </w:rPr>
        <w:fldChar w:fldCharType="end"/>
      </w:r>
      <w:r w:rsidRPr="001F4F39">
        <w:rPr>
          <w:lang w:val="es-ES_tradnl"/>
        </w:rPr>
        <w:tab/>
        <w:t>En la misma sesión, el CWS acordó probar durante un período de tres años la utilización de un formato simplificado en el que las OPI faciliten enlaces a su informe anual o sitio web, en lugar de detallar sus actividades y sistemas mediante la presentación de un texto (véase el párrafo 104 del documento CWS/9/25). Asimismo, el CWS acordó que, una vez transcurrido ese plazo, en su duodécima sesión volvería a examinar la conveniencia de seguir compilando los ATR. (Véase el párrafo 105 del documento CWS/9/25).</w:t>
      </w:r>
    </w:p>
    <w:p w14:paraId="3BEF29CD" w14:textId="77777777" w:rsidR="001F4F39" w:rsidRPr="001F4F39" w:rsidRDefault="001F4F39" w:rsidP="001F4F39">
      <w:pPr>
        <w:pStyle w:val="Heading2"/>
        <w:spacing w:before="0" w:after="120"/>
        <w:rPr>
          <w:lang w:val="es-ES_tradnl"/>
        </w:rPr>
      </w:pPr>
      <w:r w:rsidRPr="001F4F39">
        <w:rPr>
          <w:caps w:val="0"/>
          <w:lang w:val="es-ES_tradnl"/>
        </w:rPr>
        <w:t>INFORMES DE ACTIVIDADES DE 2023</w:t>
      </w:r>
    </w:p>
    <w:p w14:paraId="61236E2B" w14:textId="6595C8B6" w:rsidR="001F4F39" w:rsidRPr="001F4F39" w:rsidRDefault="001F4F39" w:rsidP="001F4F39">
      <w:pPr>
        <w:pStyle w:val="ONUMFS"/>
        <w:numPr>
          <w:ilvl w:val="0"/>
          <w:numId w:val="0"/>
        </w:numPr>
        <w:spacing w:after="480"/>
        <w:rPr>
          <w:lang w:val="es-ES_tradnl"/>
        </w:rPr>
      </w:pPr>
      <w:r w:rsidRPr="001F4F39">
        <w:rPr>
          <w:lang w:val="es-ES_tradnl"/>
        </w:rPr>
        <w:fldChar w:fldCharType="begin"/>
      </w:r>
      <w:r w:rsidRPr="001F4F39">
        <w:rPr>
          <w:lang w:val="es-ES_tradnl"/>
        </w:rPr>
        <w:instrText xml:space="preserve"> AUTONUM  </w:instrText>
      </w:r>
      <w:r w:rsidRPr="001F4F39">
        <w:rPr>
          <w:lang w:val="es-ES_tradnl"/>
        </w:rPr>
        <w:fldChar w:fldCharType="end"/>
      </w:r>
      <w:r w:rsidRPr="001F4F39">
        <w:rPr>
          <w:lang w:val="es-ES_tradnl"/>
        </w:rPr>
        <w:tab/>
        <w:t xml:space="preserve">En abril de 2024, la Secretaría publicó las circulares C.CWS.182, C.CWS.183 y C.CWS.184, en las que pidió a las OPI que presenten ATR sobre sus actividades técnicas en 2023 para cada uno de los principales derechos de propiedad industrial. Se presentaron 65 informes técnicos anuales por parte de 24 OPI. Esto representa un aumento leve con respecto al año pasado, en el que se recibieron 53 informes de 24 OPI sobre sus actividades en 2022. Los informes correspondientes a 2023 están publicados en la wiki de los ATR, en la dirección </w:t>
      </w:r>
      <w:hyperlink r:id="rId8" w:history="1">
        <w:r w:rsidRPr="001F4F39">
          <w:rPr>
            <w:rStyle w:val="Hyperlink"/>
            <w:lang w:val="es-ES_tradnl"/>
          </w:rPr>
          <w:t>https://www3.wipo.int/confluence/display/ATR/Browse+by+Year</w:t>
        </w:r>
      </w:hyperlink>
      <w:r w:rsidRPr="001F4F39">
        <w:rPr>
          <w:lang w:val="es-ES_tradnl"/>
        </w:rPr>
        <w:t>.</w:t>
      </w:r>
    </w:p>
    <w:p w14:paraId="27465984" w14:textId="77777777" w:rsidR="001F4F39" w:rsidRPr="001F4F39" w:rsidRDefault="001F4F39" w:rsidP="001F4F39">
      <w:pPr>
        <w:pStyle w:val="Heading2"/>
        <w:spacing w:before="0" w:after="120"/>
        <w:rPr>
          <w:lang w:val="es-ES_tradnl"/>
        </w:rPr>
      </w:pPr>
      <w:r w:rsidRPr="001F4F39">
        <w:rPr>
          <w:caps w:val="0"/>
          <w:lang w:val="es-ES_tradnl"/>
        </w:rPr>
        <w:t>PROPUESTA DE CONTINUACIÓN</w:t>
      </w:r>
    </w:p>
    <w:p w14:paraId="50E4D406" w14:textId="03CCE79B" w:rsidR="001F4F39" w:rsidRPr="001F4F39" w:rsidRDefault="001F4F39" w:rsidP="001F4F39">
      <w:pPr>
        <w:spacing w:after="240"/>
        <w:rPr>
          <w:lang w:val="es-ES_tradnl"/>
        </w:rPr>
      </w:pPr>
      <w:r w:rsidRPr="001F4F39">
        <w:rPr>
          <w:lang w:val="es-ES_tradnl"/>
        </w:rPr>
        <w:fldChar w:fldCharType="begin"/>
      </w:r>
      <w:r w:rsidRPr="001F4F39">
        <w:rPr>
          <w:lang w:val="es-ES_tradnl"/>
        </w:rPr>
        <w:instrText xml:space="preserve"> AUTONUM  </w:instrText>
      </w:r>
      <w:r w:rsidRPr="001F4F39">
        <w:rPr>
          <w:lang w:val="es-ES_tradnl"/>
        </w:rPr>
        <w:fldChar w:fldCharType="end"/>
      </w:r>
      <w:r w:rsidRPr="001F4F39">
        <w:rPr>
          <w:lang w:val="es-ES_tradnl"/>
        </w:rPr>
        <w:tab/>
        <w:t>Durante los últimos tres años se recibieron informes de 17 OPI en 2022; 24 OPI en 2023; y 24 OPI en 2024. La Oficina Internacional señaló que durante el período piloto ha aumentado el número de solicitudes de ATR y que la plantilla simplificada parece útil para agilizar la elaboración de los informes por las OPI. En el cuadro siguiente se exponen con más detalle las cifras correspondientes a cada tipo de derecho de PI:</w:t>
      </w:r>
    </w:p>
    <w:tbl>
      <w:tblPr>
        <w:tblStyle w:val="TableGrid"/>
        <w:tblW w:w="0" w:type="auto"/>
        <w:tblLook w:val="04A0" w:firstRow="1" w:lastRow="0" w:firstColumn="1" w:lastColumn="0" w:noHBand="0" w:noVBand="1"/>
      </w:tblPr>
      <w:tblGrid>
        <w:gridCol w:w="2694"/>
        <w:gridCol w:w="1886"/>
        <w:gridCol w:w="2374"/>
        <w:gridCol w:w="2391"/>
      </w:tblGrid>
      <w:tr w:rsidR="001F4F39" w:rsidRPr="001F4F39" w14:paraId="6478A83D" w14:textId="77777777" w:rsidTr="00F71756">
        <w:tc>
          <w:tcPr>
            <w:tcW w:w="2695" w:type="dxa"/>
            <w:shd w:val="clear" w:color="auto" w:fill="D9D9D9" w:themeFill="background1" w:themeFillShade="D9"/>
          </w:tcPr>
          <w:p w14:paraId="75A6D76C" w14:textId="77777777" w:rsidR="001F4F39" w:rsidRPr="001F4F39" w:rsidRDefault="001F4F39" w:rsidP="001F4F39">
            <w:pPr>
              <w:jc w:val="center"/>
              <w:rPr>
                <w:b/>
                <w:bCs/>
                <w:noProof/>
                <w:szCs w:val="22"/>
                <w:lang w:val="es-ES_tradnl"/>
              </w:rPr>
            </w:pPr>
            <w:r w:rsidRPr="001F4F39">
              <w:rPr>
                <w:b/>
                <w:lang w:val="es-ES_tradnl"/>
              </w:rPr>
              <w:t>Tipo de informe</w:t>
            </w:r>
          </w:p>
        </w:tc>
        <w:tc>
          <w:tcPr>
            <w:tcW w:w="1886" w:type="dxa"/>
            <w:shd w:val="clear" w:color="auto" w:fill="D9D9D9" w:themeFill="background1" w:themeFillShade="D9"/>
          </w:tcPr>
          <w:p w14:paraId="1CA343FF" w14:textId="77777777" w:rsidR="001F4F39" w:rsidRPr="001F4F39" w:rsidRDefault="001F4F39" w:rsidP="001F4F39">
            <w:pPr>
              <w:jc w:val="center"/>
              <w:rPr>
                <w:b/>
                <w:bCs/>
                <w:noProof/>
                <w:szCs w:val="22"/>
                <w:lang w:val="es-ES_tradnl"/>
              </w:rPr>
            </w:pPr>
            <w:r w:rsidRPr="001F4F39">
              <w:rPr>
                <w:b/>
                <w:lang w:val="es-ES_tradnl"/>
              </w:rPr>
              <w:t>Actividades de 2021</w:t>
            </w:r>
          </w:p>
        </w:tc>
        <w:tc>
          <w:tcPr>
            <w:tcW w:w="2375" w:type="dxa"/>
            <w:shd w:val="clear" w:color="auto" w:fill="D9D9D9" w:themeFill="background1" w:themeFillShade="D9"/>
          </w:tcPr>
          <w:p w14:paraId="3E74478F" w14:textId="77777777" w:rsidR="001F4F39" w:rsidRPr="001F4F39" w:rsidRDefault="001F4F39" w:rsidP="001F4F39">
            <w:pPr>
              <w:jc w:val="center"/>
              <w:rPr>
                <w:b/>
                <w:bCs/>
                <w:noProof/>
                <w:szCs w:val="22"/>
                <w:lang w:val="es-ES_tradnl"/>
              </w:rPr>
            </w:pPr>
            <w:r w:rsidRPr="001F4F39">
              <w:rPr>
                <w:b/>
                <w:lang w:val="es-ES_tradnl"/>
              </w:rPr>
              <w:t>Actividades de 2022</w:t>
            </w:r>
          </w:p>
        </w:tc>
        <w:tc>
          <w:tcPr>
            <w:tcW w:w="2392" w:type="dxa"/>
            <w:shd w:val="clear" w:color="auto" w:fill="D9D9D9" w:themeFill="background1" w:themeFillShade="D9"/>
          </w:tcPr>
          <w:p w14:paraId="0DE9FC17" w14:textId="77777777" w:rsidR="001F4F39" w:rsidRPr="001F4F39" w:rsidRDefault="001F4F39" w:rsidP="001F4F39">
            <w:pPr>
              <w:jc w:val="center"/>
              <w:rPr>
                <w:b/>
                <w:bCs/>
                <w:noProof/>
                <w:szCs w:val="22"/>
                <w:lang w:val="es-ES_tradnl"/>
              </w:rPr>
            </w:pPr>
            <w:r w:rsidRPr="001F4F39">
              <w:rPr>
                <w:b/>
                <w:lang w:val="es-ES_tradnl"/>
              </w:rPr>
              <w:t>Actividades de 2023</w:t>
            </w:r>
          </w:p>
        </w:tc>
      </w:tr>
      <w:tr w:rsidR="001F4F39" w:rsidRPr="001F4F39" w14:paraId="44558F3F" w14:textId="77777777" w:rsidTr="00F71756">
        <w:tc>
          <w:tcPr>
            <w:tcW w:w="2695" w:type="dxa"/>
          </w:tcPr>
          <w:p w14:paraId="03DB1A9C" w14:textId="77777777" w:rsidR="001F4F39" w:rsidRPr="001F4F39" w:rsidRDefault="001F4F39" w:rsidP="001F4F39">
            <w:pPr>
              <w:rPr>
                <w:noProof/>
                <w:szCs w:val="22"/>
                <w:lang w:val="es-ES_tradnl"/>
              </w:rPr>
            </w:pPr>
            <w:r w:rsidRPr="001F4F39">
              <w:rPr>
                <w:lang w:val="es-ES_tradnl"/>
              </w:rPr>
              <w:t>Información en materia de dibujos y modelos industriales</w:t>
            </w:r>
          </w:p>
        </w:tc>
        <w:tc>
          <w:tcPr>
            <w:tcW w:w="1886" w:type="dxa"/>
          </w:tcPr>
          <w:p w14:paraId="07987C1C" w14:textId="77777777" w:rsidR="001F4F39" w:rsidRPr="001F4F39" w:rsidRDefault="001F4F39" w:rsidP="001F4F39">
            <w:pPr>
              <w:jc w:val="center"/>
              <w:rPr>
                <w:noProof/>
                <w:szCs w:val="22"/>
                <w:lang w:val="es-ES_tradnl"/>
              </w:rPr>
            </w:pPr>
            <w:r w:rsidRPr="001F4F39">
              <w:rPr>
                <w:lang w:val="es-ES_tradnl"/>
              </w:rPr>
              <w:t>15</w:t>
            </w:r>
          </w:p>
        </w:tc>
        <w:tc>
          <w:tcPr>
            <w:tcW w:w="2375" w:type="dxa"/>
          </w:tcPr>
          <w:p w14:paraId="7FDE02CD" w14:textId="77777777" w:rsidR="001F4F39" w:rsidRPr="001F4F39" w:rsidRDefault="001F4F39" w:rsidP="001F4F39">
            <w:pPr>
              <w:jc w:val="center"/>
              <w:rPr>
                <w:noProof/>
                <w:szCs w:val="22"/>
                <w:lang w:val="es-ES_tradnl"/>
              </w:rPr>
            </w:pPr>
            <w:r w:rsidRPr="001F4F39">
              <w:rPr>
                <w:lang w:val="es-ES_tradnl"/>
              </w:rPr>
              <w:t>18</w:t>
            </w:r>
          </w:p>
        </w:tc>
        <w:tc>
          <w:tcPr>
            <w:tcW w:w="2392" w:type="dxa"/>
          </w:tcPr>
          <w:p w14:paraId="031E815D" w14:textId="77777777" w:rsidR="001F4F39" w:rsidRPr="001F4F39" w:rsidRDefault="001F4F39" w:rsidP="001F4F39">
            <w:pPr>
              <w:jc w:val="center"/>
              <w:rPr>
                <w:noProof/>
                <w:szCs w:val="22"/>
                <w:lang w:val="es-ES_tradnl"/>
              </w:rPr>
            </w:pPr>
            <w:r w:rsidRPr="001F4F39">
              <w:rPr>
                <w:lang w:val="es-ES_tradnl"/>
              </w:rPr>
              <w:t>19</w:t>
            </w:r>
          </w:p>
        </w:tc>
      </w:tr>
      <w:tr w:rsidR="001F4F39" w:rsidRPr="001F4F39" w14:paraId="1FA75A92" w14:textId="77777777" w:rsidTr="00F71756">
        <w:tc>
          <w:tcPr>
            <w:tcW w:w="2695" w:type="dxa"/>
          </w:tcPr>
          <w:p w14:paraId="21654227" w14:textId="77777777" w:rsidR="001F4F39" w:rsidRPr="001F4F39" w:rsidRDefault="001F4F39" w:rsidP="001F4F39">
            <w:pPr>
              <w:rPr>
                <w:noProof/>
                <w:szCs w:val="22"/>
                <w:lang w:val="es-ES_tradnl"/>
              </w:rPr>
            </w:pPr>
            <w:r w:rsidRPr="001F4F39">
              <w:rPr>
                <w:lang w:val="es-ES_tradnl"/>
              </w:rPr>
              <w:t>Información en materia de patentes</w:t>
            </w:r>
          </w:p>
        </w:tc>
        <w:tc>
          <w:tcPr>
            <w:tcW w:w="1886" w:type="dxa"/>
          </w:tcPr>
          <w:p w14:paraId="44A7899D" w14:textId="77777777" w:rsidR="001F4F39" w:rsidRPr="001F4F39" w:rsidRDefault="001F4F39" w:rsidP="001F4F39">
            <w:pPr>
              <w:jc w:val="center"/>
              <w:rPr>
                <w:noProof/>
                <w:szCs w:val="22"/>
                <w:lang w:val="es-ES_tradnl"/>
              </w:rPr>
            </w:pPr>
            <w:r w:rsidRPr="001F4F39">
              <w:rPr>
                <w:lang w:val="es-ES_tradnl"/>
              </w:rPr>
              <w:t>17</w:t>
            </w:r>
          </w:p>
        </w:tc>
        <w:tc>
          <w:tcPr>
            <w:tcW w:w="2375" w:type="dxa"/>
          </w:tcPr>
          <w:p w14:paraId="6A5735C2" w14:textId="77777777" w:rsidR="001F4F39" w:rsidRPr="001F4F39" w:rsidRDefault="001F4F39" w:rsidP="001F4F39">
            <w:pPr>
              <w:jc w:val="center"/>
              <w:rPr>
                <w:noProof/>
                <w:szCs w:val="22"/>
                <w:lang w:val="es-ES_tradnl"/>
              </w:rPr>
            </w:pPr>
            <w:r w:rsidRPr="001F4F39">
              <w:rPr>
                <w:lang w:val="es-ES_tradnl"/>
              </w:rPr>
              <w:t>17</w:t>
            </w:r>
          </w:p>
        </w:tc>
        <w:tc>
          <w:tcPr>
            <w:tcW w:w="2392" w:type="dxa"/>
          </w:tcPr>
          <w:p w14:paraId="2EB638A2" w14:textId="77777777" w:rsidR="001F4F39" w:rsidRPr="001F4F39" w:rsidRDefault="001F4F39" w:rsidP="001F4F39">
            <w:pPr>
              <w:jc w:val="center"/>
              <w:rPr>
                <w:noProof/>
                <w:szCs w:val="22"/>
                <w:lang w:val="es-ES_tradnl"/>
              </w:rPr>
            </w:pPr>
            <w:r w:rsidRPr="001F4F39">
              <w:rPr>
                <w:lang w:val="es-ES_tradnl"/>
              </w:rPr>
              <w:t>22</w:t>
            </w:r>
          </w:p>
        </w:tc>
      </w:tr>
      <w:tr w:rsidR="001F4F39" w:rsidRPr="001F4F39" w14:paraId="5F08065E" w14:textId="77777777" w:rsidTr="00F71756">
        <w:tc>
          <w:tcPr>
            <w:tcW w:w="2695" w:type="dxa"/>
            <w:tcBorders>
              <w:bottom w:val="single" w:sz="4" w:space="0" w:color="auto"/>
            </w:tcBorders>
          </w:tcPr>
          <w:p w14:paraId="724A63F5" w14:textId="77777777" w:rsidR="001F4F39" w:rsidRPr="001F4F39" w:rsidRDefault="001F4F39" w:rsidP="001F4F39">
            <w:pPr>
              <w:rPr>
                <w:noProof/>
                <w:szCs w:val="22"/>
                <w:lang w:val="es-ES_tradnl"/>
              </w:rPr>
            </w:pPr>
            <w:r w:rsidRPr="001F4F39">
              <w:rPr>
                <w:lang w:val="es-ES_tradnl"/>
              </w:rPr>
              <w:t>Información en materia de marcas</w:t>
            </w:r>
          </w:p>
        </w:tc>
        <w:tc>
          <w:tcPr>
            <w:tcW w:w="1886" w:type="dxa"/>
            <w:tcBorders>
              <w:bottom w:val="single" w:sz="4" w:space="0" w:color="auto"/>
            </w:tcBorders>
          </w:tcPr>
          <w:p w14:paraId="2AE9B4CD" w14:textId="77777777" w:rsidR="001F4F39" w:rsidRPr="001F4F39" w:rsidRDefault="001F4F39" w:rsidP="001F4F39">
            <w:pPr>
              <w:jc w:val="center"/>
              <w:rPr>
                <w:noProof/>
                <w:szCs w:val="22"/>
                <w:lang w:val="es-ES_tradnl"/>
              </w:rPr>
            </w:pPr>
            <w:r w:rsidRPr="001F4F39">
              <w:rPr>
                <w:lang w:val="es-ES_tradnl"/>
              </w:rPr>
              <w:t>15</w:t>
            </w:r>
          </w:p>
        </w:tc>
        <w:tc>
          <w:tcPr>
            <w:tcW w:w="2375" w:type="dxa"/>
            <w:tcBorders>
              <w:bottom w:val="single" w:sz="4" w:space="0" w:color="auto"/>
            </w:tcBorders>
          </w:tcPr>
          <w:p w14:paraId="62C9ED9E" w14:textId="77777777" w:rsidR="001F4F39" w:rsidRPr="001F4F39" w:rsidRDefault="001F4F39" w:rsidP="001F4F39">
            <w:pPr>
              <w:jc w:val="center"/>
              <w:rPr>
                <w:noProof/>
                <w:szCs w:val="22"/>
                <w:lang w:val="es-ES_tradnl"/>
              </w:rPr>
            </w:pPr>
            <w:r w:rsidRPr="001F4F39">
              <w:rPr>
                <w:lang w:val="es-ES_tradnl"/>
              </w:rPr>
              <w:t>18</w:t>
            </w:r>
          </w:p>
        </w:tc>
        <w:tc>
          <w:tcPr>
            <w:tcW w:w="2392" w:type="dxa"/>
            <w:tcBorders>
              <w:bottom w:val="single" w:sz="4" w:space="0" w:color="auto"/>
            </w:tcBorders>
          </w:tcPr>
          <w:p w14:paraId="77ADBBBC" w14:textId="77777777" w:rsidR="001F4F39" w:rsidRPr="001F4F39" w:rsidRDefault="001F4F39" w:rsidP="001F4F39">
            <w:pPr>
              <w:jc w:val="center"/>
              <w:rPr>
                <w:noProof/>
                <w:szCs w:val="22"/>
                <w:lang w:val="es-ES_tradnl"/>
              </w:rPr>
            </w:pPr>
            <w:r w:rsidRPr="001F4F39">
              <w:rPr>
                <w:lang w:val="es-ES_tradnl"/>
              </w:rPr>
              <w:t>23</w:t>
            </w:r>
          </w:p>
        </w:tc>
      </w:tr>
      <w:tr w:rsidR="001F4F39" w:rsidRPr="001F4F39" w14:paraId="430D6E34" w14:textId="77777777" w:rsidTr="00F71756">
        <w:tc>
          <w:tcPr>
            <w:tcW w:w="2695" w:type="dxa"/>
            <w:shd w:val="clear" w:color="auto" w:fill="FFFFFF" w:themeFill="background1"/>
          </w:tcPr>
          <w:p w14:paraId="51E933B7" w14:textId="77777777" w:rsidR="001F4F39" w:rsidRPr="001F4F39" w:rsidRDefault="001F4F39" w:rsidP="001F4F39">
            <w:pPr>
              <w:rPr>
                <w:b/>
                <w:bCs/>
                <w:noProof/>
                <w:szCs w:val="22"/>
                <w:lang w:val="es-ES_tradnl"/>
              </w:rPr>
            </w:pPr>
            <w:r w:rsidRPr="001F4F39">
              <w:rPr>
                <w:b/>
                <w:lang w:val="es-ES_tradnl"/>
              </w:rPr>
              <w:t>Número total de informes</w:t>
            </w:r>
          </w:p>
        </w:tc>
        <w:tc>
          <w:tcPr>
            <w:tcW w:w="1886" w:type="dxa"/>
            <w:shd w:val="clear" w:color="auto" w:fill="FFFFFF" w:themeFill="background1"/>
          </w:tcPr>
          <w:p w14:paraId="7A71DF13" w14:textId="77777777" w:rsidR="001F4F39" w:rsidRPr="001F4F39" w:rsidRDefault="001F4F39" w:rsidP="001F4F39">
            <w:pPr>
              <w:jc w:val="center"/>
              <w:rPr>
                <w:b/>
                <w:bCs/>
                <w:noProof/>
                <w:szCs w:val="22"/>
                <w:lang w:val="es-ES_tradnl"/>
              </w:rPr>
            </w:pPr>
            <w:r w:rsidRPr="001F4F39">
              <w:rPr>
                <w:b/>
                <w:lang w:val="es-ES_tradnl"/>
              </w:rPr>
              <w:t>47</w:t>
            </w:r>
          </w:p>
        </w:tc>
        <w:tc>
          <w:tcPr>
            <w:tcW w:w="2375" w:type="dxa"/>
            <w:shd w:val="clear" w:color="auto" w:fill="FFFFFF" w:themeFill="background1"/>
          </w:tcPr>
          <w:p w14:paraId="7D87D5CF" w14:textId="77777777" w:rsidR="001F4F39" w:rsidRPr="001F4F39" w:rsidRDefault="001F4F39" w:rsidP="001F4F39">
            <w:pPr>
              <w:jc w:val="center"/>
              <w:rPr>
                <w:b/>
                <w:bCs/>
                <w:noProof/>
                <w:szCs w:val="22"/>
                <w:lang w:val="es-ES_tradnl"/>
              </w:rPr>
            </w:pPr>
            <w:r w:rsidRPr="001F4F39">
              <w:rPr>
                <w:b/>
                <w:lang w:val="es-ES_tradnl"/>
              </w:rPr>
              <w:t>53</w:t>
            </w:r>
          </w:p>
        </w:tc>
        <w:tc>
          <w:tcPr>
            <w:tcW w:w="2392" w:type="dxa"/>
            <w:shd w:val="clear" w:color="auto" w:fill="FFFFFF" w:themeFill="background1"/>
          </w:tcPr>
          <w:p w14:paraId="5F22546B" w14:textId="77777777" w:rsidR="001F4F39" w:rsidRPr="001F4F39" w:rsidRDefault="001F4F39" w:rsidP="001F4F39">
            <w:pPr>
              <w:jc w:val="center"/>
              <w:rPr>
                <w:b/>
                <w:bCs/>
                <w:noProof/>
                <w:szCs w:val="22"/>
                <w:lang w:val="es-ES_tradnl"/>
              </w:rPr>
            </w:pPr>
            <w:r w:rsidRPr="001F4F39">
              <w:rPr>
                <w:b/>
                <w:lang w:val="es-ES_tradnl"/>
              </w:rPr>
              <w:t>65</w:t>
            </w:r>
          </w:p>
        </w:tc>
      </w:tr>
    </w:tbl>
    <w:p w14:paraId="754998DA" w14:textId="77777777" w:rsidR="001F4F39" w:rsidRPr="001F4F39" w:rsidRDefault="001F4F39" w:rsidP="001F4F39">
      <w:pPr>
        <w:pStyle w:val="ONUMFS"/>
        <w:numPr>
          <w:ilvl w:val="0"/>
          <w:numId w:val="0"/>
        </w:numPr>
        <w:spacing w:after="240"/>
        <w:rPr>
          <w:lang w:val="es-ES_tradnl"/>
        </w:rPr>
      </w:pPr>
      <w:r w:rsidRPr="001F4F39">
        <w:rPr>
          <w:lang w:val="es-ES_tradnl"/>
        </w:rPr>
        <w:fldChar w:fldCharType="begin"/>
      </w:r>
      <w:r w:rsidRPr="001F4F39">
        <w:rPr>
          <w:lang w:val="es-ES_tradnl"/>
        </w:rPr>
        <w:instrText xml:space="preserve"> AUTONUM  </w:instrText>
      </w:r>
      <w:r w:rsidRPr="001F4F39">
        <w:rPr>
          <w:lang w:val="es-ES_tradnl"/>
        </w:rPr>
        <w:fldChar w:fldCharType="end"/>
      </w:r>
      <w:r w:rsidRPr="001F4F39">
        <w:rPr>
          <w:lang w:val="es-ES_tradnl"/>
        </w:rPr>
        <w:tab/>
        <w:t xml:space="preserve">Con respecto al número de visitas a las páginas de los ATR durante los últimos tres años, recientemente se ha registrado un aumento del número de visitas a los últimos informes.  Aunque se trata de un número reducido de visitas en comparación con otros recursos relativos a las normas técnicas de la OMPI, se sigue considerando útil compilar esta información. En el cuadro siguiente se exponen con más detalle las cifras correspondientes al número de visitantes únicos y de visitas a las páginas: </w:t>
      </w:r>
    </w:p>
    <w:tbl>
      <w:tblPr>
        <w:tblStyle w:val="TableGrid"/>
        <w:tblW w:w="9355" w:type="dxa"/>
        <w:tblLook w:val="04A0" w:firstRow="1" w:lastRow="0" w:firstColumn="1" w:lastColumn="0" w:noHBand="0" w:noVBand="1"/>
      </w:tblPr>
      <w:tblGrid>
        <w:gridCol w:w="1915"/>
        <w:gridCol w:w="2400"/>
        <w:gridCol w:w="2520"/>
        <w:gridCol w:w="2520"/>
      </w:tblGrid>
      <w:tr w:rsidR="001F4F39" w:rsidRPr="001F4F39" w14:paraId="178B4FAC" w14:textId="77777777" w:rsidTr="00F71756">
        <w:tc>
          <w:tcPr>
            <w:tcW w:w="1915" w:type="dxa"/>
            <w:shd w:val="clear" w:color="auto" w:fill="D9D9D9" w:themeFill="background1" w:themeFillShade="D9"/>
          </w:tcPr>
          <w:p w14:paraId="2379ECD7" w14:textId="77777777" w:rsidR="001F4F39" w:rsidRPr="001F4F39" w:rsidRDefault="001F4F39" w:rsidP="001F4F39">
            <w:pPr>
              <w:keepNext/>
              <w:keepLines/>
              <w:jc w:val="center"/>
              <w:rPr>
                <w:b/>
                <w:bCs/>
                <w:lang w:val="es-ES_tradnl"/>
              </w:rPr>
            </w:pPr>
            <w:r w:rsidRPr="001F4F39">
              <w:rPr>
                <w:b/>
                <w:lang w:val="es-ES_tradnl"/>
              </w:rPr>
              <w:lastRenderedPageBreak/>
              <w:t>Período</w:t>
            </w:r>
          </w:p>
        </w:tc>
        <w:tc>
          <w:tcPr>
            <w:tcW w:w="2400" w:type="dxa"/>
            <w:shd w:val="clear" w:color="auto" w:fill="D9D9D9" w:themeFill="background1" w:themeFillShade="D9"/>
          </w:tcPr>
          <w:p w14:paraId="177FC182" w14:textId="77777777" w:rsidR="001F4F39" w:rsidRPr="001F4F39" w:rsidRDefault="001F4F39" w:rsidP="001F4F39">
            <w:pPr>
              <w:keepNext/>
              <w:keepLines/>
              <w:jc w:val="center"/>
              <w:rPr>
                <w:b/>
                <w:bCs/>
                <w:lang w:val="es-ES_tradnl"/>
              </w:rPr>
            </w:pPr>
            <w:r w:rsidRPr="001F4F39">
              <w:rPr>
                <w:b/>
                <w:lang w:val="es-ES_tradnl"/>
              </w:rPr>
              <w:t xml:space="preserve">Agosto de 2021 a julio de 2022 </w:t>
            </w:r>
          </w:p>
        </w:tc>
        <w:tc>
          <w:tcPr>
            <w:tcW w:w="2520" w:type="dxa"/>
            <w:shd w:val="clear" w:color="auto" w:fill="D9D9D9" w:themeFill="background1" w:themeFillShade="D9"/>
          </w:tcPr>
          <w:p w14:paraId="1B2F640E" w14:textId="77777777" w:rsidR="001F4F39" w:rsidRPr="001F4F39" w:rsidRDefault="001F4F39" w:rsidP="001F4F39">
            <w:pPr>
              <w:keepNext/>
              <w:keepLines/>
              <w:jc w:val="center"/>
              <w:rPr>
                <w:b/>
                <w:bCs/>
                <w:lang w:val="es-ES_tradnl"/>
              </w:rPr>
            </w:pPr>
            <w:r w:rsidRPr="001F4F39">
              <w:rPr>
                <w:b/>
                <w:lang w:val="es-ES_tradnl"/>
              </w:rPr>
              <w:t>Agosto de 2022 a julio de 2023</w:t>
            </w:r>
          </w:p>
        </w:tc>
        <w:tc>
          <w:tcPr>
            <w:tcW w:w="2520" w:type="dxa"/>
            <w:shd w:val="clear" w:color="auto" w:fill="D9D9D9" w:themeFill="background1" w:themeFillShade="D9"/>
          </w:tcPr>
          <w:p w14:paraId="041E4009" w14:textId="77777777" w:rsidR="001F4F39" w:rsidRPr="001F4F39" w:rsidRDefault="001F4F39" w:rsidP="001F4F39">
            <w:pPr>
              <w:keepNext/>
              <w:keepLines/>
              <w:jc w:val="center"/>
              <w:rPr>
                <w:b/>
                <w:bCs/>
                <w:lang w:val="es-ES_tradnl"/>
              </w:rPr>
            </w:pPr>
            <w:r w:rsidRPr="001F4F39">
              <w:rPr>
                <w:b/>
                <w:lang w:val="es-ES_tradnl"/>
              </w:rPr>
              <w:t>Agosto de 2023 a julio de 2024</w:t>
            </w:r>
          </w:p>
        </w:tc>
      </w:tr>
      <w:tr w:rsidR="001F4F39" w:rsidRPr="001F4F39" w14:paraId="2617570D" w14:textId="77777777" w:rsidTr="00F71756">
        <w:tc>
          <w:tcPr>
            <w:tcW w:w="1915" w:type="dxa"/>
          </w:tcPr>
          <w:p w14:paraId="567C2804" w14:textId="77777777" w:rsidR="001F4F39" w:rsidRPr="001F4F39" w:rsidRDefault="001F4F39" w:rsidP="001F4F39">
            <w:pPr>
              <w:keepNext/>
              <w:keepLines/>
              <w:rPr>
                <w:lang w:val="es-ES_tradnl"/>
              </w:rPr>
            </w:pPr>
            <w:r w:rsidRPr="001F4F39">
              <w:rPr>
                <w:lang w:val="es-ES_tradnl"/>
              </w:rPr>
              <w:t>Visitas totales a las páginas de los ATR</w:t>
            </w:r>
          </w:p>
        </w:tc>
        <w:tc>
          <w:tcPr>
            <w:tcW w:w="2400" w:type="dxa"/>
          </w:tcPr>
          <w:p w14:paraId="7417F392" w14:textId="77777777" w:rsidR="001F4F39" w:rsidRPr="001F4F39" w:rsidRDefault="001F4F39" w:rsidP="001F4F39">
            <w:pPr>
              <w:keepNext/>
              <w:keepLines/>
              <w:rPr>
                <w:lang w:val="es-ES_tradnl"/>
              </w:rPr>
            </w:pPr>
            <w:r w:rsidRPr="001F4F39">
              <w:rPr>
                <w:lang w:val="es-ES_tradnl"/>
              </w:rPr>
              <w:t>Visitantes únicos: 701 (visitas: 2 817)</w:t>
            </w:r>
          </w:p>
        </w:tc>
        <w:tc>
          <w:tcPr>
            <w:tcW w:w="2520" w:type="dxa"/>
          </w:tcPr>
          <w:p w14:paraId="55E82B3D" w14:textId="77777777" w:rsidR="001F4F39" w:rsidRPr="001F4F39" w:rsidRDefault="001F4F39" w:rsidP="001F4F39">
            <w:pPr>
              <w:keepNext/>
              <w:keepLines/>
              <w:rPr>
                <w:lang w:val="es-ES_tradnl"/>
              </w:rPr>
            </w:pPr>
            <w:r w:rsidRPr="001F4F39">
              <w:rPr>
                <w:lang w:val="es-ES_tradnl"/>
              </w:rPr>
              <w:t>862 (3 758)</w:t>
            </w:r>
          </w:p>
        </w:tc>
        <w:tc>
          <w:tcPr>
            <w:tcW w:w="2520" w:type="dxa"/>
          </w:tcPr>
          <w:p w14:paraId="46CF9F19" w14:textId="77777777" w:rsidR="001F4F39" w:rsidRPr="001F4F39" w:rsidRDefault="001F4F39" w:rsidP="001F4F39">
            <w:pPr>
              <w:keepNext/>
              <w:keepLines/>
              <w:rPr>
                <w:lang w:val="es-ES_tradnl"/>
              </w:rPr>
            </w:pPr>
            <w:r w:rsidRPr="001F4F39">
              <w:rPr>
                <w:lang w:val="es-ES_tradnl"/>
              </w:rPr>
              <w:t>768 (3 126)</w:t>
            </w:r>
          </w:p>
        </w:tc>
      </w:tr>
      <w:tr w:rsidR="001F4F39" w:rsidRPr="001F4F39" w14:paraId="4CEE6192" w14:textId="77777777" w:rsidTr="00F71756">
        <w:tc>
          <w:tcPr>
            <w:tcW w:w="1915" w:type="dxa"/>
          </w:tcPr>
          <w:p w14:paraId="687366CF" w14:textId="77777777" w:rsidR="001F4F39" w:rsidRPr="001F4F39" w:rsidRDefault="001F4F39" w:rsidP="001F4F39">
            <w:pPr>
              <w:keepNext/>
              <w:keepLines/>
              <w:rPr>
                <w:lang w:val="es-ES_tradnl"/>
              </w:rPr>
            </w:pPr>
            <w:r w:rsidRPr="001F4F39">
              <w:rPr>
                <w:lang w:val="es-ES_tradnl"/>
              </w:rPr>
              <w:t>Página de inicio de los ATR</w:t>
            </w:r>
          </w:p>
        </w:tc>
        <w:tc>
          <w:tcPr>
            <w:tcW w:w="2400" w:type="dxa"/>
          </w:tcPr>
          <w:p w14:paraId="2E3C1247" w14:textId="77777777" w:rsidR="001F4F39" w:rsidRPr="001F4F39" w:rsidRDefault="001F4F39" w:rsidP="001F4F39">
            <w:pPr>
              <w:keepNext/>
              <w:keepLines/>
              <w:rPr>
                <w:lang w:val="es-ES_tradnl"/>
              </w:rPr>
            </w:pPr>
            <w:r w:rsidRPr="001F4F39">
              <w:rPr>
                <w:lang w:val="es-ES_tradnl"/>
              </w:rPr>
              <w:t>351 (935)</w:t>
            </w:r>
          </w:p>
        </w:tc>
        <w:tc>
          <w:tcPr>
            <w:tcW w:w="2520" w:type="dxa"/>
          </w:tcPr>
          <w:p w14:paraId="51960A07" w14:textId="77777777" w:rsidR="001F4F39" w:rsidRPr="001F4F39" w:rsidRDefault="001F4F39" w:rsidP="001F4F39">
            <w:pPr>
              <w:keepNext/>
              <w:keepLines/>
              <w:rPr>
                <w:lang w:val="es-ES_tradnl"/>
              </w:rPr>
            </w:pPr>
            <w:r w:rsidRPr="001F4F39">
              <w:rPr>
                <w:lang w:val="es-ES_tradnl"/>
              </w:rPr>
              <w:t>515 (1 365)</w:t>
            </w:r>
          </w:p>
        </w:tc>
        <w:tc>
          <w:tcPr>
            <w:tcW w:w="2520" w:type="dxa"/>
          </w:tcPr>
          <w:p w14:paraId="040B9F64" w14:textId="77777777" w:rsidR="001F4F39" w:rsidRPr="001F4F39" w:rsidRDefault="001F4F39" w:rsidP="001F4F39">
            <w:pPr>
              <w:keepNext/>
              <w:keepLines/>
              <w:rPr>
                <w:lang w:val="es-ES_tradnl"/>
              </w:rPr>
            </w:pPr>
            <w:r w:rsidRPr="001F4F39">
              <w:rPr>
                <w:lang w:val="es-ES_tradnl"/>
              </w:rPr>
              <w:t>300 (899)</w:t>
            </w:r>
          </w:p>
        </w:tc>
      </w:tr>
      <w:tr w:rsidR="001F4F39" w:rsidRPr="001F4F39" w14:paraId="6AD5D346" w14:textId="77777777" w:rsidTr="00F71756">
        <w:tc>
          <w:tcPr>
            <w:tcW w:w="1915" w:type="dxa"/>
          </w:tcPr>
          <w:p w14:paraId="7021F840" w14:textId="77777777" w:rsidR="001F4F39" w:rsidRPr="001F4F39" w:rsidRDefault="001F4F39" w:rsidP="001F4F39">
            <w:pPr>
              <w:keepNext/>
              <w:keepLines/>
              <w:rPr>
                <w:lang w:val="es-ES_tradnl"/>
              </w:rPr>
            </w:pPr>
            <w:r w:rsidRPr="001F4F39">
              <w:rPr>
                <w:lang w:val="es-ES_tradnl"/>
              </w:rPr>
              <w:t>Página de los ATR 2020</w:t>
            </w:r>
          </w:p>
        </w:tc>
        <w:tc>
          <w:tcPr>
            <w:tcW w:w="2400" w:type="dxa"/>
          </w:tcPr>
          <w:p w14:paraId="623DA3C3" w14:textId="77777777" w:rsidR="001F4F39" w:rsidRPr="001F4F39" w:rsidRDefault="001F4F39" w:rsidP="001F4F39">
            <w:pPr>
              <w:keepNext/>
              <w:keepLines/>
              <w:rPr>
                <w:lang w:val="es-ES_tradnl"/>
              </w:rPr>
            </w:pPr>
            <w:r w:rsidRPr="001F4F39">
              <w:rPr>
                <w:lang w:val="es-ES_tradnl"/>
              </w:rPr>
              <w:t>113 (267)*</w:t>
            </w:r>
          </w:p>
        </w:tc>
        <w:tc>
          <w:tcPr>
            <w:tcW w:w="2520" w:type="dxa"/>
          </w:tcPr>
          <w:p w14:paraId="71C05B0F" w14:textId="77777777" w:rsidR="001F4F39" w:rsidRPr="001F4F39" w:rsidRDefault="001F4F39" w:rsidP="001F4F39">
            <w:pPr>
              <w:keepNext/>
              <w:keepLines/>
              <w:rPr>
                <w:lang w:val="es-ES_tradnl"/>
              </w:rPr>
            </w:pPr>
            <w:r w:rsidRPr="001F4F39">
              <w:rPr>
                <w:lang w:val="es-ES_tradnl"/>
              </w:rPr>
              <w:t>83 (141)</w:t>
            </w:r>
          </w:p>
        </w:tc>
        <w:tc>
          <w:tcPr>
            <w:tcW w:w="2520" w:type="dxa"/>
          </w:tcPr>
          <w:p w14:paraId="7B724BE0" w14:textId="77777777" w:rsidR="001F4F39" w:rsidRPr="001F4F39" w:rsidRDefault="001F4F39" w:rsidP="001F4F39">
            <w:pPr>
              <w:keepNext/>
              <w:keepLines/>
              <w:rPr>
                <w:lang w:val="es-ES_tradnl"/>
              </w:rPr>
            </w:pPr>
            <w:r w:rsidRPr="001F4F39">
              <w:rPr>
                <w:lang w:val="es-ES_tradnl"/>
              </w:rPr>
              <w:t>27 (37)</w:t>
            </w:r>
          </w:p>
        </w:tc>
      </w:tr>
      <w:tr w:rsidR="001F4F39" w:rsidRPr="001F4F39" w14:paraId="5B614E39" w14:textId="77777777" w:rsidTr="00F71756">
        <w:tc>
          <w:tcPr>
            <w:tcW w:w="1915" w:type="dxa"/>
          </w:tcPr>
          <w:p w14:paraId="28170ADC" w14:textId="77777777" w:rsidR="001F4F39" w:rsidRPr="001F4F39" w:rsidRDefault="001F4F39" w:rsidP="001F4F39">
            <w:pPr>
              <w:keepNext/>
              <w:keepLines/>
              <w:rPr>
                <w:lang w:val="es-ES_tradnl"/>
              </w:rPr>
            </w:pPr>
            <w:r w:rsidRPr="001F4F39">
              <w:rPr>
                <w:lang w:val="es-ES_tradnl"/>
              </w:rPr>
              <w:t>Página de los ATR 2021</w:t>
            </w:r>
          </w:p>
        </w:tc>
        <w:tc>
          <w:tcPr>
            <w:tcW w:w="2400" w:type="dxa"/>
          </w:tcPr>
          <w:p w14:paraId="17085917" w14:textId="77777777" w:rsidR="001F4F39" w:rsidRPr="001F4F39" w:rsidRDefault="001F4F39" w:rsidP="001F4F39">
            <w:pPr>
              <w:keepNext/>
              <w:keepLines/>
              <w:rPr>
                <w:lang w:val="es-ES_tradnl"/>
              </w:rPr>
            </w:pPr>
            <w:r w:rsidRPr="001F4F39">
              <w:rPr>
                <w:lang w:val="es-ES_tradnl"/>
              </w:rPr>
              <w:t>n. a.</w:t>
            </w:r>
          </w:p>
        </w:tc>
        <w:tc>
          <w:tcPr>
            <w:tcW w:w="2520" w:type="dxa"/>
          </w:tcPr>
          <w:p w14:paraId="364E7F8D" w14:textId="77777777" w:rsidR="001F4F39" w:rsidRPr="001F4F39" w:rsidRDefault="001F4F39" w:rsidP="001F4F39">
            <w:pPr>
              <w:keepNext/>
              <w:keepLines/>
              <w:rPr>
                <w:lang w:val="es-ES_tradnl"/>
              </w:rPr>
            </w:pPr>
            <w:r w:rsidRPr="001F4F39">
              <w:rPr>
                <w:lang w:val="es-ES_tradnl"/>
              </w:rPr>
              <w:t>95 (213)*</w:t>
            </w:r>
          </w:p>
        </w:tc>
        <w:tc>
          <w:tcPr>
            <w:tcW w:w="2520" w:type="dxa"/>
          </w:tcPr>
          <w:p w14:paraId="7C8026E6" w14:textId="77777777" w:rsidR="001F4F39" w:rsidRPr="001F4F39" w:rsidRDefault="001F4F39" w:rsidP="001F4F39">
            <w:pPr>
              <w:keepNext/>
              <w:keepLines/>
              <w:rPr>
                <w:lang w:val="es-ES_tradnl"/>
              </w:rPr>
            </w:pPr>
            <w:r w:rsidRPr="001F4F39">
              <w:rPr>
                <w:lang w:val="es-ES_tradnl"/>
              </w:rPr>
              <w:t>28 (52)</w:t>
            </w:r>
          </w:p>
        </w:tc>
      </w:tr>
      <w:tr w:rsidR="001F4F39" w:rsidRPr="001F4F39" w14:paraId="06A38A0A" w14:textId="77777777" w:rsidTr="00F71756">
        <w:tc>
          <w:tcPr>
            <w:tcW w:w="1915" w:type="dxa"/>
          </w:tcPr>
          <w:p w14:paraId="3F02C689" w14:textId="77777777" w:rsidR="001F4F39" w:rsidRPr="001F4F39" w:rsidRDefault="001F4F39" w:rsidP="001F4F39">
            <w:pPr>
              <w:keepNext/>
              <w:keepLines/>
              <w:rPr>
                <w:lang w:val="es-ES_tradnl"/>
              </w:rPr>
            </w:pPr>
            <w:r w:rsidRPr="001F4F39">
              <w:rPr>
                <w:lang w:val="es-ES_tradnl"/>
              </w:rPr>
              <w:t>Página de los ATR 2022</w:t>
            </w:r>
          </w:p>
        </w:tc>
        <w:tc>
          <w:tcPr>
            <w:tcW w:w="2400" w:type="dxa"/>
          </w:tcPr>
          <w:p w14:paraId="688749D6" w14:textId="77777777" w:rsidR="001F4F39" w:rsidRPr="001F4F39" w:rsidRDefault="001F4F39" w:rsidP="001F4F39">
            <w:pPr>
              <w:keepNext/>
              <w:keepLines/>
              <w:rPr>
                <w:lang w:val="es-ES_tradnl"/>
              </w:rPr>
            </w:pPr>
            <w:r w:rsidRPr="001F4F39">
              <w:rPr>
                <w:lang w:val="es-ES_tradnl"/>
              </w:rPr>
              <w:t>n. a.</w:t>
            </w:r>
          </w:p>
        </w:tc>
        <w:tc>
          <w:tcPr>
            <w:tcW w:w="2520" w:type="dxa"/>
          </w:tcPr>
          <w:p w14:paraId="29288F4E" w14:textId="77777777" w:rsidR="001F4F39" w:rsidRPr="001F4F39" w:rsidRDefault="001F4F39" w:rsidP="001F4F39">
            <w:pPr>
              <w:keepNext/>
              <w:keepLines/>
              <w:rPr>
                <w:lang w:val="es-ES_tradnl"/>
              </w:rPr>
            </w:pPr>
            <w:r w:rsidRPr="001F4F39">
              <w:rPr>
                <w:lang w:val="es-ES_tradnl"/>
              </w:rPr>
              <w:t>n. a.</w:t>
            </w:r>
          </w:p>
        </w:tc>
        <w:tc>
          <w:tcPr>
            <w:tcW w:w="2520" w:type="dxa"/>
          </w:tcPr>
          <w:p w14:paraId="140E60C8" w14:textId="77777777" w:rsidR="001F4F39" w:rsidRPr="001F4F39" w:rsidRDefault="001F4F39" w:rsidP="001F4F39">
            <w:pPr>
              <w:keepNext/>
              <w:keepLines/>
              <w:rPr>
                <w:b/>
                <w:bCs/>
                <w:lang w:val="es-ES_tradnl"/>
              </w:rPr>
            </w:pPr>
            <w:r w:rsidRPr="001F4F39">
              <w:rPr>
                <w:b/>
                <w:lang w:val="es-ES_tradnl"/>
              </w:rPr>
              <w:t>230 (497)*</w:t>
            </w:r>
          </w:p>
        </w:tc>
      </w:tr>
    </w:tbl>
    <w:p w14:paraId="230F331D" w14:textId="16DE8312" w:rsidR="001F4F39" w:rsidRPr="001F4F39" w:rsidRDefault="001F4F39" w:rsidP="001F4F39">
      <w:pPr>
        <w:spacing w:before="120" w:after="240"/>
        <w:rPr>
          <w:lang w:val="es-ES_tradnl"/>
        </w:rPr>
      </w:pPr>
      <w:r w:rsidRPr="001F4F39">
        <w:rPr>
          <w:lang w:val="es-ES_tradnl"/>
        </w:rPr>
        <w:t>(*: a los últimos ATR en el período en cuestión)</w:t>
      </w:r>
    </w:p>
    <w:p w14:paraId="1928AA3E" w14:textId="77777777" w:rsidR="001F4F39" w:rsidRPr="001F4F39" w:rsidRDefault="001F4F39" w:rsidP="001F4F39">
      <w:pPr>
        <w:pStyle w:val="ONUMFS"/>
        <w:numPr>
          <w:ilvl w:val="0"/>
          <w:numId w:val="0"/>
        </w:numPr>
        <w:spacing w:after="240"/>
        <w:rPr>
          <w:lang w:val="es-ES_tradnl"/>
        </w:rPr>
      </w:pPr>
      <w:r w:rsidRPr="001F4F39">
        <w:rPr>
          <w:lang w:val="es-ES_tradnl"/>
        </w:rPr>
        <w:fldChar w:fldCharType="begin"/>
      </w:r>
      <w:r w:rsidRPr="001F4F39">
        <w:rPr>
          <w:lang w:val="es-ES_tradnl"/>
        </w:rPr>
        <w:instrText xml:space="preserve"> AUTONUM  </w:instrText>
      </w:r>
      <w:r w:rsidRPr="001F4F39">
        <w:rPr>
          <w:lang w:val="es-ES_tradnl"/>
        </w:rPr>
        <w:fldChar w:fldCharType="end"/>
      </w:r>
      <w:r w:rsidRPr="001F4F39">
        <w:rPr>
          <w:lang w:val="es-ES_tradnl"/>
        </w:rPr>
        <w:tab/>
        <w:t xml:space="preserve">Teniendo en cuenta el aumento del número de ATR presentados por las Oficinas y del número de visitas a las páginas de los ATR durante los últimos tres años, la Oficina Internacional propone seguir compilando los ATR mediante la plantilla simplificada. </w:t>
      </w:r>
    </w:p>
    <w:p w14:paraId="4817C3AC" w14:textId="77777777" w:rsidR="001F4F39" w:rsidRPr="001F4F39" w:rsidRDefault="001F4F39" w:rsidP="001F4F39">
      <w:pPr>
        <w:pStyle w:val="ONUMFS"/>
        <w:numPr>
          <w:ilvl w:val="0"/>
          <w:numId w:val="0"/>
        </w:numPr>
        <w:spacing w:after="120"/>
        <w:rPr>
          <w:lang w:val="es-ES_tradnl"/>
        </w:rPr>
      </w:pPr>
      <w:r w:rsidRPr="001F4F39">
        <w:rPr>
          <w:lang w:val="es-ES_tradnl"/>
        </w:rPr>
        <w:fldChar w:fldCharType="begin"/>
      </w:r>
      <w:r w:rsidRPr="001F4F39">
        <w:rPr>
          <w:lang w:val="es-ES_tradnl"/>
        </w:rPr>
        <w:instrText xml:space="preserve"> AUTONUM  </w:instrText>
      </w:r>
      <w:r w:rsidRPr="001F4F39">
        <w:rPr>
          <w:lang w:val="es-ES_tradnl"/>
        </w:rPr>
        <w:fldChar w:fldCharType="end"/>
      </w:r>
      <w:r w:rsidRPr="001F4F39">
        <w:rPr>
          <w:lang w:val="es-ES_tradnl"/>
        </w:rPr>
        <w:tab/>
        <w:t>Además, los ATR se pueden utilizar para recopilar información sobre las actividades de las Oficinas en relación con las normas técnicas de la OMPI u otras cuestiones conexas, como los datos de PI, los servicios de información y la difusión de datos. Si se dejaran de compilar los ATR, el CWS perdería un medio para recopilar datos de las Oficinas. Por lo que respecta a la compilación de las actividades de las Oficinas en relación con las normas técnicas de la OMPI, la Oficina Internacional propone añadir un nuevo tema a la plantilla simplificada, relativo a las actividades relacionadas con el uso o la aplicación de las normas técnicas de la OMPI por parte de las Oficinas. La finalidad es determinar cuáles son las normas técnicas de la OMPI y cómo se utilizan. El tema propuesto es el siguiente:</w:t>
      </w:r>
    </w:p>
    <w:p w14:paraId="54B49184" w14:textId="1F21E4FC" w:rsidR="001F4F39" w:rsidRPr="001F4F39" w:rsidRDefault="001F4F39" w:rsidP="001F4F39">
      <w:pPr>
        <w:pStyle w:val="ONUMFS"/>
        <w:numPr>
          <w:ilvl w:val="0"/>
          <w:numId w:val="0"/>
        </w:numPr>
        <w:spacing w:after="240"/>
        <w:ind w:left="567"/>
        <w:rPr>
          <w:lang w:val="es-ES_tradnl"/>
        </w:rPr>
      </w:pPr>
      <w:r w:rsidRPr="001F4F39">
        <w:rPr>
          <w:i/>
          <w:iCs/>
          <w:lang w:val="es-ES_tradnl"/>
        </w:rPr>
        <w:t>“Actividades de aplicación de las normas técnicas de la OMPI relativas a información en materia de patentes (marcas o dibujos y modelos industriales)”</w:t>
      </w:r>
      <w:r w:rsidRPr="001F4F39">
        <w:rPr>
          <w:lang w:val="es-ES_tradnl"/>
        </w:rPr>
        <w:t xml:space="preserve"> </w:t>
      </w:r>
    </w:p>
    <w:p w14:paraId="2E3F5589" w14:textId="77399E4C" w:rsidR="001F4F39" w:rsidRPr="001F4F39" w:rsidRDefault="001F4F39" w:rsidP="001F4F39">
      <w:pPr>
        <w:pStyle w:val="ONUMFS"/>
        <w:numPr>
          <w:ilvl w:val="0"/>
          <w:numId w:val="0"/>
        </w:numPr>
        <w:spacing w:after="120"/>
        <w:ind w:left="5490"/>
        <w:rPr>
          <w:i/>
          <w:lang w:val="es-ES_tradnl"/>
        </w:rPr>
      </w:pPr>
      <w:r w:rsidRPr="001F4F39">
        <w:rPr>
          <w:i/>
          <w:lang w:val="es-ES_tradnl"/>
        </w:rPr>
        <w:fldChar w:fldCharType="begin"/>
      </w:r>
      <w:r w:rsidRPr="001F4F39">
        <w:rPr>
          <w:i/>
          <w:lang w:val="es-ES_tradnl"/>
        </w:rPr>
        <w:instrText xml:space="preserve"> AUTONUM  </w:instrText>
      </w:r>
      <w:r w:rsidRPr="001F4F39">
        <w:rPr>
          <w:i/>
          <w:lang w:val="es-ES_tradnl"/>
        </w:rPr>
        <w:fldChar w:fldCharType="end"/>
      </w:r>
      <w:r w:rsidRPr="001F4F39">
        <w:rPr>
          <w:i/>
          <w:lang w:val="es-ES_tradnl"/>
        </w:rPr>
        <w:tab/>
        <w:t xml:space="preserve">Se invita al CWS a </w:t>
      </w:r>
    </w:p>
    <w:p w14:paraId="4EC147C7" w14:textId="74716B37" w:rsidR="001F4F39" w:rsidRPr="001F4F39" w:rsidRDefault="001F4F39" w:rsidP="001F4F39">
      <w:pPr>
        <w:pStyle w:val="ONUMFS"/>
        <w:tabs>
          <w:tab w:val="clear" w:pos="2268"/>
        </w:tabs>
        <w:ind w:left="6237"/>
        <w:rPr>
          <w:i/>
          <w:iCs/>
          <w:lang w:val="es-ES_tradnl"/>
        </w:rPr>
      </w:pPr>
      <w:r w:rsidRPr="001F4F39">
        <w:rPr>
          <w:i/>
          <w:iCs/>
          <w:lang w:val="es-ES_tradnl"/>
        </w:rPr>
        <w:t xml:space="preserve">tomar nota del contenido del presente documento; </w:t>
      </w:r>
    </w:p>
    <w:p w14:paraId="67EB836B" w14:textId="4D2212D9" w:rsidR="001F4F39" w:rsidRDefault="001F4F39" w:rsidP="001F4F39">
      <w:pPr>
        <w:pStyle w:val="ONUMFS"/>
        <w:tabs>
          <w:tab w:val="clear" w:pos="2268"/>
        </w:tabs>
        <w:ind w:left="6237"/>
        <w:rPr>
          <w:i/>
          <w:iCs/>
          <w:lang w:val="es-ES_tradnl"/>
        </w:rPr>
      </w:pPr>
      <w:r w:rsidRPr="001F4F39">
        <w:rPr>
          <w:i/>
          <w:iCs/>
          <w:lang w:val="es-ES_tradnl"/>
        </w:rPr>
        <w:t>aprobar la continuación de la compilación de los informes técnicos anuales, según se indica en el párrafo 8; y</w:t>
      </w:r>
    </w:p>
    <w:p w14:paraId="762306A3" w14:textId="07D64E19" w:rsidR="001F4F39" w:rsidRPr="001F4F39" w:rsidRDefault="001F4F39" w:rsidP="001F4F39">
      <w:pPr>
        <w:pStyle w:val="ONUMFS"/>
        <w:tabs>
          <w:tab w:val="clear" w:pos="2268"/>
        </w:tabs>
        <w:spacing w:after="600"/>
        <w:ind w:left="6237"/>
        <w:rPr>
          <w:i/>
          <w:iCs/>
          <w:lang w:val="es-ES_tradnl"/>
        </w:rPr>
      </w:pPr>
      <w:r w:rsidRPr="001F4F39">
        <w:rPr>
          <w:i/>
          <w:iCs/>
          <w:lang w:val="es-ES_tradnl"/>
        </w:rPr>
        <w:t>examinar y aprobar el nuevo tema propuesto que se ha de añadir a la plantilla simplificada, según se indica en el párrafo 9.</w:t>
      </w:r>
    </w:p>
    <w:p w14:paraId="0C0E62BF" w14:textId="6EB220BC" w:rsidR="00152CEA" w:rsidRPr="001F4F39" w:rsidRDefault="001F4F39" w:rsidP="001F4F39">
      <w:pPr>
        <w:pStyle w:val="Endofdocument"/>
        <w:spacing w:after="240" w:line="240" w:lineRule="auto"/>
        <w:ind w:left="5490"/>
        <w:rPr>
          <w:lang w:val="es-ES_tradnl"/>
        </w:rPr>
      </w:pPr>
      <w:r w:rsidRPr="001F4F39">
        <w:rPr>
          <w:sz w:val="22"/>
          <w:lang w:val="es-ES_tradnl"/>
        </w:rPr>
        <w:t>[Fin del documento]</w:t>
      </w:r>
    </w:p>
    <w:sectPr w:rsidR="00152CEA" w:rsidRPr="001F4F39" w:rsidSect="001F4F39">
      <w:headerReference w:type="default" r:id="rId9"/>
      <w:footerReference w:type="even" r:id="rId10"/>
      <w:footerReference w:type="default" r:id="rId11"/>
      <w:footerReference w:type="first" r:id="rId12"/>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14629C" w14:textId="77777777" w:rsidR="001F4F39" w:rsidRDefault="001F4F39">
      <w:r>
        <w:separator/>
      </w:r>
    </w:p>
  </w:endnote>
  <w:endnote w:type="continuationSeparator" w:id="0">
    <w:p w14:paraId="75799DA7" w14:textId="77777777" w:rsidR="001F4F39" w:rsidRPr="009D30E6" w:rsidRDefault="001F4F39" w:rsidP="007E663E">
      <w:pPr>
        <w:rPr>
          <w:sz w:val="17"/>
          <w:szCs w:val="17"/>
        </w:rPr>
      </w:pPr>
      <w:r w:rsidRPr="009D30E6">
        <w:rPr>
          <w:sz w:val="17"/>
          <w:szCs w:val="17"/>
        </w:rPr>
        <w:separator/>
      </w:r>
    </w:p>
    <w:p w14:paraId="55A20514" w14:textId="77777777" w:rsidR="001F4F39" w:rsidRPr="007E663E" w:rsidRDefault="001F4F39" w:rsidP="007E663E">
      <w:pPr>
        <w:spacing w:after="60"/>
        <w:rPr>
          <w:sz w:val="17"/>
          <w:szCs w:val="17"/>
        </w:rPr>
      </w:pPr>
      <w:r>
        <w:rPr>
          <w:sz w:val="17"/>
        </w:rPr>
        <w:t>[Continuación de la nota de la página anterior]</w:t>
      </w:r>
    </w:p>
  </w:endnote>
  <w:endnote w:type="continuationNotice" w:id="1">
    <w:p w14:paraId="6292F594" w14:textId="77777777" w:rsidR="001F4F39" w:rsidRPr="007E663E" w:rsidRDefault="001F4F39"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B5DE6" w14:textId="645E0523" w:rsidR="001D50D1" w:rsidRDefault="001D50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656E7" w14:textId="2C3ABC7E" w:rsidR="001D50D1" w:rsidRDefault="001D50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8A1FD" w14:textId="57CE9BC5" w:rsidR="001D50D1" w:rsidRDefault="001D50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ED2040" w14:textId="77777777" w:rsidR="001F4F39" w:rsidRDefault="001F4F39">
      <w:r>
        <w:separator/>
      </w:r>
    </w:p>
  </w:footnote>
  <w:footnote w:type="continuationSeparator" w:id="0">
    <w:p w14:paraId="0C082556" w14:textId="77777777" w:rsidR="001F4F39" w:rsidRPr="009D30E6" w:rsidRDefault="001F4F39" w:rsidP="007E663E">
      <w:pPr>
        <w:rPr>
          <w:sz w:val="17"/>
          <w:szCs w:val="17"/>
        </w:rPr>
      </w:pPr>
      <w:r w:rsidRPr="009D30E6">
        <w:rPr>
          <w:sz w:val="17"/>
          <w:szCs w:val="17"/>
        </w:rPr>
        <w:separator/>
      </w:r>
    </w:p>
    <w:p w14:paraId="2F8D022D" w14:textId="77777777" w:rsidR="001F4F39" w:rsidRPr="007E663E" w:rsidRDefault="001F4F39" w:rsidP="007E663E">
      <w:pPr>
        <w:spacing w:after="60"/>
        <w:rPr>
          <w:sz w:val="17"/>
          <w:szCs w:val="17"/>
        </w:rPr>
      </w:pPr>
      <w:r>
        <w:rPr>
          <w:sz w:val="17"/>
        </w:rPr>
        <w:t>[Continuación de la nota de la página anterior]</w:t>
      </w:r>
    </w:p>
  </w:footnote>
  <w:footnote w:type="continuationNotice" w:id="1">
    <w:p w14:paraId="442FD86F" w14:textId="77777777" w:rsidR="001F4F39" w:rsidRPr="007E663E" w:rsidRDefault="001F4F39"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927D3" w14:textId="77777777" w:rsidR="00F84474" w:rsidRDefault="001F4F39" w:rsidP="00477D6B">
    <w:pPr>
      <w:jc w:val="right"/>
    </w:pPr>
    <w:bookmarkStart w:id="5" w:name="Code2"/>
    <w:bookmarkEnd w:id="5"/>
    <w:r>
      <w:t>CWS/12/24</w:t>
    </w:r>
  </w:p>
  <w:p w14:paraId="5DB99F4B" w14:textId="77777777" w:rsidR="00F84474" w:rsidRDefault="00F84474" w:rsidP="00477D6B">
    <w:pPr>
      <w:jc w:val="right"/>
    </w:pPr>
    <w:r>
      <w:t xml:space="preserve">página </w:t>
    </w:r>
    <w:r>
      <w:fldChar w:fldCharType="begin"/>
    </w:r>
    <w:r>
      <w:instrText xml:space="preserve"> PAGE  \* MERGEFORMAT </w:instrText>
    </w:r>
    <w:r>
      <w:fldChar w:fldCharType="separate"/>
    </w:r>
    <w:r w:rsidR="008B14EA">
      <w:rPr>
        <w:noProof/>
      </w:rPr>
      <w:t>2</w:t>
    </w:r>
    <w:r>
      <w:fldChar w:fldCharType="end"/>
    </w:r>
  </w:p>
  <w:p w14:paraId="3520F1B0" w14:textId="77777777" w:rsidR="00F84474" w:rsidRDefault="00F84474" w:rsidP="00477D6B">
    <w:pPr>
      <w:jc w:val="right"/>
    </w:pPr>
  </w:p>
  <w:p w14:paraId="4BE4C6ED" w14:textId="77777777" w:rsidR="004F7418" w:rsidRDefault="004F741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67EA6AA"/>
    <w:lvl w:ilvl="0">
      <w:start w:val="1"/>
      <w:numFmt w:val="lowerLetter"/>
      <w:pStyle w:val="ONUMFS"/>
      <w:lvlText w:val="%1)"/>
      <w:lvlJc w:val="left"/>
      <w:pPr>
        <w:tabs>
          <w:tab w:val="num" w:pos="2268"/>
        </w:tabs>
        <w:ind w:left="1701" w:firstLine="0"/>
      </w:pPr>
      <w:rPr>
        <w:rFonts w:hint="default"/>
      </w:rPr>
    </w:lvl>
    <w:lvl w:ilvl="1">
      <w:start w:val="1"/>
      <w:numFmt w:val="lowerLetter"/>
      <w:lvlText w:val="%2)"/>
      <w:lvlJc w:val="left"/>
      <w:pPr>
        <w:tabs>
          <w:tab w:val="num" w:pos="2835"/>
        </w:tabs>
        <w:ind w:left="2268" w:firstLine="0"/>
      </w:pPr>
      <w:rPr>
        <w:rFonts w:hint="default"/>
      </w:rPr>
    </w:lvl>
    <w:lvl w:ilvl="2">
      <w:start w:val="1"/>
      <w:numFmt w:val="lowerRoman"/>
      <w:lvlText w:val="%3)"/>
      <w:lvlJc w:val="left"/>
      <w:pPr>
        <w:tabs>
          <w:tab w:val="num" w:pos="3402"/>
        </w:tabs>
        <w:ind w:left="2835" w:firstLine="0"/>
      </w:pPr>
      <w:rPr>
        <w:rFonts w:hint="default"/>
      </w:rPr>
    </w:lvl>
    <w:lvl w:ilvl="3">
      <w:start w:val="1"/>
      <w:numFmt w:val="bullet"/>
      <w:lvlText w:val=""/>
      <w:lvlJc w:val="left"/>
      <w:pPr>
        <w:tabs>
          <w:tab w:val="num" w:pos="3969"/>
        </w:tabs>
        <w:ind w:left="3402" w:firstLine="0"/>
      </w:pPr>
      <w:rPr>
        <w:rFonts w:hint="default"/>
      </w:rPr>
    </w:lvl>
    <w:lvl w:ilvl="4">
      <w:start w:val="1"/>
      <w:numFmt w:val="bullet"/>
      <w:lvlText w:val=""/>
      <w:lvlJc w:val="left"/>
      <w:pPr>
        <w:tabs>
          <w:tab w:val="num" w:pos="4536"/>
        </w:tabs>
        <w:ind w:left="3969" w:firstLine="0"/>
      </w:pPr>
      <w:rPr>
        <w:rFonts w:hint="default"/>
      </w:rPr>
    </w:lvl>
    <w:lvl w:ilvl="5">
      <w:start w:val="1"/>
      <w:numFmt w:val="bullet"/>
      <w:lvlText w:val=""/>
      <w:lvlJc w:val="left"/>
      <w:pPr>
        <w:tabs>
          <w:tab w:val="num" w:pos="5103"/>
        </w:tabs>
        <w:ind w:left="4536" w:firstLine="0"/>
      </w:pPr>
      <w:rPr>
        <w:rFonts w:hint="default"/>
      </w:rPr>
    </w:lvl>
    <w:lvl w:ilvl="6">
      <w:start w:val="1"/>
      <w:numFmt w:val="bullet"/>
      <w:lvlText w:val=""/>
      <w:lvlJc w:val="left"/>
      <w:pPr>
        <w:tabs>
          <w:tab w:val="num" w:pos="5670"/>
        </w:tabs>
        <w:ind w:left="5103" w:firstLine="0"/>
      </w:pPr>
      <w:rPr>
        <w:rFonts w:hint="default"/>
      </w:rPr>
    </w:lvl>
    <w:lvl w:ilvl="7">
      <w:start w:val="1"/>
      <w:numFmt w:val="bullet"/>
      <w:lvlText w:val=""/>
      <w:lvlJc w:val="left"/>
      <w:pPr>
        <w:tabs>
          <w:tab w:val="num" w:pos="6236"/>
        </w:tabs>
        <w:ind w:left="5670" w:firstLine="0"/>
      </w:pPr>
      <w:rPr>
        <w:rFonts w:hint="default"/>
      </w:rPr>
    </w:lvl>
    <w:lvl w:ilvl="8">
      <w:start w:val="1"/>
      <w:numFmt w:val="bullet"/>
      <w:lvlText w:val=""/>
      <w:lvlJc w:val="left"/>
      <w:pPr>
        <w:tabs>
          <w:tab w:val="num" w:pos="6803"/>
        </w:tabs>
        <w:ind w:left="6236"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5E06D58"/>
    <w:multiLevelType w:val="hybridMultilevel"/>
    <w:tmpl w:val="B4EEAEFA"/>
    <w:lvl w:ilvl="0" w:tplc="04090017">
      <w:start w:val="1"/>
      <w:numFmt w:val="lowerLetter"/>
      <w:lvlText w:val="%1)"/>
      <w:lvlJc w:val="left"/>
      <w:pPr>
        <w:ind w:left="6030" w:hanging="360"/>
      </w:pPr>
      <w:rPr>
        <w:rFonts w:hint="default"/>
        <w:i/>
      </w:rPr>
    </w:lvl>
    <w:lvl w:ilvl="1" w:tplc="04090019" w:tentative="1">
      <w:start w:val="1"/>
      <w:numFmt w:val="lowerLetter"/>
      <w:lvlText w:val="%2."/>
      <w:lvlJc w:val="left"/>
      <w:pPr>
        <w:ind w:left="6750" w:hanging="360"/>
      </w:pPr>
    </w:lvl>
    <w:lvl w:ilvl="2" w:tplc="0409001B" w:tentative="1">
      <w:start w:val="1"/>
      <w:numFmt w:val="lowerRoman"/>
      <w:lvlText w:val="%3."/>
      <w:lvlJc w:val="right"/>
      <w:pPr>
        <w:ind w:left="7470" w:hanging="180"/>
      </w:pPr>
    </w:lvl>
    <w:lvl w:ilvl="3" w:tplc="0409000F" w:tentative="1">
      <w:start w:val="1"/>
      <w:numFmt w:val="decimal"/>
      <w:lvlText w:val="%4."/>
      <w:lvlJc w:val="left"/>
      <w:pPr>
        <w:ind w:left="8190" w:hanging="360"/>
      </w:pPr>
    </w:lvl>
    <w:lvl w:ilvl="4" w:tplc="04090019" w:tentative="1">
      <w:start w:val="1"/>
      <w:numFmt w:val="lowerLetter"/>
      <w:lvlText w:val="%5."/>
      <w:lvlJc w:val="left"/>
      <w:pPr>
        <w:ind w:left="8910" w:hanging="360"/>
      </w:pPr>
    </w:lvl>
    <w:lvl w:ilvl="5" w:tplc="0409001B" w:tentative="1">
      <w:start w:val="1"/>
      <w:numFmt w:val="lowerRoman"/>
      <w:lvlText w:val="%6."/>
      <w:lvlJc w:val="right"/>
      <w:pPr>
        <w:ind w:left="9630" w:hanging="180"/>
      </w:pPr>
    </w:lvl>
    <w:lvl w:ilvl="6" w:tplc="0409000F" w:tentative="1">
      <w:start w:val="1"/>
      <w:numFmt w:val="decimal"/>
      <w:lvlText w:val="%7."/>
      <w:lvlJc w:val="left"/>
      <w:pPr>
        <w:ind w:left="10350" w:hanging="360"/>
      </w:pPr>
    </w:lvl>
    <w:lvl w:ilvl="7" w:tplc="04090019" w:tentative="1">
      <w:start w:val="1"/>
      <w:numFmt w:val="lowerLetter"/>
      <w:lvlText w:val="%8."/>
      <w:lvlJc w:val="left"/>
      <w:pPr>
        <w:ind w:left="11070" w:hanging="360"/>
      </w:pPr>
    </w:lvl>
    <w:lvl w:ilvl="8" w:tplc="0409001B" w:tentative="1">
      <w:start w:val="1"/>
      <w:numFmt w:val="lowerRoman"/>
      <w:lvlText w:val="%9."/>
      <w:lvlJc w:val="right"/>
      <w:pPr>
        <w:ind w:left="11790" w:hanging="180"/>
      </w:p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27987169">
    <w:abstractNumId w:val="2"/>
  </w:num>
  <w:num w:numId="2" w16cid:durableId="1368065899">
    <w:abstractNumId w:val="4"/>
  </w:num>
  <w:num w:numId="3" w16cid:durableId="1509633635">
    <w:abstractNumId w:val="0"/>
  </w:num>
  <w:num w:numId="4" w16cid:durableId="677849983">
    <w:abstractNumId w:val="6"/>
  </w:num>
  <w:num w:numId="5" w16cid:durableId="1988243437">
    <w:abstractNumId w:val="1"/>
  </w:num>
  <w:num w:numId="6" w16cid:durableId="2016496202">
    <w:abstractNumId w:val="3"/>
  </w:num>
  <w:num w:numId="7" w16cid:durableId="976225653">
    <w:abstractNumId w:val="5"/>
  </w:num>
  <w:num w:numId="8" w16cid:durableId="1889605974">
    <w:abstractNumId w:val="3"/>
  </w:num>
  <w:num w:numId="9" w16cid:durableId="19431049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F39"/>
    <w:rsid w:val="000E3BB3"/>
    <w:rsid w:val="000E67FD"/>
    <w:rsid w:val="000F5E56"/>
    <w:rsid w:val="001258F6"/>
    <w:rsid w:val="001362EE"/>
    <w:rsid w:val="00152CEA"/>
    <w:rsid w:val="001832A6"/>
    <w:rsid w:val="001C4DD3"/>
    <w:rsid w:val="001D50D1"/>
    <w:rsid w:val="001F4F39"/>
    <w:rsid w:val="002634C4"/>
    <w:rsid w:val="002F4E68"/>
    <w:rsid w:val="00307787"/>
    <w:rsid w:val="00354647"/>
    <w:rsid w:val="00377273"/>
    <w:rsid w:val="003845C1"/>
    <w:rsid w:val="00387287"/>
    <w:rsid w:val="003D41D4"/>
    <w:rsid w:val="00423E3E"/>
    <w:rsid w:val="00427AF4"/>
    <w:rsid w:val="0045231F"/>
    <w:rsid w:val="004647DA"/>
    <w:rsid w:val="00477D6B"/>
    <w:rsid w:val="004A6C37"/>
    <w:rsid w:val="004F7418"/>
    <w:rsid w:val="00511D0C"/>
    <w:rsid w:val="0055013B"/>
    <w:rsid w:val="0056224D"/>
    <w:rsid w:val="00571B99"/>
    <w:rsid w:val="005D64EC"/>
    <w:rsid w:val="00605827"/>
    <w:rsid w:val="00615B8E"/>
    <w:rsid w:val="0066216D"/>
    <w:rsid w:val="00664847"/>
    <w:rsid w:val="00675021"/>
    <w:rsid w:val="006A06C6"/>
    <w:rsid w:val="006E6B2A"/>
    <w:rsid w:val="006F118B"/>
    <w:rsid w:val="007E63AC"/>
    <w:rsid w:val="007E663E"/>
    <w:rsid w:val="00815082"/>
    <w:rsid w:val="00843582"/>
    <w:rsid w:val="008B14EA"/>
    <w:rsid w:val="008B2CC1"/>
    <w:rsid w:val="0090731E"/>
    <w:rsid w:val="00966A22"/>
    <w:rsid w:val="00970F3D"/>
    <w:rsid w:val="00972F03"/>
    <w:rsid w:val="009A0C8B"/>
    <w:rsid w:val="009B6241"/>
    <w:rsid w:val="00A16FC0"/>
    <w:rsid w:val="00A32C9E"/>
    <w:rsid w:val="00A7453D"/>
    <w:rsid w:val="00A91F68"/>
    <w:rsid w:val="00AB613D"/>
    <w:rsid w:val="00B165FC"/>
    <w:rsid w:val="00B65A0A"/>
    <w:rsid w:val="00B72D36"/>
    <w:rsid w:val="00BA063E"/>
    <w:rsid w:val="00BC4164"/>
    <w:rsid w:val="00BD2DCC"/>
    <w:rsid w:val="00BE1A8C"/>
    <w:rsid w:val="00C06472"/>
    <w:rsid w:val="00C90559"/>
    <w:rsid w:val="00D36B79"/>
    <w:rsid w:val="00D40CF0"/>
    <w:rsid w:val="00D56C7C"/>
    <w:rsid w:val="00D71B4D"/>
    <w:rsid w:val="00D90289"/>
    <w:rsid w:val="00D93D55"/>
    <w:rsid w:val="00E45C84"/>
    <w:rsid w:val="00E504E5"/>
    <w:rsid w:val="00E73ABF"/>
    <w:rsid w:val="00EB7A3E"/>
    <w:rsid w:val="00EC401A"/>
    <w:rsid w:val="00EF530A"/>
    <w:rsid w:val="00EF6622"/>
    <w:rsid w:val="00F55408"/>
    <w:rsid w:val="00F66152"/>
    <w:rsid w:val="00F80845"/>
    <w:rsid w:val="00F84474"/>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AF9406"/>
  <w15:docId w15:val="{4CF75CE1-829B-4AFF-A121-075841EB3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2Char">
    <w:name w:val="Heading 2 Char"/>
    <w:basedOn w:val="DefaultParagraphFont"/>
    <w:link w:val="Heading2"/>
    <w:rsid w:val="001F4F39"/>
    <w:rPr>
      <w:rFonts w:ascii="Arial" w:eastAsia="SimSun" w:hAnsi="Arial" w:cs="Arial"/>
      <w:bCs/>
      <w:iCs/>
      <w:caps/>
      <w:sz w:val="22"/>
      <w:szCs w:val="28"/>
      <w:lang w:val="es-ES" w:eastAsia="zh-CN"/>
    </w:rPr>
  </w:style>
  <w:style w:type="paragraph" w:customStyle="1" w:styleId="Endofdocument">
    <w:name w:val="End of document"/>
    <w:basedOn w:val="Normal"/>
    <w:rsid w:val="001F4F39"/>
    <w:pPr>
      <w:spacing w:line="260" w:lineRule="atLeast"/>
      <w:ind w:left="5534"/>
    </w:pPr>
    <w:rPr>
      <w:rFonts w:eastAsia="Times New Roman" w:cs="Times New Roman"/>
      <w:sz w:val="20"/>
      <w:lang w:eastAsia="en-US"/>
    </w:rPr>
  </w:style>
  <w:style w:type="character" w:styleId="Hyperlink">
    <w:name w:val="Hyperlink"/>
    <w:basedOn w:val="DefaultParagraphFont"/>
    <w:unhideWhenUsed/>
    <w:rsid w:val="001F4F39"/>
    <w:rPr>
      <w:color w:val="0000FF" w:themeColor="hyperlink"/>
      <w:u w:val="single"/>
    </w:rPr>
  </w:style>
  <w:style w:type="table" w:styleId="TableGrid">
    <w:name w:val="Table Grid"/>
    <w:basedOn w:val="TableNormal"/>
    <w:uiPriority w:val="39"/>
    <w:rsid w:val="001F4F39"/>
    <w:rPr>
      <w:rFonts w:eastAsia="MS Mincho"/>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3.wipo.int/confluence/display/ATR/Browse+by+Yea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_12%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CWS_12 (S).dotm</Template>
  <TotalTime>8</TotalTime>
  <Pages>3</Pages>
  <Words>1072</Words>
  <Characters>5401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CWS/12/24</vt:lpstr>
    </vt:vector>
  </TitlesOfParts>
  <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CWS/12/24</dc:title>
  <dc:creator>WIPO</dc:creator>
  <cp:keywords>Comité de Normas Técnicas de la OMPI (CWS) Duodécima sesión</cp:keywords>
  <cp:lastModifiedBy>BLANCHET Gaspard</cp:lastModifiedBy>
  <cp:revision>2</cp:revision>
  <dcterms:created xsi:type="dcterms:W3CDTF">2024-08-21T09:04:00Z</dcterms:created>
  <dcterms:modified xsi:type="dcterms:W3CDTF">2024-08-21T12:11:00Z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2024-08-21T09:04:38Z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7973af1a-b9a0-4c56-a38c-842042fb3419</vt:lpwstr>
  </property>
  <property fmtid="{D5CDD505-2E9C-101B-9397-08002B2CF9AE}" pid="14" name="MSIP_Label_20773ee6-353b-4fb9-a59d-0b94c8c67bea_ContentBits">
    <vt:lpwstr>0</vt:lpwstr>
  </property>
</Properties>
</file>