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1A9E4" w14:textId="77777777" w:rsidR="008B2CC1" w:rsidRPr="008B0F4A" w:rsidRDefault="008B14EA" w:rsidP="008B14EA">
      <w:pPr>
        <w:spacing w:after="120"/>
        <w:jc w:val="right"/>
        <w:rPr>
          <w:lang w:val="es-ES_tradnl"/>
        </w:rPr>
      </w:pPr>
      <w:r w:rsidRPr="008B0F4A">
        <w:rPr>
          <w:noProof/>
          <w:lang w:val="es-ES_tradnl" w:eastAsia="en-US"/>
        </w:rPr>
        <w:drawing>
          <wp:inline distT="0" distB="0" distL="0" distR="0" wp14:anchorId="2D92BD05" wp14:editId="716A41AE">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8B0F4A">
        <w:rPr>
          <w:rFonts w:ascii="Arial Black" w:hAnsi="Arial Black"/>
          <w:caps/>
          <w:noProof/>
          <w:sz w:val="15"/>
          <w:szCs w:val="15"/>
          <w:lang w:val="es-ES_tradnl" w:eastAsia="en-US"/>
        </w:rPr>
        <mc:AlternateContent>
          <mc:Choice Requires="wps">
            <w:drawing>
              <wp:inline distT="0" distB="0" distL="0" distR="0" wp14:anchorId="14669A63" wp14:editId="3F3D8A47">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E7AC4AC"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37F8731" w14:textId="77777777" w:rsidR="008B2CC1" w:rsidRPr="008B0F4A" w:rsidRDefault="0066216D" w:rsidP="008B14EA">
      <w:pPr>
        <w:jc w:val="right"/>
        <w:rPr>
          <w:rFonts w:ascii="Arial Black" w:hAnsi="Arial Black"/>
          <w:caps/>
          <w:sz w:val="15"/>
          <w:lang w:val="es-ES_tradnl"/>
        </w:rPr>
      </w:pPr>
      <w:r w:rsidRPr="008B0F4A">
        <w:rPr>
          <w:rFonts w:ascii="Arial Black" w:hAnsi="Arial Black"/>
          <w:caps/>
          <w:sz w:val="15"/>
          <w:lang w:val="es-ES_tradnl"/>
        </w:rPr>
        <w:t>CWS/1</w:t>
      </w:r>
      <w:r w:rsidR="00970F3D" w:rsidRPr="008B0F4A">
        <w:rPr>
          <w:rFonts w:ascii="Arial Black" w:hAnsi="Arial Black"/>
          <w:caps/>
          <w:sz w:val="15"/>
          <w:lang w:val="es-ES_tradnl"/>
        </w:rPr>
        <w:t>2</w:t>
      </w:r>
      <w:r w:rsidRPr="008B0F4A">
        <w:rPr>
          <w:rFonts w:ascii="Arial Black" w:hAnsi="Arial Black"/>
          <w:caps/>
          <w:sz w:val="15"/>
          <w:lang w:val="es-ES_tradnl"/>
        </w:rPr>
        <w:t>/</w:t>
      </w:r>
      <w:bookmarkStart w:id="0" w:name="Code"/>
      <w:bookmarkEnd w:id="0"/>
      <w:r w:rsidR="005C009A" w:rsidRPr="008B0F4A">
        <w:rPr>
          <w:rFonts w:ascii="Arial Black" w:hAnsi="Arial Black"/>
          <w:caps/>
          <w:sz w:val="15"/>
          <w:lang w:val="es-ES_tradnl"/>
        </w:rPr>
        <w:t>26</w:t>
      </w:r>
    </w:p>
    <w:p w14:paraId="3E7223EA" w14:textId="77777777" w:rsidR="008B2CC1" w:rsidRPr="008B0F4A" w:rsidRDefault="008B14EA" w:rsidP="008B14EA">
      <w:pPr>
        <w:jc w:val="right"/>
        <w:rPr>
          <w:rFonts w:ascii="Arial Black" w:hAnsi="Arial Black"/>
          <w:caps/>
          <w:sz w:val="15"/>
          <w:lang w:val="es-ES_tradnl"/>
        </w:rPr>
      </w:pPr>
      <w:r w:rsidRPr="008B0F4A">
        <w:rPr>
          <w:rFonts w:ascii="Arial Black" w:hAnsi="Arial Black"/>
          <w:caps/>
          <w:sz w:val="15"/>
          <w:lang w:val="es-ES_tradnl"/>
        </w:rPr>
        <w:t xml:space="preserve">ORIGINAL: </w:t>
      </w:r>
      <w:bookmarkStart w:id="1" w:name="Original"/>
      <w:r w:rsidR="005C009A" w:rsidRPr="008B0F4A">
        <w:rPr>
          <w:rFonts w:ascii="Arial Black" w:hAnsi="Arial Black"/>
          <w:caps/>
          <w:sz w:val="15"/>
          <w:lang w:val="es-ES_tradnl"/>
        </w:rPr>
        <w:t>INGLÉS</w:t>
      </w:r>
    </w:p>
    <w:bookmarkEnd w:id="1"/>
    <w:p w14:paraId="3BD89BEE" w14:textId="03645E16" w:rsidR="008B2CC1" w:rsidRPr="008B0F4A" w:rsidRDefault="008B14EA" w:rsidP="008B14EA">
      <w:pPr>
        <w:spacing w:after="1200"/>
        <w:jc w:val="right"/>
        <w:rPr>
          <w:rFonts w:ascii="Arial Black" w:hAnsi="Arial Black"/>
          <w:caps/>
          <w:sz w:val="15"/>
          <w:lang w:val="es-ES_tradnl"/>
        </w:rPr>
      </w:pPr>
      <w:r w:rsidRPr="008B0F4A">
        <w:rPr>
          <w:rFonts w:ascii="Arial Black" w:hAnsi="Arial Black"/>
          <w:caps/>
          <w:sz w:val="15"/>
          <w:lang w:val="es-ES_tradnl"/>
        </w:rPr>
        <w:t xml:space="preserve">FECHA: </w:t>
      </w:r>
      <w:bookmarkStart w:id="2" w:name="Date"/>
      <w:r w:rsidR="005C009A" w:rsidRPr="008B0F4A">
        <w:rPr>
          <w:rFonts w:ascii="Arial Black" w:hAnsi="Arial Black"/>
          <w:caps/>
          <w:sz w:val="15"/>
          <w:lang w:val="es-ES_tradnl"/>
        </w:rPr>
        <w:t>5 DE AGOSTO DE 2024</w:t>
      </w:r>
    </w:p>
    <w:bookmarkEnd w:id="2"/>
    <w:p w14:paraId="7FE2BDB8" w14:textId="77777777" w:rsidR="008B2CC1" w:rsidRPr="008B0F4A" w:rsidRDefault="0066216D" w:rsidP="008B14EA">
      <w:pPr>
        <w:spacing w:after="600"/>
        <w:rPr>
          <w:b/>
          <w:sz w:val="28"/>
          <w:szCs w:val="28"/>
          <w:lang w:val="es-ES_tradnl"/>
        </w:rPr>
      </w:pPr>
      <w:r w:rsidRPr="008B0F4A">
        <w:rPr>
          <w:b/>
          <w:sz w:val="28"/>
          <w:szCs w:val="28"/>
          <w:lang w:val="es-ES_tradnl"/>
        </w:rPr>
        <w:t>Comité de Normas Técnicas de la OMPI (CWS)</w:t>
      </w:r>
    </w:p>
    <w:p w14:paraId="389527E4" w14:textId="77777777" w:rsidR="00511D0C" w:rsidRPr="008B0F4A" w:rsidRDefault="00970F3D" w:rsidP="00511D0C">
      <w:pPr>
        <w:rPr>
          <w:b/>
          <w:sz w:val="28"/>
          <w:szCs w:val="24"/>
          <w:lang w:val="es-ES_tradnl"/>
        </w:rPr>
      </w:pPr>
      <w:r w:rsidRPr="008B0F4A">
        <w:rPr>
          <w:b/>
          <w:sz w:val="24"/>
          <w:lang w:val="es-ES_tradnl"/>
        </w:rPr>
        <w:t>Duodécima</w:t>
      </w:r>
      <w:r w:rsidR="0066216D" w:rsidRPr="008B0F4A">
        <w:rPr>
          <w:b/>
          <w:sz w:val="24"/>
          <w:lang w:val="es-ES_tradnl"/>
        </w:rPr>
        <w:t xml:space="preserve"> sesión</w:t>
      </w:r>
    </w:p>
    <w:p w14:paraId="4D282CF8" w14:textId="77777777" w:rsidR="008B2CC1" w:rsidRPr="008B0F4A" w:rsidRDefault="0066216D" w:rsidP="008B14EA">
      <w:pPr>
        <w:spacing w:after="720"/>
        <w:rPr>
          <w:b/>
          <w:sz w:val="28"/>
          <w:szCs w:val="24"/>
          <w:lang w:val="es-ES_tradnl"/>
        </w:rPr>
      </w:pPr>
      <w:r w:rsidRPr="008B0F4A">
        <w:rPr>
          <w:b/>
          <w:sz w:val="24"/>
          <w:lang w:val="es-ES_tradnl"/>
        </w:rPr>
        <w:t xml:space="preserve">Ginebra, </w:t>
      </w:r>
      <w:r w:rsidR="00970F3D" w:rsidRPr="008B0F4A">
        <w:rPr>
          <w:b/>
          <w:sz w:val="24"/>
          <w:lang w:val="es-ES_tradnl"/>
        </w:rPr>
        <w:t>16 a 20 de septiembre de 2024</w:t>
      </w:r>
    </w:p>
    <w:p w14:paraId="19520974" w14:textId="2419F85A" w:rsidR="008B2CC1" w:rsidRPr="008B0F4A" w:rsidRDefault="005C009A" w:rsidP="008B14EA">
      <w:pPr>
        <w:spacing w:after="360"/>
        <w:rPr>
          <w:caps/>
          <w:sz w:val="24"/>
          <w:lang w:val="es-ES_tradnl"/>
        </w:rPr>
      </w:pPr>
      <w:bookmarkStart w:id="3" w:name="TitleOfDoc"/>
      <w:r w:rsidRPr="008B0F4A">
        <w:rPr>
          <w:sz w:val="24"/>
          <w:lang w:val="es-ES_tradnl"/>
        </w:rPr>
        <w:t>ANÁLISIS DE LOS RESULTADOS DE LA ENCUESTA SOBRE LA APLICACIÓN DE LA NORMA ST.91 DE LA OMPI</w:t>
      </w:r>
    </w:p>
    <w:p w14:paraId="7B415512" w14:textId="2DA6A687" w:rsidR="008B2CC1" w:rsidRPr="008B0F4A" w:rsidRDefault="005C009A" w:rsidP="008B14EA">
      <w:pPr>
        <w:spacing w:after="960"/>
        <w:rPr>
          <w:i/>
          <w:lang w:val="es-ES_tradnl"/>
        </w:rPr>
      </w:pPr>
      <w:bookmarkStart w:id="4" w:name="Prepared"/>
      <w:bookmarkEnd w:id="3"/>
      <w:r w:rsidRPr="008B0F4A">
        <w:rPr>
          <w:i/>
          <w:lang w:val="es-ES_tradnl"/>
        </w:rPr>
        <w:t>Documento preparado por el responsable del Equipo Técnico 3D</w:t>
      </w:r>
    </w:p>
    <w:bookmarkEnd w:id="4"/>
    <w:p w14:paraId="0B8B04A2" w14:textId="77777777" w:rsidR="005C009A" w:rsidRPr="008B0F4A" w:rsidRDefault="005C009A" w:rsidP="008B0F4A">
      <w:pPr>
        <w:pStyle w:val="Heading2"/>
        <w:spacing w:before="0" w:after="120"/>
        <w:rPr>
          <w:lang w:val="es-ES_tradnl"/>
        </w:rPr>
      </w:pPr>
      <w:r w:rsidRPr="008B0F4A">
        <w:rPr>
          <w:lang w:val="es-ES_tradnl"/>
        </w:rPr>
        <w:t>RESUMEN</w:t>
      </w:r>
    </w:p>
    <w:p w14:paraId="6F3D7C7C" w14:textId="62A9BC2F" w:rsidR="005C009A" w:rsidRPr="008B0F4A" w:rsidRDefault="005C009A" w:rsidP="008B0F4A">
      <w:pPr>
        <w:spacing w:after="480"/>
        <w:rPr>
          <w:lang w:val="es-ES_tradnl"/>
        </w:rPr>
      </w:pPr>
      <w:r w:rsidRPr="008B0F4A">
        <w:rPr>
          <w:lang w:val="es-ES_tradnl"/>
        </w:rPr>
        <w:fldChar w:fldCharType="begin"/>
      </w:r>
      <w:r w:rsidRPr="008B0F4A">
        <w:rPr>
          <w:lang w:val="es-ES_tradnl"/>
        </w:rPr>
        <w:instrText xml:space="preserve"> AUTONUM  </w:instrText>
      </w:r>
      <w:r w:rsidRPr="008B0F4A">
        <w:rPr>
          <w:lang w:val="es-ES_tradnl"/>
        </w:rPr>
        <w:fldChar w:fldCharType="end"/>
      </w:r>
      <w:r w:rsidRPr="008B0F4A">
        <w:rPr>
          <w:lang w:val="es-ES_tradnl"/>
        </w:rPr>
        <w:tab/>
        <w:t>El Equipo Técnico 3D analizó las respuestas a la encuesta sobre la aplicación de la Norma ST.91 de la OMPI por parte de las Oficinas de PI y ofrece su análisis de los resultados de la encuesta.</w:t>
      </w:r>
    </w:p>
    <w:p w14:paraId="24DDA5BF" w14:textId="77777777" w:rsidR="005C009A" w:rsidRPr="008B0F4A" w:rsidRDefault="005C009A" w:rsidP="008B0F4A">
      <w:pPr>
        <w:pStyle w:val="Heading2"/>
        <w:spacing w:before="0" w:after="120"/>
        <w:rPr>
          <w:lang w:val="es-ES_tradnl"/>
        </w:rPr>
      </w:pPr>
      <w:r w:rsidRPr="008B0F4A">
        <w:rPr>
          <w:lang w:val="es-ES_tradnl"/>
        </w:rPr>
        <w:t>ANTECEDENTES</w:t>
      </w:r>
    </w:p>
    <w:p w14:paraId="662C5E3C" w14:textId="6CFE4EB7" w:rsidR="005C009A" w:rsidRPr="008B0F4A" w:rsidRDefault="005C009A" w:rsidP="008B0F4A">
      <w:pPr>
        <w:pStyle w:val="ONUME"/>
        <w:numPr>
          <w:ilvl w:val="0"/>
          <w:numId w:val="0"/>
        </w:numPr>
        <w:spacing w:after="480"/>
        <w:rPr>
          <w:lang w:val="es-ES_tradnl"/>
        </w:rPr>
      </w:pPr>
      <w:r w:rsidRPr="008B0F4A">
        <w:rPr>
          <w:lang w:val="es-ES_tradnl"/>
        </w:rPr>
        <w:fldChar w:fldCharType="begin"/>
      </w:r>
      <w:r w:rsidRPr="008B0F4A">
        <w:rPr>
          <w:lang w:val="es-ES_tradnl"/>
        </w:rPr>
        <w:instrText xml:space="preserve"> AUTONUM  </w:instrText>
      </w:r>
      <w:r w:rsidRPr="008B0F4A">
        <w:rPr>
          <w:lang w:val="es-ES_tradnl"/>
        </w:rPr>
        <w:fldChar w:fldCharType="end"/>
      </w:r>
      <w:r w:rsidRPr="008B0F4A">
        <w:rPr>
          <w:lang w:val="es-ES_tradnl"/>
        </w:rPr>
        <w:tab/>
        <w:t>En su undécima sesión, celebrada en diciembre de 2023, el Comité de Normas Técnicas de la OMPI (CWS) aprobó el cuestionario sobre la aplicación de la Norma ST.91 de la OMPI por las Oficinas de PI.</w:t>
      </w:r>
      <w:r w:rsidR="008B0F4A">
        <w:rPr>
          <w:lang w:val="es-ES_tradnl"/>
        </w:rPr>
        <w:t xml:space="preserve"> </w:t>
      </w:r>
      <w:r w:rsidRPr="008B0F4A">
        <w:rPr>
          <w:lang w:val="es-ES_tradnl"/>
        </w:rPr>
        <w:t>El CWS pidió a la Secretaría que emitiera una circular en la que invitara a las Oficinas de PI a responder a esta encuesta (párrafo 87 del documento CWS/11/27).</w:t>
      </w:r>
    </w:p>
    <w:p w14:paraId="4F28196F" w14:textId="77777777" w:rsidR="005C009A" w:rsidRPr="008B0F4A" w:rsidRDefault="005C009A" w:rsidP="008B0F4A">
      <w:pPr>
        <w:pStyle w:val="Heading2"/>
        <w:spacing w:before="0" w:after="120"/>
        <w:rPr>
          <w:lang w:val="es-ES_tradnl"/>
        </w:rPr>
      </w:pPr>
      <w:r w:rsidRPr="008B0F4A">
        <w:rPr>
          <w:lang w:val="es-ES_tradnl"/>
        </w:rPr>
        <w:t>RESULTADOS DE LA ENCUESTA</w:t>
      </w:r>
    </w:p>
    <w:p w14:paraId="506497E8" w14:textId="7E78A162" w:rsidR="005C009A" w:rsidRPr="008B0F4A" w:rsidRDefault="005C009A" w:rsidP="005C009A">
      <w:pPr>
        <w:pStyle w:val="ONUME"/>
        <w:numPr>
          <w:ilvl w:val="0"/>
          <w:numId w:val="0"/>
        </w:numPr>
        <w:rPr>
          <w:lang w:val="es-ES_tradnl"/>
        </w:rPr>
      </w:pPr>
      <w:r w:rsidRPr="008B0F4A">
        <w:rPr>
          <w:lang w:val="es-ES_tradnl"/>
        </w:rPr>
        <w:fldChar w:fldCharType="begin"/>
      </w:r>
      <w:r w:rsidRPr="008B0F4A">
        <w:rPr>
          <w:lang w:val="es-ES_tradnl"/>
        </w:rPr>
        <w:instrText xml:space="preserve"> AUTONUM  </w:instrText>
      </w:r>
      <w:r w:rsidRPr="008B0F4A">
        <w:rPr>
          <w:lang w:val="es-ES_tradnl"/>
        </w:rPr>
        <w:fldChar w:fldCharType="end"/>
      </w:r>
      <w:r w:rsidRPr="008B0F4A">
        <w:rPr>
          <w:lang w:val="es-ES_tradnl"/>
        </w:rPr>
        <w:tab/>
        <w:t>En marzo de 2024, la Secretaría emitió la circular C.CWS.179 en la que invitaba a las Oficinas de PI a participar en la encuesta sobre la aplicación de la Norma ST.91 de la OMPI.</w:t>
      </w:r>
      <w:r w:rsidR="008B0F4A">
        <w:rPr>
          <w:lang w:val="es-ES_tradnl"/>
        </w:rPr>
        <w:t xml:space="preserve"> </w:t>
      </w:r>
      <w:r w:rsidRPr="008B0F4A">
        <w:rPr>
          <w:lang w:val="es-ES_tradnl"/>
        </w:rPr>
        <w:t>La encuesta se realizó entre marzo y abril de 2024.</w:t>
      </w:r>
    </w:p>
    <w:p w14:paraId="3E247E4A" w14:textId="3BDA7B49" w:rsidR="005C009A" w:rsidRPr="008B0F4A" w:rsidRDefault="005C009A" w:rsidP="008B0F4A">
      <w:pPr>
        <w:spacing w:after="480"/>
        <w:rPr>
          <w:lang w:val="es-ES_tradnl"/>
        </w:rPr>
      </w:pPr>
      <w:r w:rsidRPr="008B0F4A">
        <w:rPr>
          <w:lang w:val="es-ES_tradnl"/>
        </w:rPr>
        <w:fldChar w:fldCharType="begin"/>
      </w:r>
      <w:r w:rsidRPr="008B0F4A">
        <w:rPr>
          <w:lang w:val="es-ES_tradnl"/>
        </w:rPr>
        <w:instrText xml:space="preserve"> AUTONUM  </w:instrText>
      </w:r>
      <w:r w:rsidRPr="008B0F4A">
        <w:rPr>
          <w:lang w:val="es-ES_tradnl"/>
        </w:rPr>
        <w:fldChar w:fldCharType="end"/>
      </w:r>
      <w:r w:rsidRPr="008B0F4A">
        <w:rPr>
          <w:lang w:val="es-ES_tradnl"/>
        </w:rPr>
        <w:tab/>
        <w:t xml:space="preserve">Los 22 miembros del CWS participaron en la encuesta: Oficinas de los siguientes Estados miembros: Alemania (DE), Australia (AU), Bhután (BT), Bulgaria (BG), Canadá (CA), Croacia (HR), Eslovaquia (SK), Estonia (EE), Gambia (GM), Federación de Rusia (RU), Hungría (HU), Italia (IT), Japón (JP), Lituania (LT), Namibia (NA), Reino Unido (GB), República Árabe Siria (SY), República Checa (CZ) y República de Corea (KR); y las siguientes Oficinas </w:t>
      </w:r>
      <w:r w:rsidRPr="008B0F4A">
        <w:rPr>
          <w:lang w:val="es-ES_tradnl"/>
        </w:rPr>
        <w:lastRenderedPageBreak/>
        <w:t>regionales: Oficina Eurasiática de Patentes (EA), Oficina Europea de Patentes (EP) y Oficina de Propiedad Intelectual de la Unión Europea (EM).</w:t>
      </w:r>
      <w:r w:rsidR="008B0F4A">
        <w:rPr>
          <w:lang w:val="es-ES_tradnl"/>
        </w:rPr>
        <w:t xml:space="preserve"> </w:t>
      </w:r>
      <w:r w:rsidRPr="008B0F4A">
        <w:rPr>
          <w:lang w:val="es-ES_tradnl"/>
        </w:rPr>
        <w:t xml:space="preserve">La Secretaría publicará las respuestas individuales de las Oficinas de PI y las respuestas agrupadas en la </w:t>
      </w:r>
      <w:hyperlink r:id="rId8" w:history="1">
        <w:r w:rsidRPr="008B0F4A">
          <w:rPr>
            <w:rStyle w:val="Hyperlink"/>
            <w:lang w:val="es-ES_tradnl"/>
          </w:rPr>
          <w:t>Parte 7 del Manual de la OMPI</w:t>
        </w:r>
      </w:hyperlink>
      <w:r w:rsidRPr="008B0F4A">
        <w:rPr>
          <w:lang w:val="es-ES_tradnl"/>
        </w:rPr>
        <w:t xml:space="preserve"> tan pronto como todas las respuestas hayan sido traducidas y formateadas.</w:t>
      </w:r>
    </w:p>
    <w:p w14:paraId="3FFF13AB" w14:textId="77777777" w:rsidR="005C009A" w:rsidRPr="008B0F4A" w:rsidRDefault="005C009A" w:rsidP="008B0F4A">
      <w:pPr>
        <w:pStyle w:val="Heading2"/>
        <w:spacing w:before="0" w:after="120"/>
        <w:rPr>
          <w:lang w:val="es-ES_tradnl"/>
        </w:rPr>
      </w:pPr>
      <w:r w:rsidRPr="008B0F4A">
        <w:rPr>
          <w:lang w:val="es-ES_tradnl"/>
        </w:rPr>
        <w:t>ANÁLISIS DE LA ENCUESTA</w:t>
      </w:r>
    </w:p>
    <w:p w14:paraId="37A26F33" w14:textId="0CFA17D2" w:rsidR="005C009A" w:rsidRPr="008B0F4A" w:rsidRDefault="005C009A" w:rsidP="005C009A">
      <w:pPr>
        <w:spacing w:after="240"/>
        <w:rPr>
          <w:lang w:val="es-ES_tradnl"/>
        </w:rPr>
      </w:pPr>
      <w:r w:rsidRPr="008B0F4A">
        <w:rPr>
          <w:lang w:val="es-ES_tradnl"/>
        </w:rPr>
        <w:fldChar w:fldCharType="begin"/>
      </w:r>
      <w:r w:rsidRPr="008B0F4A">
        <w:rPr>
          <w:lang w:val="es-ES_tradnl"/>
        </w:rPr>
        <w:instrText xml:space="preserve"> AUTONUM  </w:instrText>
      </w:r>
      <w:r w:rsidRPr="008B0F4A">
        <w:rPr>
          <w:lang w:val="es-ES_tradnl"/>
        </w:rPr>
        <w:fldChar w:fldCharType="end"/>
      </w:r>
      <w:r w:rsidRPr="008B0F4A">
        <w:rPr>
          <w:lang w:val="es-ES_tradnl"/>
        </w:rPr>
        <w:tab/>
        <w:t>La Secretaría proporcionó al responsable del Equipo Técnico 3D las respuestas de la encuesta para que las analizara.</w:t>
      </w:r>
      <w:r w:rsidR="008B0F4A">
        <w:rPr>
          <w:lang w:val="es-ES_tradnl"/>
        </w:rPr>
        <w:t xml:space="preserve"> </w:t>
      </w:r>
      <w:r w:rsidRPr="008B0F4A">
        <w:rPr>
          <w:lang w:val="es-ES_tradnl"/>
        </w:rPr>
        <w:t>El responsable del Equipo Técnico presenta a continuación el análisis para que sea examinado por el CWS.</w:t>
      </w:r>
    </w:p>
    <w:p w14:paraId="6D90B677" w14:textId="77777777" w:rsidR="005C009A" w:rsidRPr="008B0F4A" w:rsidRDefault="005C009A" w:rsidP="005C009A">
      <w:pPr>
        <w:spacing w:after="240"/>
        <w:rPr>
          <w:lang w:val="es-ES_tradnl"/>
        </w:rPr>
      </w:pPr>
      <w:r w:rsidRPr="008B0F4A">
        <w:rPr>
          <w:lang w:val="es-ES_tradnl"/>
        </w:rPr>
        <w:fldChar w:fldCharType="begin"/>
      </w:r>
      <w:r w:rsidRPr="008B0F4A">
        <w:rPr>
          <w:lang w:val="es-ES_tradnl"/>
        </w:rPr>
        <w:instrText xml:space="preserve"> AUTONUM  </w:instrText>
      </w:r>
      <w:r w:rsidRPr="008B0F4A">
        <w:rPr>
          <w:lang w:val="es-ES_tradnl"/>
        </w:rPr>
        <w:fldChar w:fldCharType="end"/>
      </w:r>
      <w:r w:rsidRPr="008B0F4A">
        <w:rPr>
          <w:lang w:val="es-ES_tradnl"/>
        </w:rPr>
        <w:tab/>
        <w:t xml:space="preserve">Entre las respuestas, 12 participantes (55 %) indicaron que aún no utilizan modelos, imágenes o estructuras químicas tridimensionales; nueve (41 %) indicaron que sí los utilizan; y uno (5 %) indicó un uso especial en su respuesta. </w:t>
      </w:r>
    </w:p>
    <w:p w14:paraId="63B4E33F" w14:textId="076D022B" w:rsidR="005C009A" w:rsidRPr="008B0F4A" w:rsidRDefault="005C009A" w:rsidP="005C009A">
      <w:pPr>
        <w:pStyle w:val="ONUME"/>
        <w:numPr>
          <w:ilvl w:val="0"/>
          <w:numId w:val="0"/>
        </w:numPr>
        <w:rPr>
          <w:lang w:val="es-ES_tradnl"/>
        </w:rPr>
      </w:pPr>
      <w:r w:rsidRPr="008B0F4A">
        <w:rPr>
          <w:lang w:val="es-ES_tradnl"/>
        </w:rPr>
        <w:fldChar w:fldCharType="begin"/>
      </w:r>
      <w:r w:rsidRPr="008B0F4A">
        <w:rPr>
          <w:lang w:val="es-ES_tradnl"/>
        </w:rPr>
        <w:instrText xml:space="preserve"> AUTONUM  </w:instrText>
      </w:r>
      <w:r w:rsidRPr="008B0F4A">
        <w:rPr>
          <w:lang w:val="es-ES_tradnl"/>
        </w:rPr>
        <w:fldChar w:fldCharType="end"/>
      </w:r>
      <w:r w:rsidRPr="008B0F4A">
        <w:rPr>
          <w:lang w:val="es-ES_tradnl"/>
        </w:rPr>
        <w:tab/>
        <w:t>Entre quienes respondieron que utilizan modelos, imágenes o estructuras químicas en</w:t>
      </w:r>
      <w:r w:rsidR="008B0F4A">
        <w:rPr>
          <w:lang w:val="es-ES_tradnl"/>
        </w:rPr>
        <w:t> </w:t>
      </w:r>
      <w:r w:rsidRPr="008B0F4A">
        <w:rPr>
          <w:lang w:val="es-ES_tradnl"/>
        </w:rPr>
        <w:t>3D: el 67 % utiliza el 3D para diseños industriales, el 56 % para marcas, el 44 % para patentes, el 22 % para modelos de utilidad y el 22 % para otros derechos de PI.</w:t>
      </w:r>
      <w:r w:rsidR="008B0F4A">
        <w:rPr>
          <w:lang w:val="es-ES_tradnl"/>
        </w:rPr>
        <w:t xml:space="preserve"> </w:t>
      </w:r>
    </w:p>
    <w:p w14:paraId="2D7ED702" w14:textId="77777777" w:rsidR="005C009A" w:rsidRPr="008B0F4A" w:rsidRDefault="005C009A" w:rsidP="005C009A">
      <w:pPr>
        <w:spacing w:after="240"/>
        <w:rPr>
          <w:lang w:val="es-ES_tradnl"/>
        </w:rPr>
      </w:pPr>
      <w:r w:rsidRPr="008B0F4A">
        <w:rPr>
          <w:lang w:val="es-ES_tradnl"/>
        </w:rPr>
        <w:fldChar w:fldCharType="begin"/>
      </w:r>
      <w:r w:rsidRPr="008B0F4A">
        <w:rPr>
          <w:lang w:val="es-ES_tradnl"/>
        </w:rPr>
        <w:instrText xml:space="preserve"> AUTONUM  </w:instrText>
      </w:r>
      <w:r w:rsidRPr="008B0F4A">
        <w:rPr>
          <w:lang w:val="es-ES_tradnl"/>
        </w:rPr>
        <w:fldChar w:fldCharType="end"/>
      </w:r>
      <w:r w:rsidRPr="008B0F4A">
        <w:rPr>
          <w:lang w:val="es-ES_tradnl"/>
        </w:rPr>
        <w:tab/>
        <w:t>Cabe señalar también que, entre las Oficinas que respondieron, la mayoría (64 %) no aplica la Norma ST.91 de la OMPI, mientras que el 27 % la aplica parcialmente y el 9 % la aplica en su totalidad.</w:t>
      </w:r>
    </w:p>
    <w:p w14:paraId="760B2983" w14:textId="77777777" w:rsidR="005C009A" w:rsidRPr="008B0F4A" w:rsidRDefault="005C009A" w:rsidP="005C009A">
      <w:pPr>
        <w:pStyle w:val="ONUME"/>
        <w:numPr>
          <w:ilvl w:val="0"/>
          <w:numId w:val="0"/>
        </w:numPr>
        <w:rPr>
          <w:lang w:val="es-ES_tradnl"/>
        </w:rPr>
      </w:pPr>
      <w:r w:rsidRPr="008B0F4A">
        <w:rPr>
          <w:lang w:val="es-ES_tradnl"/>
        </w:rPr>
        <w:fldChar w:fldCharType="begin"/>
      </w:r>
      <w:r w:rsidRPr="008B0F4A">
        <w:rPr>
          <w:lang w:val="es-ES_tradnl"/>
        </w:rPr>
        <w:instrText xml:space="preserve"> AUTONUM  </w:instrText>
      </w:r>
      <w:r w:rsidRPr="008B0F4A">
        <w:rPr>
          <w:lang w:val="es-ES_tradnl"/>
        </w:rPr>
        <w:fldChar w:fldCharType="end"/>
      </w:r>
      <w:r w:rsidRPr="008B0F4A">
        <w:rPr>
          <w:lang w:val="es-ES_tradnl"/>
        </w:rPr>
        <w:tab/>
        <w:t>En cuanto al uso de los formatos de archivo recomendados por la Norma ST.91 que reciben actualmente las Oficinas de PI:</w:t>
      </w:r>
    </w:p>
    <w:tbl>
      <w:tblPr>
        <w:tblStyle w:val="TableGrid"/>
        <w:tblW w:w="0" w:type="auto"/>
        <w:tblLook w:val="04A0" w:firstRow="1" w:lastRow="0" w:firstColumn="1" w:lastColumn="0" w:noHBand="0" w:noVBand="1"/>
      </w:tblPr>
      <w:tblGrid>
        <w:gridCol w:w="4672"/>
        <w:gridCol w:w="4673"/>
      </w:tblGrid>
      <w:tr w:rsidR="005C009A" w:rsidRPr="008B0F4A" w14:paraId="23741A38" w14:textId="77777777" w:rsidTr="00793762">
        <w:tc>
          <w:tcPr>
            <w:tcW w:w="4672" w:type="dxa"/>
            <w:shd w:val="clear" w:color="auto" w:fill="D9D9D9" w:themeFill="background1" w:themeFillShade="D9"/>
          </w:tcPr>
          <w:p w14:paraId="254472DD" w14:textId="77777777" w:rsidR="005C009A" w:rsidRPr="008B0F4A" w:rsidRDefault="005C009A" w:rsidP="00793762">
            <w:pPr>
              <w:pStyle w:val="ONUME"/>
              <w:numPr>
                <w:ilvl w:val="0"/>
                <w:numId w:val="0"/>
              </w:numPr>
              <w:rPr>
                <w:lang w:val="es-ES_tradnl"/>
              </w:rPr>
            </w:pPr>
            <w:r w:rsidRPr="008B0F4A">
              <w:rPr>
                <w:lang w:val="es-ES_tradnl"/>
              </w:rPr>
              <w:t>Derecho de PI</w:t>
            </w:r>
          </w:p>
        </w:tc>
        <w:tc>
          <w:tcPr>
            <w:tcW w:w="4673" w:type="dxa"/>
            <w:shd w:val="clear" w:color="auto" w:fill="D9D9D9" w:themeFill="background1" w:themeFillShade="D9"/>
          </w:tcPr>
          <w:p w14:paraId="4DF74DE5" w14:textId="77777777" w:rsidR="005C009A" w:rsidRPr="008B0F4A" w:rsidRDefault="005C009A" w:rsidP="00793762">
            <w:pPr>
              <w:pStyle w:val="ONUME"/>
              <w:numPr>
                <w:ilvl w:val="0"/>
                <w:numId w:val="0"/>
              </w:numPr>
              <w:rPr>
                <w:lang w:val="es-ES_tradnl"/>
              </w:rPr>
            </w:pPr>
            <w:r w:rsidRPr="008B0F4A">
              <w:rPr>
                <w:lang w:val="es-ES_tradnl"/>
              </w:rPr>
              <w:t>Formato de archivo más utilizado (por orden)</w:t>
            </w:r>
          </w:p>
        </w:tc>
      </w:tr>
      <w:tr w:rsidR="005C009A" w:rsidRPr="008B0F4A" w14:paraId="26232532" w14:textId="77777777" w:rsidTr="00793762">
        <w:tc>
          <w:tcPr>
            <w:tcW w:w="4672" w:type="dxa"/>
          </w:tcPr>
          <w:p w14:paraId="381E8985" w14:textId="77777777" w:rsidR="005C009A" w:rsidRPr="008B0F4A" w:rsidRDefault="005C009A" w:rsidP="00793762">
            <w:pPr>
              <w:pStyle w:val="ONUME"/>
              <w:numPr>
                <w:ilvl w:val="0"/>
                <w:numId w:val="0"/>
              </w:numPr>
              <w:rPr>
                <w:lang w:val="es-ES_tradnl"/>
              </w:rPr>
            </w:pPr>
            <w:r w:rsidRPr="008B0F4A">
              <w:rPr>
                <w:lang w:val="es-ES_tradnl"/>
              </w:rPr>
              <w:t>Marcas</w:t>
            </w:r>
          </w:p>
        </w:tc>
        <w:tc>
          <w:tcPr>
            <w:tcW w:w="4673" w:type="dxa"/>
          </w:tcPr>
          <w:p w14:paraId="068E8F7B" w14:textId="77777777" w:rsidR="005C009A" w:rsidRPr="008B0F4A" w:rsidRDefault="005C009A" w:rsidP="00793762">
            <w:pPr>
              <w:pStyle w:val="ONUME"/>
              <w:numPr>
                <w:ilvl w:val="0"/>
                <w:numId w:val="0"/>
              </w:numPr>
              <w:rPr>
                <w:lang w:val="es-ES_tradnl"/>
              </w:rPr>
            </w:pPr>
            <w:r w:rsidRPr="008B0F4A">
              <w:rPr>
                <w:lang w:val="es-ES_tradnl"/>
              </w:rPr>
              <w:t>OBJ, STL, 3D PDF</w:t>
            </w:r>
          </w:p>
        </w:tc>
      </w:tr>
      <w:tr w:rsidR="005C009A" w:rsidRPr="008B0F4A" w14:paraId="1BFAB8CC" w14:textId="77777777" w:rsidTr="00793762">
        <w:tc>
          <w:tcPr>
            <w:tcW w:w="4672" w:type="dxa"/>
          </w:tcPr>
          <w:p w14:paraId="2D56BBE4" w14:textId="77777777" w:rsidR="005C009A" w:rsidRPr="008B0F4A" w:rsidRDefault="005C009A" w:rsidP="00793762">
            <w:pPr>
              <w:pStyle w:val="ONUME"/>
              <w:numPr>
                <w:ilvl w:val="0"/>
                <w:numId w:val="0"/>
              </w:numPr>
              <w:rPr>
                <w:lang w:val="es-ES_tradnl"/>
              </w:rPr>
            </w:pPr>
            <w:r w:rsidRPr="008B0F4A">
              <w:rPr>
                <w:lang w:val="es-ES_tradnl"/>
              </w:rPr>
              <w:t>Diseños industriales</w:t>
            </w:r>
          </w:p>
        </w:tc>
        <w:tc>
          <w:tcPr>
            <w:tcW w:w="4673" w:type="dxa"/>
          </w:tcPr>
          <w:p w14:paraId="7372F3AA" w14:textId="77777777" w:rsidR="005C009A" w:rsidRPr="008B0F4A" w:rsidRDefault="005C009A" w:rsidP="00793762">
            <w:pPr>
              <w:pStyle w:val="ONUME"/>
              <w:numPr>
                <w:ilvl w:val="0"/>
                <w:numId w:val="0"/>
              </w:numPr>
              <w:rPr>
                <w:lang w:val="es-ES_tradnl"/>
              </w:rPr>
            </w:pPr>
            <w:r w:rsidRPr="008B0F4A">
              <w:rPr>
                <w:lang w:val="es-ES_tradnl"/>
              </w:rPr>
              <w:t>3D PDF, OBJ, STL, STEP</w:t>
            </w:r>
          </w:p>
        </w:tc>
      </w:tr>
      <w:tr w:rsidR="005C009A" w:rsidRPr="008B0F4A" w14:paraId="50A3DE3C" w14:textId="77777777" w:rsidTr="00793762">
        <w:tc>
          <w:tcPr>
            <w:tcW w:w="4672" w:type="dxa"/>
          </w:tcPr>
          <w:p w14:paraId="7C901D48" w14:textId="77777777" w:rsidR="005C009A" w:rsidRPr="008B0F4A" w:rsidRDefault="005C009A" w:rsidP="00793762">
            <w:pPr>
              <w:pStyle w:val="ONUME"/>
              <w:numPr>
                <w:ilvl w:val="0"/>
                <w:numId w:val="0"/>
              </w:numPr>
              <w:rPr>
                <w:lang w:val="es-ES_tradnl"/>
              </w:rPr>
            </w:pPr>
            <w:r w:rsidRPr="008B0F4A">
              <w:rPr>
                <w:lang w:val="es-ES_tradnl"/>
              </w:rPr>
              <w:t>Patentes (incluidas las estructuras químicas)</w:t>
            </w:r>
          </w:p>
        </w:tc>
        <w:tc>
          <w:tcPr>
            <w:tcW w:w="4673" w:type="dxa"/>
          </w:tcPr>
          <w:p w14:paraId="3FC055AF" w14:textId="77777777" w:rsidR="005C009A" w:rsidRPr="008B0F4A" w:rsidRDefault="005C009A" w:rsidP="00793762">
            <w:pPr>
              <w:pStyle w:val="ONUME"/>
              <w:numPr>
                <w:ilvl w:val="0"/>
                <w:numId w:val="0"/>
              </w:numPr>
              <w:rPr>
                <w:lang w:val="es-ES_tradnl"/>
              </w:rPr>
            </w:pPr>
            <w:r w:rsidRPr="008B0F4A">
              <w:rPr>
                <w:lang w:val="es-ES_tradnl"/>
              </w:rPr>
              <w:t>3D PDF, STEP</w:t>
            </w:r>
          </w:p>
        </w:tc>
      </w:tr>
      <w:tr w:rsidR="005C009A" w:rsidRPr="008B0F4A" w14:paraId="1B7515A7" w14:textId="77777777" w:rsidTr="00793762">
        <w:tc>
          <w:tcPr>
            <w:tcW w:w="4672" w:type="dxa"/>
          </w:tcPr>
          <w:p w14:paraId="39917E76" w14:textId="77777777" w:rsidR="005C009A" w:rsidRPr="008B0F4A" w:rsidRDefault="005C009A" w:rsidP="00793762">
            <w:pPr>
              <w:pStyle w:val="ONUME"/>
              <w:numPr>
                <w:ilvl w:val="0"/>
                <w:numId w:val="0"/>
              </w:numPr>
              <w:rPr>
                <w:lang w:val="es-ES_tradnl"/>
              </w:rPr>
            </w:pPr>
            <w:r w:rsidRPr="008B0F4A">
              <w:rPr>
                <w:lang w:val="es-ES_tradnl"/>
              </w:rPr>
              <w:t>Modelos de utilidad</w:t>
            </w:r>
          </w:p>
        </w:tc>
        <w:tc>
          <w:tcPr>
            <w:tcW w:w="4673" w:type="dxa"/>
          </w:tcPr>
          <w:p w14:paraId="1DAD4677" w14:textId="77777777" w:rsidR="005C009A" w:rsidRPr="008B0F4A" w:rsidRDefault="005C009A" w:rsidP="00793762">
            <w:pPr>
              <w:pStyle w:val="ONUME"/>
              <w:numPr>
                <w:ilvl w:val="0"/>
                <w:numId w:val="0"/>
              </w:numPr>
              <w:rPr>
                <w:lang w:val="es-ES_tradnl"/>
              </w:rPr>
            </w:pPr>
            <w:r w:rsidRPr="008B0F4A">
              <w:rPr>
                <w:lang w:val="es-ES_tradnl"/>
              </w:rPr>
              <w:t>3D PDF</w:t>
            </w:r>
          </w:p>
        </w:tc>
      </w:tr>
    </w:tbl>
    <w:p w14:paraId="75CC7A03" w14:textId="45F24CD2" w:rsidR="005C009A" w:rsidRPr="008B0F4A" w:rsidRDefault="005C009A" w:rsidP="005C009A">
      <w:pPr>
        <w:pStyle w:val="ONUME"/>
        <w:numPr>
          <w:ilvl w:val="0"/>
          <w:numId w:val="0"/>
        </w:numPr>
        <w:spacing w:before="240"/>
        <w:rPr>
          <w:lang w:val="es-ES_tradnl"/>
        </w:rPr>
      </w:pPr>
      <w:r w:rsidRPr="008B0F4A">
        <w:rPr>
          <w:lang w:val="es-ES_tradnl"/>
        </w:rPr>
        <w:fldChar w:fldCharType="begin"/>
      </w:r>
      <w:r w:rsidRPr="008B0F4A">
        <w:rPr>
          <w:lang w:val="es-ES_tradnl"/>
        </w:rPr>
        <w:instrText xml:space="preserve"> AUTONUM  </w:instrText>
      </w:r>
      <w:r w:rsidRPr="008B0F4A">
        <w:rPr>
          <w:lang w:val="es-ES_tradnl"/>
        </w:rPr>
        <w:fldChar w:fldCharType="end"/>
      </w:r>
      <w:r w:rsidRPr="008B0F4A">
        <w:rPr>
          <w:lang w:val="es-ES_tradnl"/>
        </w:rPr>
        <w:tab/>
        <w:t>En cuanto a la publicación de modelos, imágenes o estructuras químicas 3D, recomendada por la Norma ST.91, las Oficinas indicaron que la mayoría no publican la información en 3D recibida aunque haya sido aceptada.</w:t>
      </w:r>
      <w:r w:rsidR="008B0F4A">
        <w:rPr>
          <w:lang w:val="es-ES_tradnl"/>
        </w:rPr>
        <w:t xml:space="preserve"> </w:t>
      </w:r>
      <w:r w:rsidRPr="008B0F4A">
        <w:rPr>
          <w:lang w:val="es-ES_tradnl"/>
        </w:rPr>
        <w:t>Los formatos más utilizados para las marcas son OBJ y STL, mientras que los formatos más utilizados para la publicación de diseños industriales, patentes y modelos de utilidad es 3D PDF.</w:t>
      </w:r>
      <w:r w:rsidR="008B0F4A">
        <w:rPr>
          <w:lang w:val="es-ES_tradnl"/>
        </w:rPr>
        <w:t xml:space="preserve"> </w:t>
      </w:r>
      <w:r w:rsidRPr="008B0F4A">
        <w:rPr>
          <w:lang w:val="es-ES_tradnl"/>
        </w:rPr>
        <w:t>Del mismo modo, en la pregunta relativa a la publicación en papel de objetos 3D, la mayoría de las Oficinas que respondieron no publican información de modelos, imágenes o estructuras químicas 3D en papel aunque hayan sido aceptados por la Oficina.</w:t>
      </w:r>
      <w:r w:rsidR="008B0F4A">
        <w:rPr>
          <w:lang w:val="es-ES_tradnl"/>
        </w:rPr>
        <w:t xml:space="preserve"> </w:t>
      </w:r>
      <w:r w:rsidRPr="008B0F4A">
        <w:rPr>
          <w:lang w:val="es-ES_tradnl"/>
        </w:rPr>
        <w:t xml:space="preserve">Las Oficinas que sí publican objetos 3D en papel publican los objetos 3D utilizando representaciones 2D generadas a partir de los modelos o imágenes 3D de origen para todos los derechos de PI indicados en la encuesta. </w:t>
      </w:r>
    </w:p>
    <w:p w14:paraId="4071B6D5" w14:textId="77777777" w:rsidR="005C009A" w:rsidRPr="008B0F4A" w:rsidRDefault="005C009A" w:rsidP="005C009A">
      <w:pPr>
        <w:pStyle w:val="ONUME"/>
        <w:numPr>
          <w:ilvl w:val="0"/>
          <w:numId w:val="0"/>
        </w:numPr>
        <w:spacing w:before="240" w:after="120"/>
        <w:rPr>
          <w:lang w:val="es-ES_tradnl"/>
        </w:rPr>
      </w:pPr>
      <w:r w:rsidRPr="008B0F4A">
        <w:rPr>
          <w:lang w:val="es-ES_tradnl"/>
        </w:rPr>
        <w:fldChar w:fldCharType="begin"/>
      </w:r>
      <w:r w:rsidRPr="008B0F4A">
        <w:rPr>
          <w:lang w:val="es-ES_tradnl"/>
        </w:rPr>
        <w:instrText xml:space="preserve"> AUTONUM  </w:instrText>
      </w:r>
      <w:r w:rsidRPr="008B0F4A">
        <w:rPr>
          <w:lang w:val="es-ES_tradnl"/>
        </w:rPr>
        <w:fldChar w:fldCharType="end"/>
      </w:r>
      <w:r w:rsidRPr="008B0F4A">
        <w:rPr>
          <w:lang w:val="es-ES_tradnl"/>
        </w:rPr>
        <w:tab/>
        <w:t xml:space="preserve">Cabe señalar que ninguna Oficina de PI utiliza los formatos 3D recomendados para la topología de circuitos integrados, sea para su presentación o su publicación. </w:t>
      </w:r>
    </w:p>
    <w:p w14:paraId="657FD907" w14:textId="0CE859BD" w:rsidR="005C009A" w:rsidRPr="008B0F4A" w:rsidRDefault="005C009A" w:rsidP="008B0F4A">
      <w:pPr>
        <w:pStyle w:val="ONUME"/>
        <w:numPr>
          <w:ilvl w:val="0"/>
          <w:numId w:val="0"/>
        </w:numPr>
        <w:spacing w:after="480"/>
        <w:rPr>
          <w:lang w:val="es-ES_tradnl"/>
        </w:rPr>
      </w:pPr>
      <w:r w:rsidRPr="008B0F4A">
        <w:rPr>
          <w:lang w:val="es-ES_tradnl"/>
        </w:rPr>
        <w:fldChar w:fldCharType="begin"/>
      </w:r>
      <w:r w:rsidRPr="008B0F4A">
        <w:rPr>
          <w:lang w:val="es-ES_tradnl"/>
        </w:rPr>
        <w:instrText xml:space="preserve"> AUTONUM  </w:instrText>
      </w:r>
      <w:r w:rsidRPr="008B0F4A">
        <w:rPr>
          <w:lang w:val="es-ES_tradnl"/>
        </w:rPr>
        <w:fldChar w:fldCharType="end"/>
      </w:r>
      <w:r w:rsidRPr="008B0F4A">
        <w:rPr>
          <w:lang w:val="es-ES_tradnl"/>
        </w:rPr>
        <w:tab/>
        <w:t>Durante el examen, la mayoría de las Oficinas utiliza representaciones en 2D para la comparación de los modelos y las imágenes en 3D en lugar de los propios modelos o imágenes en 3D.</w:t>
      </w:r>
      <w:r w:rsidR="008B0F4A">
        <w:rPr>
          <w:lang w:val="es-ES_tradnl"/>
        </w:rPr>
        <w:t xml:space="preserve"> </w:t>
      </w:r>
    </w:p>
    <w:p w14:paraId="7B5E0AB6" w14:textId="77777777" w:rsidR="005C009A" w:rsidRPr="008B0F4A" w:rsidRDefault="005C009A" w:rsidP="008B0F4A">
      <w:pPr>
        <w:pStyle w:val="Heading2"/>
        <w:spacing w:before="0" w:after="120"/>
        <w:rPr>
          <w:lang w:val="es-ES_tradnl"/>
        </w:rPr>
      </w:pPr>
      <w:r w:rsidRPr="008B0F4A">
        <w:rPr>
          <w:lang w:val="es-ES_tradnl"/>
        </w:rPr>
        <w:lastRenderedPageBreak/>
        <w:t>Próximos pasos</w:t>
      </w:r>
    </w:p>
    <w:p w14:paraId="61CDD031" w14:textId="20E3B7B4" w:rsidR="005C009A" w:rsidRPr="008B0F4A" w:rsidRDefault="005C009A" w:rsidP="005C009A">
      <w:pPr>
        <w:spacing w:after="240"/>
        <w:rPr>
          <w:szCs w:val="22"/>
          <w:lang w:val="es-ES_tradnl"/>
        </w:rPr>
      </w:pPr>
      <w:r w:rsidRPr="008B0F4A">
        <w:rPr>
          <w:lang w:val="es-ES_tradnl"/>
        </w:rPr>
        <w:fldChar w:fldCharType="begin"/>
      </w:r>
      <w:r w:rsidRPr="008B0F4A">
        <w:rPr>
          <w:lang w:val="es-ES_tradnl"/>
        </w:rPr>
        <w:instrText xml:space="preserve"> AUTONUM  </w:instrText>
      </w:r>
      <w:r w:rsidRPr="008B0F4A">
        <w:rPr>
          <w:lang w:val="es-ES_tradnl"/>
        </w:rPr>
        <w:fldChar w:fldCharType="end"/>
      </w:r>
      <w:r w:rsidRPr="008B0F4A">
        <w:rPr>
          <w:lang w:val="es-ES_tradnl"/>
        </w:rPr>
        <w:tab/>
        <w:t>Teniendo en cuenta los resultados de la encuesta anterior, que ponen de manifiesto que el número de Oficinas que admiten la presentación, el examen y la publicación de modelos 3D en formatos 3D es bastante bajo, y que las que admiten el uso de formatos 3D no cumplen la Norma ST.91, ya sea total o parcialmente, no es necesario revisar la Norma ST.91 en un futuro próximo.</w:t>
      </w:r>
      <w:r w:rsidR="008B0F4A">
        <w:rPr>
          <w:lang w:val="es-ES_tradnl"/>
        </w:rPr>
        <w:t xml:space="preserve"> </w:t>
      </w:r>
      <w:r w:rsidRPr="008B0F4A">
        <w:rPr>
          <w:lang w:val="es-ES_tradnl"/>
        </w:rPr>
        <w:t>El responsable del Equipo Técnico propone que los Estados miembros participen en sus actividades y trabajen en la aplicación de la norma.</w:t>
      </w:r>
    </w:p>
    <w:p w14:paraId="2FB8CD2E" w14:textId="5713752A" w:rsidR="005C009A" w:rsidRPr="008B0F4A" w:rsidRDefault="005C009A" w:rsidP="005C009A">
      <w:pPr>
        <w:spacing w:after="240"/>
        <w:rPr>
          <w:szCs w:val="22"/>
          <w:lang w:val="es-ES_tradnl"/>
        </w:rPr>
      </w:pPr>
      <w:r w:rsidRPr="008B0F4A">
        <w:rPr>
          <w:lang w:val="es-ES_tradnl"/>
        </w:rPr>
        <w:fldChar w:fldCharType="begin"/>
      </w:r>
      <w:r w:rsidRPr="008B0F4A">
        <w:rPr>
          <w:lang w:val="es-ES_tradnl"/>
        </w:rPr>
        <w:instrText xml:space="preserve"> AUTONUM  </w:instrText>
      </w:r>
      <w:r w:rsidRPr="008B0F4A">
        <w:rPr>
          <w:lang w:val="es-ES_tradnl"/>
        </w:rPr>
        <w:fldChar w:fldCharType="end"/>
      </w:r>
      <w:r w:rsidRPr="008B0F4A">
        <w:rPr>
          <w:lang w:val="es-ES_tradnl"/>
        </w:rPr>
        <w:tab/>
        <w:t>Con el fin de facilitar el debate sobre la búsqueda y comparación de representaciones visuales en 3D, el responsable del Equipo Técnico tiene previsto compartir sus métodos y prácticas a la hora de llevar a cabo el procesamiento 3D a 3D con los miembros del Equipo Técnico; de este modo, se realizará una transferencia de conocimientos que mejorará su competencia en este ámbito.</w:t>
      </w:r>
      <w:r w:rsidR="008B0F4A">
        <w:rPr>
          <w:lang w:val="es-ES_tradnl"/>
        </w:rPr>
        <w:t xml:space="preserve"> </w:t>
      </w:r>
      <w:r w:rsidRPr="008B0F4A">
        <w:rPr>
          <w:lang w:val="es-ES_tradnl"/>
        </w:rPr>
        <w:t>Para lograr este objetivo, el responsable del Equipo Técnico propone organizar una sesión de información en 2025 para presentar esas prácticas y conocer la experiencia de las Oficinas de PI interesadas en la utilización de los formatos 3D.</w:t>
      </w:r>
    </w:p>
    <w:p w14:paraId="5FA42E55" w14:textId="77777777" w:rsidR="005C009A" w:rsidRPr="008B0F4A" w:rsidRDefault="005C009A" w:rsidP="005C009A">
      <w:pPr>
        <w:pStyle w:val="NormalWeb"/>
        <w:spacing w:before="0" w:beforeAutospacing="0" w:after="240" w:afterAutospacing="0"/>
        <w:rPr>
          <w:rFonts w:ascii="Arial" w:hAnsi="Arial" w:cs="Arial"/>
          <w:lang w:val="es-ES_tradnl"/>
        </w:rPr>
      </w:pPr>
      <w:r w:rsidRPr="008B0F4A">
        <w:rPr>
          <w:rFonts w:ascii="Arial" w:hAnsi="Arial" w:cs="Arial"/>
          <w:lang w:val="es-ES_tradnl"/>
        </w:rPr>
        <w:fldChar w:fldCharType="begin"/>
      </w:r>
      <w:r w:rsidRPr="008B0F4A">
        <w:rPr>
          <w:rFonts w:ascii="Arial" w:hAnsi="Arial" w:cs="Arial"/>
          <w:lang w:val="es-ES_tradnl"/>
        </w:rPr>
        <w:instrText xml:space="preserve"> AUTONUM  </w:instrText>
      </w:r>
      <w:r w:rsidRPr="008B0F4A">
        <w:rPr>
          <w:rFonts w:ascii="Arial" w:hAnsi="Arial" w:cs="Arial"/>
          <w:lang w:val="es-ES_tradnl"/>
        </w:rPr>
        <w:fldChar w:fldCharType="end"/>
      </w:r>
      <w:r w:rsidRPr="008B0F4A">
        <w:rPr>
          <w:rFonts w:ascii="Arial" w:hAnsi="Arial"/>
          <w:lang w:val="es-ES_tradnl"/>
        </w:rPr>
        <w:tab/>
        <w:t>Si el CWS aprueba el análisis de la encuesta, se propone que sea publicado, junto con los resultados de la encuesta, en la Parte 7 del Manual de la OMPI.</w:t>
      </w:r>
    </w:p>
    <w:p w14:paraId="62256307" w14:textId="77777777" w:rsidR="005C009A" w:rsidRPr="008B0F4A" w:rsidRDefault="005C009A" w:rsidP="005C009A">
      <w:pPr>
        <w:pStyle w:val="ONUME"/>
        <w:numPr>
          <w:ilvl w:val="0"/>
          <w:numId w:val="0"/>
        </w:numPr>
        <w:ind w:left="5533"/>
        <w:rPr>
          <w:i/>
          <w:lang w:val="es-ES_tradnl"/>
        </w:rPr>
      </w:pPr>
      <w:r w:rsidRPr="008B0F4A">
        <w:rPr>
          <w:i/>
          <w:lang w:val="es-ES_tradnl"/>
        </w:rPr>
        <w:fldChar w:fldCharType="begin"/>
      </w:r>
      <w:r w:rsidRPr="008B0F4A">
        <w:rPr>
          <w:i/>
          <w:lang w:val="es-ES_tradnl"/>
        </w:rPr>
        <w:instrText xml:space="preserve"> AUTONUM  </w:instrText>
      </w:r>
      <w:r w:rsidRPr="008B0F4A">
        <w:rPr>
          <w:i/>
          <w:lang w:val="es-ES_tradnl"/>
        </w:rPr>
        <w:fldChar w:fldCharType="end"/>
      </w:r>
      <w:r w:rsidRPr="008B0F4A">
        <w:rPr>
          <w:lang w:val="es-ES_tradnl"/>
        </w:rPr>
        <w:tab/>
      </w:r>
      <w:r w:rsidRPr="008B0F4A">
        <w:rPr>
          <w:i/>
          <w:iCs/>
          <w:lang w:val="es-ES_tradnl"/>
        </w:rPr>
        <w:t>Se invita al CWS a:</w:t>
      </w:r>
      <w:r w:rsidRPr="008B0F4A">
        <w:rPr>
          <w:i/>
          <w:lang w:val="es-ES_tradnl"/>
        </w:rPr>
        <w:t xml:space="preserve"> </w:t>
      </w:r>
    </w:p>
    <w:p w14:paraId="4F54F06A" w14:textId="77777777" w:rsidR="005C009A" w:rsidRPr="008B0F4A" w:rsidRDefault="005C009A" w:rsidP="005C009A">
      <w:pPr>
        <w:pStyle w:val="BodyText"/>
        <w:numPr>
          <w:ilvl w:val="0"/>
          <w:numId w:val="7"/>
        </w:numPr>
        <w:tabs>
          <w:tab w:val="left" w:pos="6160"/>
          <w:tab w:val="left" w:pos="6710"/>
        </w:tabs>
        <w:spacing w:after="120"/>
        <w:ind w:left="5530" w:firstLine="562"/>
        <w:rPr>
          <w:i/>
          <w:lang w:val="es-ES_tradnl"/>
        </w:rPr>
      </w:pPr>
      <w:r w:rsidRPr="008B0F4A">
        <w:rPr>
          <w:i/>
          <w:lang w:val="es-ES_tradnl"/>
        </w:rPr>
        <w:t xml:space="preserve">tomar nota del contenido del presente documento; </w:t>
      </w:r>
    </w:p>
    <w:p w14:paraId="0897E96E" w14:textId="77777777" w:rsidR="005C009A" w:rsidRPr="008B0F4A" w:rsidRDefault="005C009A" w:rsidP="005C009A">
      <w:pPr>
        <w:pStyle w:val="BodyText"/>
        <w:numPr>
          <w:ilvl w:val="0"/>
          <w:numId w:val="7"/>
        </w:numPr>
        <w:tabs>
          <w:tab w:val="left" w:pos="6160"/>
          <w:tab w:val="left" w:pos="6710"/>
        </w:tabs>
        <w:spacing w:after="120"/>
        <w:ind w:left="5530" w:firstLine="562"/>
        <w:rPr>
          <w:i/>
          <w:lang w:val="es-ES_tradnl"/>
        </w:rPr>
      </w:pPr>
      <w:r w:rsidRPr="008B0F4A">
        <w:rPr>
          <w:i/>
          <w:lang w:val="es-ES_tradnl"/>
        </w:rPr>
        <w:t>examinar y aprobar el contenido del análisis de la encuesta, como se indica en los párrafos 5 a 12, y aprobar la publicación del análisis de la encuesta, junto con los resultados, en el Manual de la OMPI, como se indica en el párrafo 15; y</w:t>
      </w:r>
    </w:p>
    <w:p w14:paraId="46E2C90C" w14:textId="2082A1E7" w:rsidR="005C009A" w:rsidRPr="008B0F4A" w:rsidRDefault="005C009A" w:rsidP="008B0F4A">
      <w:pPr>
        <w:pStyle w:val="BodyText"/>
        <w:numPr>
          <w:ilvl w:val="0"/>
          <w:numId w:val="7"/>
        </w:numPr>
        <w:tabs>
          <w:tab w:val="left" w:pos="6160"/>
          <w:tab w:val="left" w:pos="6710"/>
        </w:tabs>
        <w:spacing w:after="600"/>
        <w:ind w:left="5528" w:firstLine="561"/>
        <w:rPr>
          <w:i/>
          <w:lang w:val="es-ES_tradnl"/>
        </w:rPr>
      </w:pPr>
      <w:r w:rsidRPr="008B0F4A">
        <w:rPr>
          <w:i/>
          <w:lang w:val="es-ES_tradnl"/>
        </w:rPr>
        <w:t>apoyar la organización de la sesión de información sobre objetos</w:t>
      </w:r>
      <w:r w:rsidR="008B0F4A" w:rsidRPr="008B0F4A">
        <w:rPr>
          <w:i/>
          <w:lang w:val="es-ES_tradnl"/>
        </w:rPr>
        <w:t> </w:t>
      </w:r>
      <w:r w:rsidRPr="008B0F4A">
        <w:rPr>
          <w:i/>
          <w:lang w:val="es-ES_tradnl"/>
        </w:rPr>
        <w:t>3D por parte del Equipo Técnico, como se indica en el párrafo</w:t>
      </w:r>
      <w:r w:rsidR="008B0F4A" w:rsidRPr="008B0F4A">
        <w:rPr>
          <w:i/>
          <w:lang w:val="es-ES_tradnl"/>
        </w:rPr>
        <w:t> </w:t>
      </w:r>
      <w:r w:rsidRPr="008B0F4A">
        <w:rPr>
          <w:i/>
          <w:lang w:val="es-ES_tradnl"/>
        </w:rPr>
        <w:t>14.</w:t>
      </w:r>
    </w:p>
    <w:p w14:paraId="14697AA5" w14:textId="63B6D73F" w:rsidR="00152CEA" w:rsidRPr="008B0F4A" w:rsidRDefault="005C009A" w:rsidP="008B0F4A">
      <w:pPr>
        <w:pStyle w:val="Endofdocument-Annex"/>
        <w:ind w:firstLine="46"/>
        <w:rPr>
          <w:lang w:val="es-ES_tradnl"/>
        </w:rPr>
      </w:pPr>
      <w:r w:rsidRPr="008B0F4A">
        <w:rPr>
          <w:lang w:val="es-ES_tradnl"/>
        </w:rPr>
        <w:t>[Fin del documento]</w:t>
      </w:r>
    </w:p>
    <w:sectPr w:rsidR="00152CEA" w:rsidRPr="008B0F4A" w:rsidSect="005C009A">
      <w:headerReference w:type="default" r:id="rId9"/>
      <w:footerReference w:type="even" r:id="rId10"/>
      <w:footerReference w:type="default" r:id="rId11"/>
      <w:foot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78305" w14:textId="77777777" w:rsidR="005C009A" w:rsidRDefault="005C009A">
      <w:r>
        <w:separator/>
      </w:r>
    </w:p>
  </w:endnote>
  <w:endnote w:type="continuationSeparator" w:id="0">
    <w:p w14:paraId="0621CE01" w14:textId="77777777" w:rsidR="005C009A" w:rsidRPr="009D30E6" w:rsidRDefault="005C009A" w:rsidP="007E663E">
      <w:pPr>
        <w:rPr>
          <w:sz w:val="17"/>
          <w:szCs w:val="17"/>
        </w:rPr>
      </w:pPr>
      <w:r w:rsidRPr="009D30E6">
        <w:rPr>
          <w:sz w:val="17"/>
          <w:szCs w:val="17"/>
        </w:rPr>
        <w:separator/>
      </w:r>
    </w:p>
    <w:p w14:paraId="59E8AF3D" w14:textId="77777777" w:rsidR="005C009A" w:rsidRPr="007E663E" w:rsidRDefault="005C009A" w:rsidP="007E663E">
      <w:pPr>
        <w:spacing w:after="60"/>
        <w:rPr>
          <w:sz w:val="17"/>
          <w:szCs w:val="17"/>
        </w:rPr>
      </w:pPr>
      <w:r>
        <w:rPr>
          <w:sz w:val="17"/>
        </w:rPr>
        <w:t>[Continuación de la nota de la página anterior]</w:t>
      </w:r>
    </w:p>
  </w:endnote>
  <w:endnote w:type="continuationNotice" w:id="1">
    <w:p w14:paraId="298E088F" w14:textId="77777777" w:rsidR="005C009A" w:rsidRPr="007E663E" w:rsidRDefault="005C009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1541" w14:textId="1F541804" w:rsidR="001D50D1" w:rsidRDefault="001D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9BDC6" w14:textId="22C94B22" w:rsidR="001D50D1" w:rsidRDefault="001D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F9A3A" w14:textId="4AE087DF" w:rsidR="001D50D1" w:rsidRDefault="001D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78209" w14:textId="77777777" w:rsidR="005C009A" w:rsidRDefault="005C009A">
      <w:r>
        <w:separator/>
      </w:r>
    </w:p>
  </w:footnote>
  <w:footnote w:type="continuationSeparator" w:id="0">
    <w:p w14:paraId="6AF8500E" w14:textId="77777777" w:rsidR="005C009A" w:rsidRPr="009D30E6" w:rsidRDefault="005C009A" w:rsidP="007E663E">
      <w:pPr>
        <w:rPr>
          <w:sz w:val="17"/>
          <w:szCs w:val="17"/>
        </w:rPr>
      </w:pPr>
      <w:r w:rsidRPr="009D30E6">
        <w:rPr>
          <w:sz w:val="17"/>
          <w:szCs w:val="17"/>
        </w:rPr>
        <w:separator/>
      </w:r>
    </w:p>
    <w:p w14:paraId="53241728" w14:textId="77777777" w:rsidR="005C009A" w:rsidRPr="007E663E" w:rsidRDefault="005C009A" w:rsidP="007E663E">
      <w:pPr>
        <w:spacing w:after="60"/>
        <w:rPr>
          <w:sz w:val="17"/>
          <w:szCs w:val="17"/>
        </w:rPr>
      </w:pPr>
      <w:r>
        <w:rPr>
          <w:sz w:val="17"/>
        </w:rPr>
        <w:t>[Continuación de la nota de la página anterior]</w:t>
      </w:r>
    </w:p>
  </w:footnote>
  <w:footnote w:type="continuationNotice" w:id="1">
    <w:p w14:paraId="515D604E" w14:textId="77777777" w:rsidR="005C009A" w:rsidRPr="007E663E" w:rsidRDefault="005C009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4A345" w14:textId="77777777" w:rsidR="00F84474" w:rsidRDefault="005C009A" w:rsidP="00477D6B">
    <w:pPr>
      <w:jc w:val="right"/>
    </w:pPr>
    <w:bookmarkStart w:id="5" w:name="Code2"/>
    <w:bookmarkEnd w:id="5"/>
    <w:r>
      <w:t>CWS/12/26</w:t>
    </w:r>
  </w:p>
  <w:p w14:paraId="52D88BCC"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5877E328" w14:textId="77777777" w:rsidR="00F84474" w:rsidRDefault="00F84474" w:rsidP="00477D6B">
    <w:pPr>
      <w:jc w:val="right"/>
    </w:pPr>
  </w:p>
  <w:p w14:paraId="0A524B67"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3A62212"/>
    <w:multiLevelType w:val="hybridMultilevel"/>
    <w:tmpl w:val="83224A78"/>
    <w:lvl w:ilvl="0" w:tplc="04090017">
      <w:start w:val="1"/>
      <w:numFmt w:val="lowerLetter"/>
      <w:lvlText w:val="%1)"/>
      <w:lvlJc w:val="left"/>
      <w:pPr>
        <w:ind w:left="6243" w:hanging="71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7987169">
    <w:abstractNumId w:val="2"/>
  </w:num>
  <w:num w:numId="2" w16cid:durableId="1368065899">
    <w:abstractNumId w:val="5"/>
  </w:num>
  <w:num w:numId="3" w16cid:durableId="1509633635">
    <w:abstractNumId w:val="0"/>
  </w:num>
  <w:num w:numId="4" w16cid:durableId="677849983">
    <w:abstractNumId w:val="6"/>
  </w:num>
  <w:num w:numId="5" w16cid:durableId="1988243437">
    <w:abstractNumId w:val="1"/>
  </w:num>
  <w:num w:numId="6" w16cid:durableId="2016496202">
    <w:abstractNumId w:val="3"/>
  </w:num>
  <w:num w:numId="7" w16cid:durableId="185561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9A"/>
    <w:rsid w:val="000E3BB3"/>
    <w:rsid w:val="000E67FD"/>
    <w:rsid w:val="000F5E56"/>
    <w:rsid w:val="001362EE"/>
    <w:rsid w:val="00152CEA"/>
    <w:rsid w:val="001832A6"/>
    <w:rsid w:val="001C4DD3"/>
    <w:rsid w:val="001D50D1"/>
    <w:rsid w:val="002634C4"/>
    <w:rsid w:val="002F4E68"/>
    <w:rsid w:val="00307787"/>
    <w:rsid w:val="00354647"/>
    <w:rsid w:val="00377273"/>
    <w:rsid w:val="003845C1"/>
    <w:rsid w:val="003859DF"/>
    <w:rsid w:val="00387287"/>
    <w:rsid w:val="003D41D4"/>
    <w:rsid w:val="00423E3E"/>
    <w:rsid w:val="00427AF4"/>
    <w:rsid w:val="0045231F"/>
    <w:rsid w:val="004647DA"/>
    <w:rsid w:val="00477D6B"/>
    <w:rsid w:val="004A6C37"/>
    <w:rsid w:val="004F7418"/>
    <w:rsid w:val="00511D0C"/>
    <w:rsid w:val="0055013B"/>
    <w:rsid w:val="0056224D"/>
    <w:rsid w:val="00571B99"/>
    <w:rsid w:val="005C009A"/>
    <w:rsid w:val="005D64EC"/>
    <w:rsid w:val="00605827"/>
    <w:rsid w:val="00615B8E"/>
    <w:rsid w:val="0066216D"/>
    <w:rsid w:val="00664847"/>
    <w:rsid w:val="00675021"/>
    <w:rsid w:val="006A06C6"/>
    <w:rsid w:val="006D216A"/>
    <w:rsid w:val="007E63AC"/>
    <w:rsid w:val="007E663E"/>
    <w:rsid w:val="00815082"/>
    <w:rsid w:val="00843582"/>
    <w:rsid w:val="008B0F4A"/>
    <w:rsid w:val="008B14EA"/>
    <w:rsid w:val="008B2CC1"/>
    <w:rsid w:val="0090731E"/>
    <w:rsid w:val="00966A22"/>
    <w:rsid w:val="00970F3D"/>
    <w:rsid w:val="00972F03"/>
    <w:rsid w:val="009956A3"/>
    <w:rsid w:val="009A0C8B"/>
    <w:rsid w:val="009B6241"/>
    <w:rsid w:val="00A16FC0"/>
    <w:rsid w:val="00A32C9E"/>
    <w:rsid w:val="00A7453D"/>
    <w:rsid w:val="00AB613D"/>
    <w:rsid w:val="00B65A0A"/>
    <w:rsid w:val="00B72D36"/>
    <w:rsid w:val="00BA063E"/>
    <w:rsid w:val="00BC4164"/>
    <w:rsid w:val="00BD2DCC"/>
    <w:rsid w:val="00BE1A8C"/>
    <w:rsid w:val="00C06472"/>
    <w:rsid w:val="00C90559"/>
    <w:rsid w:val="00D36B79"/>
    <w:rsid w:val="00D40CF0"/>
    <w:rsid w:val="00D524BC"/>
    <w:rsid w:val="00D56C7C"/>
    <w:rsid w:val="00D71B4D"/>
    <w:rsid w:val="00D90289"/>
    <w:rsid w:val="00D93D55"/>
    <w:rsid w:val="00E127AE"/>
    <w:rsid w:val="00E45C84"/>
    <w:rsid w:val="00E504E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3C099"/>
  <w15:docId w15:val="{A4102EF7-C610-4A0D-A8E8-D4880D47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odyTextChar">
    <w:name w:val="Body Text Char"/>
    <w:link w:val="BodyText"/>
    <w:rsid w:val="005C009A"/>
    <w:rPr>
      <w:rFonts w:ascii="Arial" w:eastAsia="SimSun" w:hAnsi="Arial" w:cs="Arial"/>
      <w:sz w:val="22"/>
      <w:lang w:val="es-ES" w:eastAsia="zh-CN"/>
    </w:rPr>
  </w:style>
  <w:style w:type="character" w:styleId="Hyperlink">
    <w:name w:val="Hyperlink"/>
    <w:uiPriority w:val="99"/>
    <w:unhideWhenUsed/>
    <w:rsid w:val="005C009A"/>
    <w:rPr>
      <w:color w:val="0000FF"/>
      <w:u w:val="single"/>
    </w:rPr>
  </w:style>
  <w:style w:type="character" w:customStyle="1" w:styleId="Heading2Char">
    <w:name w:val="Heading 2 Char"/>
    <w:basedOn w:val="DefaultParagraphFont"/>
    <w:link w:val="Heading2"/>
    <w:rsid w:val="005C009A"/>
    <w:rPr>
      <w:rFonts w:ascii="Arial" w:eastAsia="SimSun" w:hAnsi="Arial" w:cs="Arial"/>
      <w:bCs/>
      <w:iCs/>
      <w:caps/>
      <w:sz w:val="22"/>
      <w:szCs w:val="28"/>
      <w:lang w:val="es-ES" w:eastAsia="zh-CN"/>
    </w:rPr>
  </w:style>
  <w:style w:type="table" w:styleId="TableGrid">
    <w:name w:val="Table Grid"/>
    <w:basedOn w:val="TableNormal"/>
    <w:rsid w:val="005C009A"/>
    <w:rPr>
      <w:rFonts w:eastAsiaTheme="minorEastAsia"/>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009A"/>
    <w:pPr>
      <w:spacing w:before="100" w:beforeAutospacing="1" w:after="100" w:afterAutospacing="1"/>
    </w:pPr>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standards/es/part_0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4</TotalTime>
  <Pages>3</Pages>
  <Words>1070</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CWS/12/26</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CWS/12/26</dc:title>
  <dc:creator>WIPO</dc:creator>
  <cp:keywords>Comité de Normas Técnicas de la OMPI (CWS) Duodécima sesión</cp:keywords>
  <cp:lastModifiedBy>BLANCHET Gaspard</cp:lastModifiedBy>
  <cp:revision>3</cp:revision>
  <dcterms:created xsi:type="dcterms:W3CDTF">2024-08-08T08:58:00Z</dcterms:created>
  <dcterms:modified xsi:type="dcterms:W3CDTF">2024-08-20T10:29:00Z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2024-08-08T08:58:41Z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f6677abf-2489-40e2-a022-1401f3738ad9</vt:lpwstr>
  </property>
  <property fmtid="{D5CDD505-2E9C-101B-9397-08002B2CF9AE}" pid="14" name="MSIP_Label_20773ee6-353b-4fb9-a59d-0b94c8c67bea_ContentBits">
    <vt:lpwstr>0</vt:lpwstr>
  </property>
</Properties>
</file>