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39615" w14:textId="77777777" w:rsidR="008B2CC1" w:rsidRPr="00492144" w:rsidRDefault="008B14EA" w:rsidP="008B14EA">
      <w:pPr>
        <w:spacing w:after="120"/>
        <w:jc w:val="right"/>
        <w:rPr>
          <w:lang w:val="es-419"/>
        </w:rPr>
      </w:pPr>
      <w:r w:rsidRPr="00492144">
        <w:rPr>
          <w:noProof/>
          <w:lang w:val="es-419" w:eastAsia="en-US"/>
        </w:rPr>
        <w:drawing>
          <wp:inline distT="0" distB="0" distL="0" distR="0" wp14:anchorId="6E80CE8C" wp14:editId="5E80D422">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492144">
        <w:rPr>
          <w:rFonts w:ascii="Arial Black" w:hAnsi="Arial Black"/>
          <w:caps/>
          <w:noProof/>
          <w:sz w:val="15"/>
          <w:szCs w:val="15"/>
          <w:lang w:val="es-419" w:eastAsia="en-US"/>
        </w:rPr>
        <mc:AlternateContent>
          <mc:Choice Requires="wps">
            <w:drawing>
              <wp:inline distT="0" distB="0" distL="0" distR="0" wp14:anchorId="0F56FF2F" wp14:editId="178877F5">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E1B453C"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07815C94" w14:textId="77777777" w:rsidR="008B2CC1" w:rsidRPr="00492144" w:rsidRDefault="0066216D" w:rsidP="008B14EA">
      <w:pPr>
        <w:jc w:val="right"/>
        <w:rPr>
          <w:rFonts w:ascii="Arial Black" w:hAnsi="Arial Black"/>
          <w:caps/>
          <w:sz w:val="15"/>
          <w:lang w:val="es-419"/>
        </w:rPr>
      </w:pPr>
      <w:r w:rsidRPr="00492144">
        <w:rPr>
          <w:rFonts w:ascii="Arial Black" w:hAnsi="Arial Black"/>
          <w:caps/>
          <w:sz w:val="15"/>
          <w:lang w:val="es-419"/>
        </w:rPr>
        <w:t>CWS/1</w:t>
      </w:r>
      <w:r w:rsidR="00970F3D" w:rsidRPr="00492144">
        <w:rPr>
          <w:rFonts w:ascii="Arial Black" w:hAnsi="Arial Black"/>
          <w:caps/>
          <w:sz w:val="15"/>
          <w:lang w:val="es-419"/>
        </w:rPr>
        <w:t>2</w:t>
      </w:r>
      <w:r w:rsidRPr="00492144">
        <w:rPr>
          <w:rFonts w:ascii="Arial Black" w:hAnsi="Arial Black"/>
          <w:caps/>
          <w:sz w:val="15"/>
          <w:lang w:val="es-419"/>
        </w:rPr>
        <w:t>/</w:t>
      </w:r>
      <w:bookmarkStart w:id="0" w:name="Code"/>
      <w:bookmarkEnd w:id="0"/>
      <w:r w:rsidR="00BA28DF" w:rsidRPr="00492144">
        <w:rPr>
          <w:rFonts w:ascii="Arial Black" w:hAnsi="Arial Black"/>
          <w:caps/>
          <w:sz w:val="15"/>
          <w:lang w:val="es-419"/>
        </w:rPr>
        <w:t>3</w:t>
      </w:r>
    </w:p>
    <w:p w14:paraId="08C94F0B" w14:textId="77777777" w:rsidR="008B2CC1" w:rsidRPr="00492144" w:rsidRDefault="008B14EA" w:rsidP="008B14EA">
      <w:pPr>
        <w:jc w:val="right"/>
        <w:rPr>
          <w:rFonts w:ascii="Arial Black" w:hAnsi="Arial Black"/>
          <w:caps/>
          <w:sz w:val="15"/>
          <w:lang w:val="es-419"/>
        </w:rPr>
      </w:pPr>
      <w:r w:rsidRPr="00492144">
        <w:rPr>
          <w:rFonts w:ascii="Arial Black" w:hAnsi="Arial Black"/>
          <w:caps/>
          <w:sz w:val="15"/>
          <w:lang w:val="es-419"/>
        </w:rPr>
        <w:t xml:space="preserve">ORIGINAL: </w:t>
      </w:r>
      <w:bookmarkStart w:id="1" w:name="Original"/>
      <w:r w:rsidR="00BA28DF" w:rsidRPr="00492144">
        <w:rPr>
          <w:rFonts w:ascii="Arial Black" w:hAnsi="Arial Black"/>
          <w:caps/>
          <w:sz w:val="15"/>
          <w:lang w:val="es-419"/>
        </w:rPr>
        <w:t>INGLÉS</w:t>
      </w:r>
    </w:p>
    <w:bookmarkEnd w:id="1"/>
    <w:p w14:paraId="2DEA2078" w14:textId="77777777" w:rsidR="008B2CC1" w:rsidRPr="00492144" w:rsidRDefault="008B14EA" w:rsidP="008B14EA">
      <w:pPr>
        <w:spacing w:after="1200"/>
        <w:jc w:val="right"/>
        <w:rPr>
          <w:rFonts w:ascii="Arial Black" w:hAnsi="Arial Black"/>
          <w:caps/>
          <w:sz w:val="15"/>
          <w:lang w:val="es-419"/>
        </w:rPr>
      </w:pPr>
      <w:r w:rsidRPr="00492144">
        <w:rPr>
          <w:rFonts w:ascii="Arial Black" w:hAnsi="Arial Black"/>
          <w:caps/>
          <w:sz w:val="15"/>
          <w:lang w:val="es-419"/>
        </w:rPr>
        <w:t xml:space="preserve">FECHA: </w:t>
      </w:r>
      <w:bookmarkStart w:id="2" w:name="Date"/>
      <w:r w:rsidR="00BA28DF" w:rsidRPr="00492144">
        <w:rPr>
          <w:rFonts w:ascii="Arial Black" w:hAnsi="Arial Black"/>
          <w:caps/>
          <w:sz w:val="15"/>
          <w:lang w:val="es-419"/>
        </w:rPr>
        <w:t>12 DE AGOSTO DE 2024</w:t>
      </w:r>
    </w:p>
    <w:bookmarkEnd w:id="2"/>
    <w:p w14:paraId="09EC711E" w14:textId="77777777" w:rsidR="008B2CC1" w:rsidRPr="00492144" w:rsidRDefault="0066216D" w:rsidP="008B14EA">
      <w:pPr>
        <w:spacing w:after="600"/>
        <w:rPr>
          <w:b/>
          <w:sz w:val="28"/>
          <w:szCs w:val="28"/>
          <w:lang w:val="es-419"/>
        </w:rPr>
      </w:pPr>
      <w:r w:rsidRPr="00492144">
        <w:rPr>
          <w:b/>
          <w:sz w:val="28"/>
          <w:szCs w:val="28"/>
          <w:lang w:val="es-419"/>
        </w:rPr>
        <w:t>Comité de Normas Técnicas de la OMPI (CWS)</w:t>
      </w:r>
    </w:p>
    <w:p w14:paraId="4EBC5075" w14:textId="77777777" w:rsidR="00511D0C" w:rsidRPr="00492144" w:rsidRDefault="00970F3D" w:rsidP="00511D0C">
      <w:pPr>
        <w:rPr>
          <w:b/>
          <w:sz w:val="28"/>
          <w:szCs w:val="24"/>
          <w:lang w:val="es-419"/>
        </w:rPr>
      </w:pPr>
      <w:r w:rsidRPr="00492144">
        <w:rPr>
          <w:b/>
          <w:sz w:val="24"/>
          <w:lang w:val="es-419"/>
        </w:rPr>
        <w:t>Duodécima</w:t>
      </w:r>
      <w:r w:rsidR="0066216D" w:rsidRPr="00492144">
        <w:rPr>
          <w:b/>
          <w:sz w:val="24"/>
          <w:lang w:val="es-419"/>
        </w:rPr>
        <w:t xml:space="preserve"> sesión</w:t>
      </w:r>
    </w:p>
    <w:p w14:paraId="29677A10" w14:textId="5E53ED09" w:rsidR="008B2CC1" w:rsidRPr="00492144" w:rsidRDefault="0066216D" w:rsidP="008B14EA">
      <w:pPr>
        <w:spacing w:after="720"/>
        <w:rPr>
          <w:b/>
          <w:sz w:val="28"/>
          <w:szCs w:val="24"/>
          <w:lang w:val="es-419"/>
        </w:rPr>
      </w:pPr>
      <w:r w:rsidRPr="00492144">
        <w:rPr>
          <w:b/>
          <w:sz w:val="24"/>
          <w:lang w:val="es-419"/>
        </w:rPr>
        <w:t xml:space="preserve">Ginebra, </w:t>
      </w:r>
      <w:r w:rsidR="00970F3D" w:rsidRPr="00492144">
        <w:rPr>
          <w:b/>
          <w:sz w:val="24"/>
          <w:lang w:val="es-419"/>
        </w:rPr>
        <w:t xml:space="preserve">16 a </w:t>
      </w:r>
      <w:r w:rsidR="00BA7137">
        <w:rPr>
          <w:b/>
          <w:sz w:val="24"/>
          <w:lang w:val="es-419"/>
        </w:rPr>
        <w:t>19</w:t>
      </w:r>
      <w:r w:rsidR="00970F3D" w:rsidRPr="00492144">
        <w:rPr>
          <w:b/>
          <w:sz w:val="24"/>
          <w:lang w:val="es-419"/>
        </w:rPr>
        <w:t xml:space="preserve"> de septiembre de 2024</w:t>
      </w:r>
    </w:p>
    <w:p w14:paraId="01C27E53" w14:textId="53FFE83C" w:rsidR="008B2CC1" w:rsidRPr="00492144" w:rsidRDefault="00BA7137" w:rsidP="008B14EA">
      <w:pPr>
        <w:spacing w:after="360"/>
        <w:rPr>
          <w:caps/>
          <w:sz w:val="24"/>
          <w:lang w:val="es-419"/>
        </w:rPr>
      </w:pPr>
      <w:bookmarkStart w:id="3" w:name="TitleOfDoc"/>
      <w:r w:rsidRPr="00492144">
        <w:rPr>
          <w:sz w:val="24"/>
          <w:lang w:val="es-419"/>
        </w:rPr>
        <w:t>Cuestionario sobre la priorización de las tareas del cws</w:t>
      </w:r>
    </w:p>
    <w:p w14:paraId="1D74E6B5" w14:textId="1F5F54B1" w:rsidR="008B2CC1" w:rsidRPr="00492144" w:rsidRDefault="00BA28DF" w:rsidP="008B14EA">
      <w:pPr>
        <w:spacing w:after="960"/>
        <w:rPr>
          <w:i/>
          <w:lang w:val="es-419"/>
        </w:rPr>
      </w:pPr>
      <w:bookmarkStart w:id="4" w:name="Prepared"/>
      <w:bookmarkEnd w:id="3"/>
      <w:r w:rsidRPr="00492144">
        <w:rPr>
          <w:i/>
          <w:lang w:val="es-419"/>
        </w:rPr>
        <w:t>preparado por la Secretaría</w:t>
      </w:r>
    </w:p>
    <w:bookmarkEnd w:id="4"/>
    <w:p w14:paraId="2BA681F3" w14:textId="77777777" w:rsidR="00BA28DF" w:rsidRPr="00492144" w:rsidRDefault="00BA28DF" w:rsidP="00BA28DF">
      <w:pPr>
        <w:pStyle w:val="Heading2"/>
        <w:spacing w:before="0" w:after="0"/>
        <w:rPr>
          <w:caps w:val="0"/>
          <w:lang w:val="es-419"/>
        </w:rPr>
      </w:pPr>
      <w:r w:rsidRPr="00492144">
        <w:rPr>
          <w:caps w:val="0"/>
          <w:lang w:val="es-419"/>
        </w:rPr>
        <w:t>RESUMEN</w:t>
      </w:r>
    </w:p>
    <w:p w14:paraId="2DD41CC6" w14:textId="5EB385CF" w:rsidR="00BA28DF" w:rsidRPr="00492144" w:rsidRDefault="00BA28DF" w:rsidP="00492144">
      <w:pPr>
        <w:pStyle w:val="ONUMFS"/>
        <w:rPr>
          <w:lang w:val="es-419"/>
        </w:rPr>
      </w:pPr>
      <w:r w:rsidRPr="00492144">
        <w:rPr>
          <w:lang w:val="es-419"/>
        </w:rPr>
        <w:t xml:space="preserve">En el presente documento se proponen nuevos pasos en relación con el cuestionario oficial sobre la priorización para el programa de trabajo del Comité de Normas Técnicas de la OMPI (CWS). La Secretaría considera que los resultados de la encuesta oficiosa realizada en julio de 2024 fueron suficientes para cumplir los objetivos establecidos en las sesiones anteriores del CWS. </w:t>
      </w:r>
    </w:p>
    <w:p w14:paraId="3D609512" w14:textId="77777777" w:rsidR="00BA28DF" w:rsidRPr="00492144" w:rsidRDefault="00BA28DF" w:rsidP="00BA28DF">
      <w:pPr>
        <w:pStyle w:val="Heading2"/>
        <w:spacing w:before="0" w:after="0"/>
        <w:rPr>
          <w:lang w:val="es-419"/>
        </w:rPr>
      </w:pPr>
      <w:r w:rsidRPr="00492144">
        <w:rPr>
          <w:caps w:val="0"/>
          <w:lang w:val="es-419"/>
        </w:rPr>
        <w:t>ANTECEDENTES</w:t>
      </w:r>
    </w:p>
    <w:p w14:paraId="3D43B5C5" w14:textId="1C707EFB" w:rsidR="00BA28DF" w:rsidRPr="00492144" w:rsidRDefault="00BA28DF" w:rsidP="00492144">
      <w:pPr>
        <w:pStyle w:val="ONUMFS"/>
        <w:rPr>
          <w:lang w:val="es-419"/>
        </w:rPr>
      </w:pPr>
      <w:r w:rsidRPr="00492144">
        <w:rPr>
          <w:lang w:val="es-419"/>
        </w:rPr>
        <w:t xml:space="preserve">En su décima sesión, celebrada en 2022, el Comité de Normas Técnicas de la OMPI (CWS) examinó la priorización de las tareas de su programa de trabajo. El CWS observó que las prioridades de las Oficinas de propiedad intelectual (OPI) pueden diferir, y dijo que entiende que la Secretaría deberá tener en cuenta varias cuestiones para priorizar las tareas, por ejemplo las medidas previstas que deberá llevar a cabo el Equipo Técnico, el grado de implicación de las Oficinas participantes y la experiencia de dichas Oficinas (párrafo 26 del documento CWS/10/22). </w:t>
      </w:r>
    </w:p>
    <w:p w14:paraId="69A1256C" w14:textId="57F69F72" w:rsidR="00BA28DF" w:rsidRPr="00492144" w:rsidRDefault="00BA28DF" w:rsidP="00492144">
      <w:pPr>
        <w:pStyle w:val="ONUMFS"/>
        <w:rPr>
          <w:lang w:val="es-419"/>
        </w:rPr>
      </w:pPr>
      <w:r w:rsidRPr="00492144">
        <w:rPr>
          <w:lang w:val="es-419"/>
        </w:rPr>
        <w:t>En la misma sesión, la Secretaría sometió al examen del CWS varias preguntas de interés para la priorización de las tareas y la preparación del programa de trabajo. Las preguntas sometidas al examen del CWS son las siguientes (párrafo 13 del documento CWS/10/3):</w:t>
      </w:r>
    </w:p>
    <w:p w14:paraId="66259EC9" w14:textId="131760CF" w:rsidR="00BA28DF" w:rsidRPr="00492144" w:rsidRDefault="00BA28DF" w:rsidP="00492144">
      <w:pPr>
        <w:pStyle w:val="ONUMFS"/>
        <w:numPr>
          <w:ilvl w:val="0"/>
          <w:numId w:val="12"/>
        </w:numPr>
        <w:ind w:left="567"/>
        <w:rPr>
          <w:i/>
          <w:iCs/>
          <w:lang w:val="es-419"/>
        </w:rPr>
      </w:pPr>
      <w:r w:rsidRPr="00492144">
        <w:rPr>
          <w:i/>
          <w:lang w:val="es-419"/>
        </w:rPr>
        <w:t xml:space="preserve">¿Qué significa la prioridad alta en el contexto de las tareas? ¿Significa que todos los miembros del CWS deben participar en las tareas de prioridad alta en lugar de prestar atención a otras tareas menos prioritarias? ¿Significa que todos los miembros del Equipo Técnico deben realizar alguna acción en la tarea? La Secretaría ha observado que la mayoría de los equipos técnicos están integrados por un pequeño grupo de miembros </w:t>
      </w:r>
      <w:r w:rsidRPr="00492144">
        <w:rPr>
          <w:i/>
          <w:lang w:val="es-419"/>
        </w:rPr>
        <w:lastRenderedPageBreak/>
        <w:t>muy motivados, a veces un solo miembro, que son quienes impulsan fundamentalmente la labor; un número mayor de miembros participantes que la examinan y formulan observaciones; y un número aún mayor de miembros silenciosos que rara vez asisten a las reuniones o formulan observaciones.</w:t>
      </w:r>
    </w:p>
    <w:p w14:paraId="4C497D34" w14:textId="5A843987" w:rsidR="00BA28DF" w:rsidRPr="00492144" w:rsidRDefault="00BA28DF" w:rsidP="00492144">
      <w:pPr>
        <w:pStyle w:val="ONUMFS"/>
        <w:numPr>
          <w:ilvl w:val="0"/>
          <w:numId w:val="12"/>
        </w:numPr>
        <w:ind w:left="567"/>
        <w:rPr>
          <w:i/>
          <w:iCs/>
          <w:lang w:val="es-419"/>
        </w:rPr>
      </w:pPr>
      <w:r w:rsidRPr="00492144">
        <w:rPr>
          <w:i/>
          <w:lang w:val="es-419"/>
        </w:rPr>
        <w:t>¿Debería el CWS limitar el número de tareas de prioridad alta para no sobrecargar a los miembros del CWS con trabajo que no se pueda terminar a tiempo? En caso afirmativo, ¿cómo se debería fijar el límite de tareas de prioridad alta, teniendo en cuenta que para finalizar las distintas tareas se necesitan cantidades diferentes de recursos y esfuerzo? Puede que sea factible finalizar cinco tareas sencillas y, en cambio, avanzar al mismo tiempo en la finalización de cinco tareas complejas puede suponer un desafío.</w:t>
      </w:r>
    </w:p>
    <w:p w14:paraId="3A551B38" w14:textId="1D9FD4F9" w:rsidR="00BA28DF" w:rsidRPr="00492144" w:rsidRDefault="00BA28DF" w:rsidP="00492144">
      <w:pPr>
        <w:pStyle w:val="ONUMFS"/>
        <w:numPr>
          <w:ilvl w:val="0"/>
          <w:numId w:val="12"/>
        </w:numPr>
        <w:ind w:left="567"/>
        <w:rPr>
          <w:i/>
          <w:iCs/>
          <w:lang w:val="es-419"/>
        </w:rPr>
      </w:pPr>
      <w:r w:rsidRPr="00492144">
        <w:rPr>
          <w:i/>
          <w:lang w:val="es-419"/>
        </w:rPr>
        <w:t>Si las Oficinas promotoras finalizan una tarea cuya prioridad es baja, ¿qué hará el CWS? ¿Se debe esperar a que las tareas más prioritarias se hayan finalizado para el examen y la adopción por el CWS de las tareas de prioridad baja o se debe avanzar de forma sustancial?</w:t>
      </w:r>
    </w:p>
    <w:p w14:paraId="6E01F953" w14:textId="753796B0" w:rsidR="00BA28DF" w:rsidRPr="00492144" w:rsidRDefault="00BA28DF" w:rsidP="00492144">
      <w:pPr>
        <w:pStyle w:val="ONUMFS"/>
        <w:rPr>
          <w:lang w:val="es-419"/>
        </w:rPr>
      </w:pPr>
      <w:r w:rsidRPr="00492144">
        <w:rPr>
          <w:lang w:val="es-419"/>
        </w:rPr>
        <w:t>En la undécima sesión del CWS, tal como se acordó en la sesión anterior, la Secretaría presentó un proyecto de cuestionario para su examen por el CWS. La Secretaría lo preparó en consulta con los responsables de los equipos técnicos del CWS, para determinar la prioridad de las tareas del Comité. Algunas delegaciones observaron que no queda claro a qué plazo se aplica este cuestionario ni cuáles serán los pasos siguientes una vez que las Oficinas hayan facilitado las respuestas. Algunas delegaciones quisieron saber si el estado de las tareas puede verse afectado por sus respuestas al cuestionario  (párrafos 34 y 36 del documento CWS/11/28).</w:t>
      </w:r>
    </w:p>
    <w:p w14:paraId="5CC6D804" w14:textId="4BCC6ACB" w:rsidR="00BA28DF" w:rsidRPr="00492144" w:rsidRDefault="00BA28DF" w:rsidP="00492144">
      <w:pPr>
        <w:pStyle w:val="ONUMFS"/>
        <w:rPr>
          <w:lang w:val="es-419"/>
        </w:rPr>
      </w:pPr>
      <w:r w:rsidRPr="00492144">
        <w:rPr>
          <w:lang w:val="es-419"/>
        </w:rPr>
        <w:t>En la misma sesión, en lugar de aprobar el proyecto de cuestionario, el CWS acordó las medidas siguientes: pedir a los miembros de los equipos técnicos del CWS que colaboren en una versión simplificada y mejorada del cuestionario; presentar el nuevo proyecto de cuestionario para su examen en la duodécima sesión del CWS; y recoger información oficiosa sobre la priorización de las tareas por parte de los miembros de los equipos técnicos, y presentar estos resultados también en la duodécima sesión  (párrafo 40 del documento CWS/11/28).</w:t>
      </w:r>
    </w:p>
    <w:p w14:paraId="5359FCD3" w14:textId="77777777" w:rsidR="00BA28DF" w:rsidRPr="00492144" w:rsidRDefault="00BA28DF" w:rsidP="00BA28DF">
      <w:pPr>
        <w:pStyle w:val="Heading2"/>
        <w:keepLines/>
        <w:spacing w:before="0" w:after="0"/>
        <w:rPr>
          <w:lang w:val="es-419"/>
        </w:rPr>
      </w:pPr>
      <w:r w:rsidRPr="00492144">
        <w:rPr>
          <w:caps w:val="0"/>
          <w:lang w:val="es-419"/>
        </w:rPr>
        <w:t>RESULTADOS DE LA ENCUESTA OFICIOSA SOBRE LA PRIORIZACIÓN</w:t>
      </w:r>
    </w:p>
    <w:p w14:paraId="3E450FA8" w14:textId="688D262A" w:rsidR="00BA28DF" w:rsidRPr="00492144" w:rsidRDefault="00BA28DF" w:rsidP="00492144">
      <w:pPr>
        <w:pStyle w:val="ONUMFS"/>
        <w:rPr>
          <w:lang w:val="es-419"/>
        </w:rPr>
      </w:pPr>
      <w:r w:rsidRPr="00492144">
        <w:rPr>
          <w:lang w:val="es-419"/>
        </w:rPr>
        <w:t xml:space="preserve">Tal como se acordó en la undécima sesión, la Secretaría invitó a todos los miembros de los equipos técnicos del CWS a participar en una encuesta oficiosa sobre la priorización de las tareas del Comité en el espacio wiki compartido de dichos equipos técnicos. El cuestionario constaba de dos secciones principales: en la primera se pedía a las Oficinas que indicaran las tareas o actividades del CWS que consideraban prioritarias y, en la segunda, si consideraban que los resultados de esta encuesta oficiosa respondían a sus intereses. </w:t>
      </w:r>
    </w:p>
    <w:p w14:paraId="7A76742C" w14:textId="70FEB9BF" w:rsidR="00BA28DF" w:rsidRPr="00492144" w:rsidRDefault="00BA28DF" w:rsidP="00492144">
      <w:pPr>
        <w:pStyle w:val="ONUMFS"/>
        <w:rPr>
          <w:lang w:val="es-419"/>
        </w:rPr>
      </w:pPr>
      <w:r w:rsidRPr="00492144">
        <w:rPr>
          <w:lang w:val="es-419"/>
        </w:rPr>
        <w:t>La Secretaría analizó las respuestas de las 21 Oficinas participantes, que señalaron las prioridades siguientes para las tareas activas del CWS: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511"/>
        <w:gridCol w:w="2824"/>
      </w:tblGrid>
      <w:tr w:rsidR="00BA28DF" w:rsidRPr="00492144" w14:paraId="35DEC54A" w14:textId="77777777" w:rsidTr="00E67567">
        <w:trPr>
          <w:trHeight w:val="330"/>
        </w:trPr>
        <w:tc>
          <w:tcPr>
            <w:tcW w:w="6511" w:type="dxa"/>
            <w:shd w:val="clear" w:color="000000" w:fill="D9D9D9" w:themeFill="background1" w:themeFillShade="D9"/>
            <w:noWrap/>
            <w:vAlign w:val="center"/>
            <w:hideMark/>
          </w:tcPr>
          <w:p w14:paraId="2D53BB84" w14:textId="77777777" w:rsidR="00BA28DF" w:rsidRPr="00492144" w:rsidRDefault="00BA28DF" w:rsidP="00021241">
            <w:pPr>
              <w:rPr>
                <w:rFonts w:eastAsia="Times New Roman"/>
                <w:b/>
                <w:bCs/>
                <w:szCs w:val="22"/>
                <w:lang w:val="es-419"/>
              </w:rPr>
            </w:pPr>
            <w:r w:rsidRPr="00492144">
              <w:rPr>
                <w:b/>
                <w:lang w:val="es-419"/>
              </w:rPr>
              <w:t>Tarea activa del CWS</w:t>
            </w:r>
          </w:p>
        </w:tc>
        <w:tc>
          <w:tcPr>
            <w:tcW w:w="2824" w:type="dxa"/>
            <w:shd w:val="clear" w:color="000000" w:fill="D9D9D9" w:themeFill="background1" w:themeFillShade="D9"/>
            <w:noWrap/>
            <w:vAlign w:val="center"/>
            <w:hideMark/>
          </w:tcPr>
          <w:p w14:paraId="004D706D" w14:textId="77777777" w:rsidR="00BA28DF" w:rsidRPr="00492144" w:rsidRDefault="00BA28DF" w:rsidP="00021241">
            <w:pPr>
              <w:rPr>
                <w:rFonts w:eastAsia="Times New Roman"/>
                <w:b/>
                <w:bCs/>
                <w:szCs w:val="22"/>
                <w:lang w:val="es-419"/>
              </w:rPr>
            </w:pPr>
            <w:r w:rsidRPr="00492144">
              <w:rPr>
                <w:b/>
                <w:lang w:val="es-419"/>
              </w:rPr>
              <w:t xml:space="preserve">Número de Oficinas que la consideran prioritaria </w:t>
            </w:r>
          </w:p>
        </w:tc>
      </w:tr>
      <w:tr w:rsidR="00BA28DF" w:rsidRPr="00492144" w14:paraId="6E85A930" w14:textId="77777777" w:rsidTr="00E67567">
        <w:trPr>
          <w:trHeight w:val="315"/>
        </w:trPr>
        <w:tc>
          <w:tcPr>
            <w:tcW w:w="6511" w:type="dxa"/>
            <w:shd w:val="clear" w:color="auto" w:fill="auto"/>
            <w:noWrap/>
            <w:vAlign w:val="center"/>
            <w:hideMark/>
          </w:tcPr>
          <w:p w14:paraId="3E436A7F" w14:textId="77777777" w:rsidR="00BA28DF" w:rsidRPr="00492144" w:rsidRDefault="00BA28DF" w:rsidP="00021241">
            <w:pPr>
              <w:spacing w:after="240"/>
              <w:rPr>
                <w:rFonts w:eastAsia="Times New Roman"/>
                <w:color w:val="000000"/>
                <w:sz w:val="20"/>
                <w:lang w:val="es-419"/>
              </w:rPr>
            </w:pPr>
            <w:r w:rsidRPr="00492144">
              <w:rPr>
                <w:color w:val="000000"/>
                <w:sz w:val="20"/>
                <w:lang w:val="es-419"/>
              </w:rPr>
              <w:t xml:space="preserve">Tarea n.º 41 – Apoyar las revisiones necesarias de las Normas ST.36, ST.66, ST.86 y ST.96 de la OMPI </w:t>
            </w:r>
          </w:p>
        </w:tc>
        <w:tc>
          <w:tcPr>
            <w:tcW w:w="2824" w:type="dxa"/>
            <w:shd w:val="clear" w:color="auto" w:fill="auto"/>
            <w:noWrap/>
            <w:vAlign w:val="center"/>
            <w:hideMark/>
          </w:tcPr>
          <w:p w14:paraId="3B595E5B" w14:textId="77777777" w:rsidR="00BA28DF" w:rsidRPr="00492144" w:rsidRDefault="00BA28DF" w:rsidP="00021241">
            <w:pPr>
              <w:spacing w:after="240"/>
              <w:jc w:val="right"/>
              <w:rPr>
                <w:rFonts w:eastAsia="Times New Roman"/>
                <w:color w:val="000000"/>
                <w:sz w:val="20"/>
                <w:lang w:val="es-419"/>
              </w:rPr>
            </w:pPr>
            <w:r w:rsidRPr="00492144">
              <w:rPr>
                <w:color w:val="000000"/>
                <w:sz w:val="20"/>
                <w:lang w:val="es-419"/>
              </w:rPr>
              <w:t>11</w:t>
            </w:r>
          </w:p>
        </w:tc>
      </w:tr>
      <w:tr w:rsidR="00BA28DF" w:rsidRPr="00492144" w14:paraId="06AF2ADF" w14:textId="77777777" w:rsidTr="00E67567">
        <w:trPr>
          <w:trHeight w:val="315"/>
        </w:trPr>
        <w:tc>
          <w:tcPr>
            <w:tcW w:w="6511" w:type="dxa"/>
            <w:shd w:val="clear" w:color="auto" w:fill="auto"/>
            <w:noWrap/>
            <w:vAlign w:val="center"/>
            <w:hideMark/>
          </w:tcPr>
          <w:p w14:paraId="18B8985E" w14:textId="77777777" w:rsidR="00BA28DF" w:rsidRPr="00492144" w:rsidRDefault="00BA28DF" w:rsidP="00021241">
            <w:pPr>
              <w:spacing w:after="240"/>
              <w:rPr>
                <w:rFonts w:eastAsia="Times New Roman"/>
                <w:color w:val="000000"/>
                <w:sz w:val="20"/>
                <w:lang w:val="es-419"/>
              </w:rPr>
            </w:pPr>
            <w:r w:rsidRPr="00492144">
              <w:rPr>
                <w:color w:val="000000"/>
                <w:sz w:val="20"/>
                <w:lang w:val="es-419"/>
              </w:rPr>
              <w:t xml:space="preserve">Tarea n.º 44 – Apoyar las revisiones necesarias de la Norma ST.26 de la OMPI </w:t>
            </w:r>
          </w:p>
        </w:tc>
        <w:tc>
          <w:tcPr>
            <w:tcW w:w="2824" w:type="dxa"/>
            <w:shd w:val="clear" w:color="auto" w:fill="auto"/>
            <w:noWrap/>
            <w:vAlign w:val="center"/>
            <w:hideMark/>
          </w:tcPr>
          <w:p w14:paraId="7CBA006C" w14:textId="77777777" w:rsidR="00BA28DF" w:rsidRPr="00492144" w:rsidRDefault="00BA28DF" w:rsidP="00021241">
            <w:pPr>
              <w:spacing w:after="240"/>
              <w:jc w:val="right"/>
              <w:rPr>
                <w:rFonts w:eastAsia="Times New Roman"/>
                <w:color w:val="000000"/>
                <w:sz w:val="20"/>
                <w:lang w:val="es-419"/>
              </w:rPr>
            </w:pPr>
            <w:r w:rsidRPr="00492144">
              <w:rPr>
                <w:color w:val="000000"/>
                <w:sz w:val="20"/>
                <w:lang w:val="es-419"/>
              </w:rPr>
              <w:t>11</w:t>
            </w:r>
          </w:p>
        </w:tc>
      </w:tr>
      <w:tr w:rsidR="00BA28DF" w:rsidRPr="00492144" w14:paraId="41566033" w14:textId="77777777" w:rsidTr="00E67567">
        <w:trPr>
          <w:trHeight w:val="315"/>
        </w:trPr>
        <w:tc>
          <w:tcPr>
            <w:tcW w:w="6511" w:type="dxa"/>
            <w:shd w:val="clear" w:color="auto" w:fill="auto"/>
            <w:noWrap/>
            <w:vAlign w:val="center"/>
            <w:hideMark/>
          </w:tcPr>
          <w:p w14:paraId="090C5567" w14:textId="77777777" w:rsidR="00BA28DF" w:rsidRPr="00492144" w:rsidRDefault="00BA28DF" w:rsidP="00021241">
            <w:pPr>
              <w:spacing w:after="240"/>
              <w:rPr>
                <w:rFonts w:eastAsia="Times New Roman"/>
                <w:color w:val="000000"/>
                <w:sz w:val="20"/>
                <w:lang w:val="es-419"/>
              </w:rPr>
            </w:pPr>
            <w:r w:rsidRPr="00492144">
              <w:rPr>
                <w:color w:val="000000"/>
                <w:sz w:val="20"/>
                <w:lang w:val="es-419"/>
              </w:rPr>
              <w:t xml:space="preserve">Tarea n.º 66 – Presentar o publicar los ficheros de referencia de patentes de conformidad con la Norma ST.37 de la OMPI </w:t>
            </w:r>
          </w:p>
        </w:tc>
        <w:tc>
          <w:tcPr>
            <w:tcW w:w="2824" w:type="dxa"/>
            <w:shd w:val="clear" w:color="auto" w:fill="auto"/>
            <w:noWrap/>
            <w:vAlign w:val="center"/>
            <w:hideMark/>
          </w:tcPr>
          <w:p w14:paraId="39350039" w14:textId="77777777" w:rsidR="00BA28DF" w:rsidRPr="00492144" w:rsidRDefault="00BA28DF" w:rsidP="00021241">
            <w:pPr>
              <w:spacing w:after="240"/>
              <w:jc w:val="right"/>
              <w:rPr>
                <w:rFonts w:eastAsia="Times New Roman"/>
                <w:color w:val="000000"/>
                <w:sz w:val="20"/>
                <w:lang w:val="es-419"/>
              </w:rPr>
            </w:pPr>
            <w:r w:rsidRPr="00492144">
              <w:rPr>
                <w:color w:val="000000"/>
                <w:sz w:val="20"/>
                <w:lang w:val="es-419"/>
              </w:rPr>
              <w:t>11</w:t>
            </w:r>
          </w:p>
        </w:tc>
      </w:tr>
      <w:tr w:rsidR="00BA28DF" w:rsidRPr="00492144" w14:paraId="4B846693" w14:textId="77777777" w:rsidTr="00E67567">
        <w:trPr>
          <w:trHeight w:val="315"/>
        </w:trPr>
        <w:tc>
          <w:tcPr>
            <w:tcW w:w="6511" w:type="dxa"/>
            <w:shd w:val="clear" w:color="auto" w:fill="auto"/>
            <w:noWrap/>
            <w:vAlign w:val="center"/>
            <w:hideMark/>
          </w:tcPr>
          <w:p w14:paraId="29B56809" w14:textId="77777777" w:rsidR="00BA28DF" w:rsidRPr="00492144" w:rsidRDefault="00BA28DF" w:rsidP="00021241">
            <w:pPr>
              <w:spacing w:after="240"/>
              <w:rPr>
                <w:rFonts w:eastAsia="Times New Roman"/>
                <w:color w:val="000000"/>
                <w:sz w:val="20"/>
                <w:lang w:val="es-419"/>
              </w:rPr>
            </w:pPr>
            <w:r w:rsidRPr="00492144">
              <w:rPr>
                <w:color w:val="000000"/>
                <w:sz w:val="20"/>
                <w:lang w:val="es-419"/>
              </w:rPr>
              <w:lastRenderedPageBreak/>
              <w:t xml:space="preserve">Tarea n.º 47 – Apoyar las revisiones necesarias de las Normas ST.27, ST.61 y/o ST.87 de la OMPI </w:t>
            </w:r>
          </w:p>
        </w:tc>
        <w:tc>
          <w:tcPr>
            <w:tcW w:w="2824" w:type="dxa"/>
            <w:shd w:val="clear" w:color="auto" w:fill="auto"/>
            <w:noWrap/>
            <w:vAlign w:val="center"/>
            <w:hideMark/>
          </w:tcPr>
          <w:p w14:paraId="2F64DD23" w14:textId="77777777" w:rsidR="00BA28DF" w:rsidRPr="00492144" w:rsidRDefault="00BA28DF" w:rsidP="00021241">
            <w:pPr>
              <w:spacing w:after="240"/>
              <w:jc w:val="right"/>
              <w:rPr>
                <w:rFonts w:eastAsia="Times New Roman"/>
                <w:color w:val="000000"/>
                <w:sz w:val="20"/>
                <w:lang w:val="es-419"/>
              </w:rPr>
            </w:pPr>
            <w:r w:rsidRPr="00492144">
              <w:rPr>
                <w:color w:val="000000"/>
                <w:sz w:val="20"/>
                <w:lang w:val="es-419"/>
              </w:rPr>
              <w:t>9</w:t>
            </w:r>
          </w:p>
        </w:tc>
      </w:tr>
      <w:tr w:rsidR="00BA28DF" w:rsidRPr="00492144" w14:paraId="28FD10F6" w14:textId="77777777" w:rsidTr="00E67567">
        <w:trPr>
          <w:trHeight w:val="315"/>
        </w:trPr>
        <w:tc>
          <w:tcPr>
            <w:tcW w:w="6511" w:type="dxa"/>
            <w:shd w:val="clear" w:color="auto" w:fill="auto"/>
            <w:noWrap/>
            <w:vAlign w:val="center"/>
            <w:hideMark/>
          </w:tcPr>
          <w:p w14:paraId="315FED98" w14:textId="77777777" w:rsidR="00BA28DF" w:rsidRPr="00492144" w:rsidRDefault="00BA28DF" w:rsidP="00021241">
            <w:pPr>
              <w:spacing w:after="240"/>
              <w:rPr>
                <w:rFonts w:eastAsia="Times New Roman"/>
                <w:color w:val="000000"/>
                <w:sz w:val="20"/>
                <w:lang w:val="es-419"/>
              </w:rPr>
            </w:pPr>
            <w:r w:rsidRPr="00492144">
              <w:rPr>
                <w:color w:val="000000"/>
                <w:sz w:val="20"/>
                <w:lang w:val="es-419"/>
              </w:rPr>
              <w:t xml:space="preserve">Tarea n.º 56 – Promover y aplicar la Norma ST.90 de la OMPI </w:t>
            </w:r>
          </w:p>
        </w:tc>
        <w:tc>
          <w:tcPr>
            <w:tcW w:w="2824" w:type="dxa"/>
            <w:shd w:val="clear" w:color="auto" w:fill="auto"/>
            <w:noWrap/>
            <w:vAlign w:val="center"/>
            <w:hideMark/>
          </w:tcPr>
          <w:p w14:paraId="482AB20A" w14:textId="77777777" w:rsidR="00BA28DF" w:rsidRPr="00492144" w:rsidRDefault="00BA28DF" w:rsidP="00021241">
            <w:pPr>
              <w:spacing w:after="240"/>
              <w:jc w:val="right"/>
              <w:rPr>
                <w:rFonts w:eastAsia="Times New Roman"/>
                <w:color w:val="000000"/>
                <w:sz w:val="20"/>
                <w:lang w:val="es-419"/>
              </w:rPr>
            </w:pPr>
            <w:r w:rsidRPr="00492144">
              <w:rPr>
                <w:color w:val="000000"/>
                <w:sz w:val="20"/>
                <w:lang w:val="es-419"/>
              </w:rPr>
              <w:t>9</w:t>
            </w:r>
          </w:p>
        </w:tc>
      </w:tr>
      <w:tr w:rsidR="00BA28DF" w:rsidRPr="00492144" w14:paraId="28383977" w14:textId="77777777" w:rsidTr="00E67567">
        <w:trPr>
          <w:trHeight w:val="315"/>
        </w:trPr>
        <w:tc>
          <w:tcPr>
            <w:tcW w:w="6511" w:type="dxa"/>
            <w:shd w:val="clear" w:color="auto" w:fill="auto"/>
            <w:noWrap/>
            <w:vAlign w:val="center"/>
            <w:hideMark/>
          </w:tcPr>
          <w:p w14:paraId="0F80735A" w14:textId="77777777" w:rsidR="00BA28DF" w:rsidRPr="00492144" w:rsidRDefault="00BA28DF" w:rsidP="00021241">
            <w:pPr>
              <w:spacing w:after="240"/>
              <w:rPr>
                <w:rFonts w:eastAsia="Times New Roman"/>
                <w:color w:val="000000"/>
                <w:sz w:val="20"/>
                <w:lang w:val="es-419"/>
              </w:rPr>
            </w:pPr>
            <w:r w:rsidRPr="00492144">
              <w:rPr>
                <w:color w:val="000000"/>
                <w:sz w:val="20"/>
                <w:lang w:val="es-419"/>
              </w:rPr>
              <w:t xml:space="preserve">Tarea n.º 41 – Aplicar la Norma ST.96 de la OMPI (cualquier componente) </w:t>
            </w:r>
          </w:p>
        </w:tc>
        <w:tc>
          <w:tcPr>
            <w:tcW w:w="2824" w:type="dxa"/>
            <w:shd w:val="clear" w:color="auto" w:fill="auto"/>
            <w:noWrap/>
            <w:vAlign w:val="center"/>
            <w:hideMark/>
          </w:tcPr>
          <w:p w14:paraId="4DD61032" w14:textId="77777777" w:rsidR="00BA28DF" w:rsidRPr="00492144" w:rsidRDefault="00BA28DF" w:rsidP="00021241">
            <w:pPr>
              <w:spacing w:after="240"/>
              <w:jc w:val="right"/>
              <w:rPr>
                <w:rFonts w:eastAsia="Times New Roman"/>
                <w:color w:val="000000"/>
                <w:sz w:val="20"/>
                <w:lang w:val="es-419"/>
              </w:rPr>
            </w:pPr>
            <w:r w:rsidRPr="00492144">
              <w:rPr>
                <w:color w:val="000000"/>
                <w:sz w:val="20"/>
                <w:lang w:val="es-419"/>
              </w:rPr>
              <w:t>8</w:t>
            </w:r>
          </w:p>
        </w:tc>
      </w:tr>
      <w:tr w:rsidR="00BA28DF" w:rsidRPr="00492144" w14:paraId="03CECADE" w14:textId="77777777" w:rsidTr="00E67567">
        <w:trPr>
          <w:trHeight w:val="315"/>
        </w:trPr>
        <w:tc>
          <w:tcPr>
            <w:tcW w:w="6511" w:type="dxa"/>
            <w:shd w:val="clear" w:color="auto" w:fill="auto"/>
            <w:noWrap/>
            <w:vAlign w:val="center"/>
            <w:hideMark/>
          </w:tcPr>
          <w:p w14:paraId="100141E8" w14:textId="77777777" w:rsidR="00BA28DF" w:rsidRPr="00492144" w:rsidRDefault="00BA28DF" w:rsidP="00021241">
            <w:pPr>
              <w:spacing w:after="240"/>
              <w:rPr>
                <w:rFonts w:eastAsia="Times New Roman"/>
                <w:color w:val="000000"/>
                <w:sz w:val="20"/>
                <w:lang w:val="es-419"/>
              </w:rPr>
            </w:pPr>
            <w:r w:rsidRPr="00492144">
              <w:rPr>
                <w:color w:val="000000"/>
                <w:sz w:val="20"/>
                <w:lang w:val="es-419"/>
              </w:rPr>
              <w:t xml:space="preserve">Tarea n.º 44 – Apoyar a la Oficina Internacional en la actualización de conjunto de programas de WIPO Sequence </w:t>
            </w:r>
          </w:p>
        </w:tc>
        <w:tc>
          <w:tcPr>
            <w:tcW w:w="2824" w:type="dxa"/>
            <w:shd w:val="clear" w:color="auto" w:fill="auto"/>
            <w:noWrap/>
            <w:vAlign w:val="center"/>
            <w:hideMark/>
          </w:tcPr>
          <w:p w14:paraId="1B4A1330" w14:textId="77777777" w:rsidR="00BA28DF" w:rsidRPr="00492144" w:rsidRDefault="00BA28DF" w:rsidP="00021241">
            <w:pPr>
              <w:spacing w:after="240"/>
              <w:jc w:val="right"/>
              <w:rPr>
                <w:rFonts w:eastAsia="Times New Roman"/>
                <w:color w:val="000000"/>
                <w:sz w:val="20"/>
                <w:lang w:val="es-419"/>
              </w:rPr>
            </w:pPr>
            <w:r w:rsidRPr="00492144">
              <w:rPr>
                <w:color w:val="000000"/>
                <w:sz w:val="20"/>
                <w:lang w:val="es-419"/>
              </w:rPr>
              <w:t>8</w:t>
            </w:r>
          </w:p>
        </w:tc>
      </w:tr>
      <w:tr w:rsidR="00BA28DF" w:rsidRPr="00492144" w14:paraId="5437A455" w14:textId="77777777" w:rsidTr="00E67567">
        <w:trPr>
          <w:trHeight w:val="315"/>
        </w:trPr>
        <w:tc>
          <w:tcPr>
            <w:tcW w:w="6511" w:type="dxa"/>
            <w:shd w:val="clear" w:color="auto" w:fill="auto"/>
            <w:noWrap/>
            <w:vAlign w:val="center"/>
            <w:hideMark/>
          </w:tcPr>
          <w:p w14:paraId="2F49637E" w14:textId="77777777" w:rsidR="00BA28DF" w:rsidRPr="00492144" w:rsidRDefault="00BA28DF" w:rsidP="00021241">
            <w:pPr>
              <w:spacing w:after="240"/>
              <w:rPr>
                <w:rFonts w:eastAsia="Times New Roman"/>
                <w:color w:val="000000"/>
                <w:sz w:val="20"/>
                <w:lang w:val="es-419"/>
              </w:rPr>
            </w:pPr>
            <w:r w:rsidRPr="00492144">
              <w:rPr>
                <w:color w:val="000000"/>
                <w:sz w:val="20"/>
                <w:lang w:val="es-419"/>
              </w:rPr>
              <w:t xml:space="preserve">Tarea n.º 24 – Presentar informes técnicos anuales sobre las actividades relativas a patentes, marcas y dibujos y modelos industriales </w:t>
            </w:r>
          </w:p>
        </w:tc>
        <w:tc>
          <w:tcPr>
            <w:tcW w:w="2824" w:type="dxa"/>
            <w:shd w:val="clear" w:color="auto" w:fill="auto"/>
            <w:noWrap/>
            <w:vAlign w:val="center"/>
            <w:hideMark/>
          </w:tcPr>
          <w:p w14:paraId="2D7A9F22" w14:textId="77777777" w:rsidR="00BA28DF" w:rsidRPr="00492144" w:rsidRDefault="00BA28DF" w:rsidP="00021241">
            <w:pPr>
              <w:spacing w:after="240"/>
              <w:jc w:val="right"/>
              <w:rPr>
                <w:rFonts w:eastAsia="Times New Roman"/>
                <w:color w:val="000000"/>
                <w:sz w:val="20"/>
                <w:lang w:val="es-419"/>
              </w:rPr>
            </w:pPr>
            <w:r w:rsidRPr="00492144">
              <w:rPr>
                <w:color w:val="000000"/>
                <w:sz w:val="20"/>
                <w:lang w:val="es-419"/>
              </w:rPr>
              <w:t>7</w:t>
            </w:r>
          </w:p>
        </w:tc>
      </w:tr>
      <w:tr w:rsidR="00BA28DF" w:rsidRPr="00492144" w14:paraId="3E228FEF" w14:textId="77777777" w:rsidTr="00E67567">
        <w:trPr>
          <w:trHeight w:val="315"/>
        </w:trPr>
        <w:tc>
          <w:tcPr>
            <w:tcW w:w="6511" w:type="dxa"/>
            <w:shd w:val="clear" w:color="auto" w:fill="auto"/>
            <w:noWrap/>
            <w:vAlign w:val="center"/>
            <w:hideMark/>
          </w:tcPr>
          <w:p w14:paraId="75A82791" w14:textId="77777777" w:rsidR="00BA28DF" w:rsidRPr="00492144" w:rsidRDefault="00BA28DF" w:rsidP="00021241">
            <w:pPr>
              <w:spacing w:after="240"/>
              <w:rPr>
                <w:rFonts w:eastAsia="Times New Roman"/>
                <w:color w:val="000000"/>
                <w:sz w:val="20"/>
                <w:lang w:val="es-419"/>
              </w:rPr>
            </w:pPr>
            <w:r w:rsidRPr="00492144">
              <w:rPr>
                <w:color w:val="000000"/>
                <w:sz w:val="20"/>
                <w:lang w:val="es-419"/>
              </w:rPr>
              <w:t xml:space="preserve">Tarea n.º 47 – Aplicar las Normas ST.27, ST.61 o ST.87 de la OMPI </w:t>
            </w:r>
          </w:p>
        </w:tc>
        <w:tc>
          <w:tcPr>
            <w:tcW w:w="2824" w:type="dxa"/>
            <w:shd w:val="clear" w:color="auto" w:fill="auto"/>
            <w:noWrap/>
            <w:vAlign w:val="center"/>
            <w:hideMark/>
          </w:tcPr>
          <w:p w14:paraId="4F02EBF2" w14:textId="77777777" w:rsidR="00BA28DF" w:rsidRPr="00492144" w:rsidRDefault="00BA28DF" w:rsidP="00021241">
            <w:pPr>
              <w:spacing w:after="240"/>
              <w:jc w:val="right"/>
              <w:rPr>
                <w:rFonts w:eastAsia="Times New Roman"/>
                <w:color w:val="000000"/>
                <w:sz w:val="20"/>
                <w:lang w:val="es-419"/>
              </w:rPr>
            </w:pPr>
            <w:r w:rsidRPr="00492144">
              <w:rPr>
                <w:color w:val="000000"/>
                <w:sz w:val="20"/>
                <w:lang w:val="es-419"/>
              </w:rPr>
              <w:t>7</w:t>
            </w:r>
          </w:p>
        </w:tc>
      </w:tr>
      <w:tr w:rsidR="00BA28DF" w:rsidRPr="00492144" w14:paraId="29B3A748" w14:textId="77777777" w:rsidTr="00E67567">
        <w:trPr>
          <w:trHeight w:val="315"/>
        </w:trPr>
        <w:tc>
          <w:tcPr>
            <w:tcW w:w="6511" w:type="dxa"/>
            <w:shd w:val="clear" w:color="auto" w:fill="auto"/>
            <w:noWrap/>
            <w:vAlign w:val="center"/>
            <w:hideMark/>
          </w:tcPr>
          <w:p w14:paraId="4EF8A8AD" w14:textId="77777777" w:rsidR="00BA28DF" w:rsidRPr="00492144" w:rsidRDefault="00BA28DF" w:rsidP="00021241">
            <w:pPr>
              <w:spacing w:after="240"/>
              <w:rPr>
                <w:rFonts w:eastAsia="Times New Roman"/>
                <w:color w:val="000000"/>
                <w:sz w:val="20"/>
                <w:lang w:val="es-419"/>
              </w:rPr>
            </w:pPr>
            <w:r w:rsidRPr="00492144">
              <w:rPr>
                <w:color w:val="000000"/>
                <w:sz w:val="20"/>
                <w:lang w:val="es-419"/>
              </w:rPr>
              <w:t xml:space="preserve">Tarea n.º 56 – Apoyar las revisiones necesarias de las Norma ST.90 de la OMPI </w:t>
            </w:r>
          </w:p>
        </w:tc>
        <w:tc>
          <w:tcPr>
            <w:tcW w:w="2824" w:type="dxa"/>
            <w:shd w:val="clear" w:color="auto" w:fill="auto"/>
            <w:noWrap/>
            <w:vAlign w:val="center"/>
            <w:hideMark/>
          </w:tcPr>
          <w:p w14:paraId="346BE16B" w14:textId="77777777" w:rsidR="00BA28DF" w:rsidRPr="00492144" w:rsidRDefault="00BA28DF" w:rsidP="00021241">
            <w:pPr>
              <w:spacing w:after="240"/>
              <w:jc w:val="right"/>
              <w:rPr>
                <w:rFonts w:eastAsia="Times New Roman"/>
                <w:color w:val="000000"/>
                <w:sz w:val="20"/>
                <w:lang w:val="es-419"/>
              </w:rPr>
            </w:pPr>
            <w:r w:rsidRPr="00492144">
              <w:rPr>
                <w:color w:val="000000"/>
                <w:sz w:val="20"/>
                <w:lang w:val="es-419"/>
              </w:rPr>
              <w:t>7</w:t>
            </w:r>
          </w:p>
        </w:tc>
      </w:tr>
      <w:tr w:rsidR="00BA28DF" w:rsidRPr="00492144" w14:paraId="73932EC8" w14:textId="77777777" w:rsidTr="00E67567">
        <w:trPr>
          <w:trHeight w:val="315"/>
        </w:trPr>
        <w:tc>
          <w:tcPr>
            <w:tcW w:w="6511" w:type="dxa"/>
            <w:shd w:val="clear" w:color="auto" w:fill="auto"/>
            <w:noWrap/>
            <w:vAlign w:val="center"/>
            <w:hideMark/>
          </w:tcPr>
          <w:p w14:paraId="6C252DBA" w14:textId="77777777" w:rsidR="00BA28DF" w:rsidRPr="00492144" w:rsidRDefault="00BA28DF" w:rsidP="00021241">
            <w:pPr>
              <w:spacing w:after="240"/>
              <w:rPr>
                <w:rFonts w:eastAsia="Times New Roman"/>
                <w:color w:val="000000"/>
                <w:sz w:val="20"/>
                <w:lang w:val="es-419"/>
              </w:rPr>
            </w:pPr>
            <w:r w:rsidRPr="00492144">
              <w:rPr>
                <w:color w:val="000000"/>
                <w:sz w:val="20"/>
                <w:lang w:val="es-419"/>
              </w:rPr>
              <w:t xml:space="preserve">Tarea n.º 56 – Apoyar la elaboración y el mantenimiento del catálogo de API para la PI </w:t>
            </w:r>
          </w:p>
        </w:tc>
        <w:tc>
          <w:tcPr>
            <w:tcW w:w="2824" w:type="dxa"/>
            <w:shd w:val="clear" w:color="auto" w:fill="auto"/>
            <w:noWrap/>
            <w:vAlign w:val="center"/>
            <w:hideMark/>
          </w:tcPr>
          <w:p w14:paraId="695817BA" w14:textId="77777777" w:rsidR="00BA28DF" w:rsidRPr="00492144" w:rsidRDefault="00BA28DF" w:rsidP="00021241">
            <w:pPr>
              <w:spacing w:after="240"/>
              <w:jc w:val="right"/>
              <w:rPr>
                <w:rFonts w:eastAsia="Times New Roman"/>
                <w:color w:val="000000"/>
                <w:sz w:val="20"/>
                <w:lang w:val="es-419"/>
              </w:rPr>
            </w:pPr>
            <w:r w:rsidRPr="00492144">
              <w:rPr>
                <w:color w:val="000000"/>
                <w:sz w:val="20"/>
                <w:lang w:val="es-419"/>
              </w:rPr>
              <w:t>7</w:t>
            </w:r>
          </w:p>
        </w:tc>
      </w:tr>
      <w:tr w:rsidR="00BA28DF" w:rsidRPr="00492144" w14:paraId="477DB0D7" w14:textId="77777777" w:rsidTr="00E67567">
        <w:trPr>
          <w:trHeight w:val="315"/>
        </w:trPr>
        <w:tc>
          <w:tcPr>
            <w:tcW w:w="6511" w:type="dxa"/>
            <w:shd w:val="clear" w:color="auto" w:fill="auto"/>
            <w:noWrap/>
            <w:vAlign w:val="center"/>
            <w:hideMark/>
          </w:tcPr>
          <w:p w14:paraId="7076A44B" w14:textId="77777777" w:rsidR="00BA28DF" w:rsidRPr="00492144" w:rsidRDefault="00BA28DF" w:rsidP="00021241">
            <w:pPr>
              <w:spacing w:after="240"/>
              <w:rPr>
                <w:rFonts w:eastAsia="Times New Roman"/>
                <w:color w:val="000000"/>
                <w:sz w:val="20"/>
                <w:lang w:val="es-419"/>
              </w:rPr>
            </w:pPr>
            <w:r w:rsidRPr="00492144">
              <w:rPr>
                <w:color w:val="000000"/>
                <w:sz w:val="20"/>
                <w:lang w:val="es-419"/>
              </w:rPr>
              <w:t xml:space="preserve">Tarea n.º 62 – Apoyar la preparación de una propuesta de recomendación sobre una especificación de requisitos comunes relativa a un convertidor de DOCX a XML (DOCX2XML) </w:t>
            </w:r>
          </w:p>
        </w:tc>
        <w:tc>
          <w:tcPr>
            <w:tcW w:w="2824" w:type="dxa"/>
            <w:shd w:val="clear" w:color="auto" w:fill="auto"/>
            <w:noWrap/>
            <w:vAlign w:val="center"/>
            <w:hideMark/>
          </w:tcPr>
          <w:p w14:paraId="1289B1FB" w14:textId="77777777" w:rsidR="00BA28DF" w:rsidRPr="00492144" w:rsidRDefault="00BA28DF" w:rsidP="00021241">
            <w:pPr>
              <w:spacing w:after="240"/>
              <w:jc w:val="right"/>
              <w:rPr>
                <w:rFonts w:eastAsia="Times New Roman"/>
                <w:color w:val="000000"/>
                <w:sz w:val="20"/>
                <w:lang w:val="es-419"/>
              </w:rPr>
            </w:pPr>
            <w:r w:rsidRPr="00492144">
              <w:rPr>
                <w:color w:val="000000"/>
                <w:sz w:val="20"/>
                <w:lang w:val="es-419"/>
              </w:rPr>
              <w:t>7</w:t>
            </w:r>
          </w:p>
        </w:tc>
      </w:tr>
      <w:tr w:rsidR="00BA28DF" w:rsidRPr="00492144" w14:paraId="09688BD0" w14:textId="77777777" w:rsidTr="00E67567">
        <w:trPr>
          <w:trHeight w:val="315"/>
        </w:trPr>
        <w:tc>
          <w:tcPr>
            <w:tcW w:w="6511" w:type="dxa"/>
            <w:shd w:val="clear" w:color="auto" w:fill="auto"/>
            <w:noWrap/>
            <w:vAlign w:val="center"/>
            <w:hideMark/>
          </w:tcPr>
          <w:p w14:paraId="3BF60CF6" w14:textId="77777777" w:rsidR="00BA28DF" w:rsidRPr="00492144" w:rsidRDefault="00BA28DF" w:rsidP="00021241">
            <w:pPr>
              <w:spacing w:after="240"/>
              <w:rPr>
                <w:rFonts w:eastAsia="Times New Roman"/>
                <w:color w:val="000000"/>
                <w:sz w:val="20"/>
                <w:lang w:val="es-419"/>
              </w:rPr>
            </w:pPr>
            <w:r w:rsidRPr="00492144">
              <w:rPr>
                <w:color w:val="000000"/>
                <w:sz w:val="20"/>
                <w:lang w:val="es-419"/>
              </w:rPr>
              <w:t xml:space="preserve">Tarea n.º 58 – Apoyar la preparación de una propuesta relativa a un conjunto de diez recomendaciones en materia de TIC y gestión de la PI </w:t>
            </w:r>
          </w:p>
        </w:tc>
        <w:tc>
          <w:tcPr>
            <w:tcW w:w="2824" w:type="dxa"/>
            <w:shd w:val="clear" w:color="auto" w:fill="auto"/>
            <w:noWrap/>
            <w:vAlign w:val="center"/>
            <w:hideMark/>
          </w:tcPr>
          <w:p w14:paraId="695BFF93" w14:textId="77777777" w:rsidR="00BA28DF" w:rsidRPr="00492144" w:rsidRDefault="00BA28DF" w:rsidP="00021241">
            <w:pPr>
              <w:spacing w:after="240"/>
              <w:jc w:val="right"/>
              <w:rPr>
                <w:rFonts w:eastAsia="Times New Roman"/>
                <w:color w:val="000000"/>
                <w:sz w:val="20"/>
                <w:lang w:val="es-419"/>
              </w:rPr>
            </w:pPr>
            <w:r w:rsidRPr="00492144">
              <w:rPr>
                <w:color w:val="000000"/>
                <w:sz w:val="20"/>
                <w:lang w:val="es-419"/>
              </w:rPr>
              <w:t>6</w:t>
            </w:r>
          </w:p>
        </w:tc>
      </w:tr>
      <w:tr w:rsidR="00BA28DF" w:rsidRPr="00492144" w14:paraId="60BDE54A" w14:textId="77777777" w:rsidTr="00E67567">
        <w:trPr>
          <w:trHeight w:val="315"/>
        </w:trPr>
        <w:tc>
          <w:tcPr>
            <w:tcW w:w="6511" w:type="dxa"/>
            <w:shd w:val="clear" w:color="auto" w:fill="auto"/>
            <w:noWrap/>
            <w:vAlign w:val="center"/>
            <w:hideMark/>
          </w:tcPr>
          <w:p w14:paraId="0AC86323" w14:textId="77777777" w:rsidR="00BA28DF" w:rsidRPr="00492144" w:rsidRDefault="00BA28DF" w:rsidP="00021241">
            <w:pPr>
              <w:spacing w:after="240"/>
              <w:rPr>
                <w:rFonts w:eastAsia="Times New Roman"/>
                <w:color w:val="000000"/>
                <w:sz w:val="20"/>
                <w:lang w:val="es-419"/>
              </w:rPr>
            </w:pPr>
            <w:r w:rsidRPr="00492144">
              <w:rPr>
                <w:color w:val="000000"/>
                <w:sz w:val="20"/>
                <w:lang w:val="es-419"/>
              </w:rPr>
              <w:t xml:space="preserve">Tarea n.º 59 – Apoyar la preparación de una propuesta de nueva norma técnica de la OMPI que apoye la posible aplicación de la tecnología de la cadena de bloques en el ecosistema de la PI </w:t>
            </w:r>
          </w:p>
        </w:tc>
        <w:tc>
          <w:tcPr>
            <w:tcW w:w="2824" w:type="dxa"/>
            <w:shd w:val="clear" w:color="auto" w:fill="auto"/>
            <w:noWrap/>
            <w:vAlign w:val="center"/>
            <w:hideMark/>
          </w:tcPr>
          <w:p w14:paraId="448FEE83" w14:textId="77777777" w:rsidR="00BA28DF" w:rsidRPr="00492144" w:rsidRDefault="00BA28DF" w:rsidP="00021241">
            <w:pPr>
              <w:spacing w:after="240"/>
              <w:jc w:val="right"/>
              <w:rPr>
                <w:rFonts w:eastAsia="Times New Roman"/>
                <w:color w:val="000000"/>
                <w:sz w:val="20"/>
                <w:lang w:val="es-419"/>
              </w:rPr>
            </w:pPr>
            <w:r w:rsidRPr="00492144">
              <w:rPr>
                <w:color w:val="000000"/>
                <w:sz w:val="20"/>
                <w:lang w:val="es-419"/>
              </w:rPr>
              <w:t>5</w:t>
            </w:r>
          </w:p>
        </w:tc>
      </w:tr>
      <w:tr w:rsidR="00BA28DF" w:rsidRPr="00492144" w14:paraId="2DE021FA" w14:textId="77777777" w:rsidTr="00E67567">
        <w:trPr>
          <w:trHeight w:val="315"/>
        </w:trPr>
        <w:tc>
          <w:tcPr>
            <w:tcW w:w="6511" w:type="dxa"/>
            <w:shd w:val="clear" w:color="auto" w:fill="auto"/>
            <w:noWrap/>
            <w:vAlign w:val="center"/>
            <w:hideMark/>
          </w:tcPr>
          <w:p w14:paraId="70122F95" w14:textId="77777777" w:rsidR="00BA28DF" w:rsidRPr="00492144" w:rsidRDefault="00BA28DF" w:rsidP="00021241">
            <w:pPr>
              <w:spacing w:after="240"/>
              <w:rPr>
                <w:rFonts w:eastAsia="Times New Roman"/>
                <w:color w:val="000000"/>
                <w:sz w:val="20"/>
                <w:lang w:val="es-419"/>
              </w:rPr>
            </w:pPr>
            <w:r w:rsidRPr="00492144">
              <w:rPr>
                <w:color w:val="000000"/>
                <w:sz w:val="20"/>
                <w:lang w:val="es-419"/>
              </w:rPr>
              <w:t xml:space="preserve">Tarea n.º 55 – Apoyar la preparación de una propuesta relativa a una nueva norma técnica de la OMPI en materia de depuración de los datos de los nombres </w:t>
            </w:r>
          </w:p>
        </w:tc>
        <w:tc>
          <w:tcPr>
            <w:tcW w:w="2824" w:type="dxa"/>
            <w:shd w:val="clear" w:color="auto" w:fill="auto"/>
            <w:noWrap/>
            <w:vAlign w:val="center"/>
            <w:hideMark/>
          </w:tcPr>
          <w:p w14:paraId="04B84FF5" w14:textId="77777777" w:rsidR="00BA28DF" w:rsidRPr="00492144" w:rsidRDefault="00BA28DF" w:rsidP="00021241">
            <w:pPr>
              <w:spacing w:after="240"/>
              <w:jc w:val="right"/>
              <w:rPr>
                <w:rFonts w:eastAsia="Times New Roman"/>
                <w:color w:val="000000"/>
                <w:sz w:val="20"/>
                <w:lang w:val="es-419"/>
              </w:rPr>
            </w:pPr>
            <w:r w:rsidRPr="00492144">
              <w:rPr>
                <w:color w:val="000000"/>
                <w:sz w:val="20"/>
                <w:lang w:val="es-419"/>
              </w:rPr>
              <w:t>4</w:t>
            </w:r>
          </w:p>
        </w:tc>
      </w:tr>
      <w:tr w:rsidR="00BA28DF" w:rsidRPr="00492144" w14:paraId="28D9B32C" w14:textId="77777777" w:rsidTr="00E67567">
        <w:trPr>
          <w:trHeight w:val="315"/>
        </w:trPr>
        <w:tc>
          <w:tcPr>
            <w:tcW w:w="6511" w:type="dxa"/>
            <w:shd w:val="clear" w:color="auto" w:fill="auto"/>
            <w:noWrap/>
            <w:vAlign w:val="center"/>
            <w:hideMark/>
          </w:tcPr>
          <w:p w14:paraId="0A844199" w14:textId="77777777" w:rsidR="00BA28DF" w:rsidRPr="00492144" w:rsidRDefault="00BA28DF" w:rsidP="00021241">
            <w:pPr>
              <w:spacing w:after="240"/>
              <w:rPr>
                <w:rFonts w:eastAsia="Times New Roman"/>
                <w:color w:val="000000"/>
                <w:sz w:val="20"/>
                <w:lang w:val="es-419"/>
              </w:rPr>
            </w:pPr>
            <w:r w:rsidRPr="00492144">
              <w:rPr>
                <w:color w:val="000000"/>
                <w:sz w:val="20"/>
                <w:lang w:val="es-419"/>
              </w:rPr>
              <w:t xml:space="preserve">Tarea n.º 64 – Apoyar las revisiones necesarias de la Norma ST.97 de la OMPI y la aplicación de la Norma </w:t>
            </w:r>
          </w:p>
        </w:tc>
        <w:tc>
          <w:tcPr>
            <w:tcW w:w="2824" w:type="dxa"/>
            <w:shd w:val="clear" w:color="auto" w:fill="auto"/>
            <w:noWrap/>
            <w:vAlign w:val="center"/>
            <w:hideMark/>
          </w:tcPr>
          <w:p w14:paraId="0ED552E4" w14:textId="77777777" w:rsidR="00BA28DF" w:rsidRPr="00492144" w:rsidRDefault="00BA28DF" w:rsidP="00021241">
            <w:pPr>
              <w:spacing w:after="240"/>
              <w:jc w:val="right"/>
              <w:rPr>
                <w:rFonts w:eastAsia="Times New Roman"/>
                <w:color w:val="000000"/>
                <w:sz w:val="20"/>
                <w:lang w:val="es-419"/>
              </w:rPr>
            </w:pPr>
            <w:r w:rsidRPr="00492144">
              <w:rPr>
                <w:color w:val="000000"/>
                <w:sz w:val="20"/>
                <w:lang w:val="es-419"/>
              </w:rPr>
              <w:t>5</w:t>
            </w:r>
          </w:p>
        </w:tc>
      </w:tr>
      <w:tr w:rsidR="00BA28DF" w:rsidRPr="00492144" w14:paraId="6C6DE286" w14:textId="77777777" w:rsidTr="00E67567">
        <w:trPr>
          <w:trHeight w:val="315"/>
        </w:trPr>
        <w:tc>
          <w:tcPr>
            <w:tcW w:w="6511" w:type="dxa"/>
            <w:shd w:val="clear" w:color="auto" w:fill="auto"/>
            <w:noWrap/>
            <w:vAlign w:val="center"/>
            <w:hideMark/>
          </w:tcPr>
          <w:p w14:paraId="42BB5741" w14:textId="77777777" w:rsidR="00BA28DF" w:rsidRPr="00492144" w:rsidRDefault="00BA28DF" w:rsidP="00021241">
            <w:pPr>
              <w:spacing w:after="240"/>
              <w:rPr>
                <w:rFonts w:eastAsia="Times New Roman"/>
                <w:color w:val="000000"/>
                <w:sz w:val="20"/>
                <w:lang w:val="es-419"/>
              </w:rPr>
            </w:pPr>
            <w:r w:rsidRPr="00492144">
              <w:rPr>
                <w:color w:val="000000"/>
                <w:sz w:val="20"/>
                <w:lang w:val="es-419"/>
              </w:rPr>
              <w:t xml:space="preserve">Tarea n.º 65 – Aplicar la nueva Norma ST.92 de la OMPI </w:t>
            </w:r>
          </w:p>
        </w:tc>
        <w:tc>
          <w:tcPr>
            <w:tcW w:w="2824" w:type="dxa"/>
            <w:shd w:val="clear" w:color="auto" w:fill="auto"/>
            <w:noWrap/>
            <w:vAlign w:val="center"/>
            <w:hideMark/>
          </w:tcPr>
          <w:p w14:paraId="280F4244" w14:textId="77777777" w:rsidR="00BA28DF" w:rsidRPr="00492144" w:rsidRDefault="00BA28DF" w:rsidP="00021241">
            <w:pPr>
              <w:spacing w:after="240"/>
              <w:jc w:val="right"/>
              <w:rPr>
                <w:rFonts w:eastAsia="Times New Roman"/>
                <w:color w:val="000000"/>
                <w:sz w:val="20"/>
                <w:lang w:val="es-419"/>
              </w:rPr>
            </w:pPr>
            <w:r w:rsidRPr="00492144">
              <w:rPr>
                <w:color w:val="000000"/>
                <w:sz w:val="20"/>
                <w:lang w:val="es-419"/>
              </w:rPr>
              <w:t>5</w:t>
            </w:r>
          </w:p>
        </w:tc>
      </w:tr>
      <w:tr w:rsidR="00BA28DF" w:rsidRPr="00492144" w14:paraId="511AAE42" w14:textId="77777777" w:rsidTr="00E67567">
        <w:trPr>
          <w:trHeight w:val="315"/>
        </w:trPr>
        <w:tc>
          <w:tcPr>
            <w:tcW w:w="6511" w:type="dxa"/>
            <w:shd w:val="clear" w:color="auto" w:fill="auto"/>
            <w:noWrap/>
            <w:vAlign w:val="center"/>
            <w:hideMark/>
          </w:tcPr>
          <w:p w14:paraId="4E9814E2" w14:textId="77777777" w:rsidR="00BA28DF" w:rsidRPr="00492144" w:rsidRDefault="00BA28DF" w:rsidP="00021241">
            <w:pPr>
              <w:spacing w:after="240"/>
              <w:rPr>
                <w:rFonts w:eastAsia="Times New Roman"/>
                <w:color w:val="000000"/>
                <w:sz w:val="20"/>
                <w:lang w:val="es-419"/>
              </w:rPr>
            </w:pPr>
            <w:r w:rsidRPr="00492144">
              <w:rPr>
                <w:color w:val="000000"/>
                <w:sz w:val="20"/>
                <w:lang w:val="es-419"/>
              </w:rPr>
              <w:t xml:space="preserve">Tarea n.º 61 – Apoyar las revisiones necesarias de la Norma ST.91 de la OMPI </w:t>
            </w:r>
          </w:p>
        </w:tc>
        <w:tc>
          <w:tcPr>
            <w:tcW w:w="2824" w:type="dxa"/>
            <w:shd w:val="clear" w:color="auto" w:fill="auto"/>
            <w:noWrap/>
            <w:vAlign w:val="center"/>
            <w:hideMark/>
          </w:tcPr>
          <w:p w14:paraId="3B65F2A6" w14:textId="77777777" w:rsidR="00BA28DF" w:rsidRPr="00492144" w:rsidRDefault="00BA28DF" w:rsidP="00021241">
            <w:pPr>
              <w:spacing w:after="240"/>
              <w:jc w:val="right"/>
              <w:rPr>
                <w:rFonts w:eastAsia="Times New Roman"/>
                <w:color w:val="000000"/>
                <w:sz w:val="20"/>
                <w:lang w:val="es-419"/>
              </w:rPr>
            </w:pPr>
            <w:r w:rsidRPr="00492144">
              <w:rPr>
                <w:color w:val="000000"/>
                <w:sz w:val="20"/>
                <w:lang w:val="es-419"/>
              </w:rPr>
              <w:t>4</w:t>
            </w:r>
          </w:p>
        </w:tc>
      </w:tr>
      <w:tr w:rsidR="00BA28DF" w:rsidRPr="00492144" w14:paraId="7FACA3B1" w14:textId="77777777" w:rsidTr="00E67567">
        <w:trPr>
          <w:trHeight w:val="315"/>
        </w:trPr>
        <w:tc>
          <w:tcPr>
            <w:tcW w:w="6511" w:type="dxa"/>
            <w:shd w:val="clear" w:color="auto" w:fill="auto"/>
            <w:noWrap/>
            <w:vAlign w:val="center"/>
            <w:hideMark/>
          </w:tcPr>
          <w:p w14:paraId="079BFFA8" w14:textId="77777777" w:rsidR="00BA28DF" w:rsidRPr="00492144" w:rsidRDefault="00BA28DF" w:rsidP="00021241">
            <w:pPr>
              <w:spacing w:after="240"/>
              <w:rPr>
                <w:rFonts w:eastAsia="Times New Roman"/>
                <w:color w:val="000000"/>
                <w:sz w:val="20"/>
                <w:lang w:val="es-419"/>
              </w:rPr>
            </w:pPr>
            <w:r w:rsidRPr="00492144">
              <w:rPr>
                <w:color w:val="000000"/>
                <w:sz w:val="20"/>
                <w:lang w:val="es-419"/>
              </w:rPr>
              <w:t xml:space="preserve">Tarea n.º 65 – Apoyar la elaboración de una nueva norma técnica de la OMPI relativa a un paquete de datos de documentos de prioridad (Norma ST.92 de la OMPI) </w:t>
            </w:r>
          </w:p>
        </w:tc>
        <w:tc>
          <w:tcPr>
            <w:tcW w:w="2824" w:type="dxa"/>
            <w:shd w:val="clear" w:color="auto" w:fill="auto"/>
            <w:noWrap/>
            <w:vAlign w:val="center"/>
            <w:hideMark/>
          </w:tcPr>
          <w:p w14:paraId="06AB962B" w14:textId="77777777" w:rsidR="00BA28DF" w:rsidRPr="00492144" w:rsidRDefault="00BA28DF" w:rsidP="00021241">
            <w:pPr>
              <w:spacing w:after="240"/>
              <w:jc w:val="right"/>
              <w:rPr>
                <w:rFonts w:eastAsia="Times New Roman"/>
                <w:color w:val="000000"/>
                <w:sz w:val="20"/>
                <w:lang w:val="es-419"/>
              </w:rPr>
            </w:pPr>
            <w:r w:rsidRPr="00492144">
              <w:rPr>
                <w:color w:val="000000"/>
                <w:sz w:val="20"/>
                <w:lang w:val="es-419"/>
              </w:rPr>
              <w:t>4</w:t>
            </w:r>
          </w:p>
        </w:tc>
      </w:tr>
      <w:tr w:rsidR="00BA28DF" w:rsidRPr="00492144" w14:paraId="67FB3473" w14:textId="77777777" w:rsidTr="00E67567">
        <w:trPr>
          <w:trHeight w:val="315"/>
        </w:trPr>
        <w:tc>
          <w:tcPr>
            <w:tcW w:w="6511" w:type="dxa"/>
            <w:shd w:val="clear" w:color="auto" w:fill="auto"/>
            <w:noWrap/>
            <w:vAlign w:val="center"/>
            <w:hideMark/>
          </w:tcPr>
          <w:p w14:paraId="1D10C6B9" w14:textId="77777777" w:rsidR="00BA28DF" w:rsidRPr="00492144" w:rsidRDefault="00BA28DF" w:rsidP="00021241">
            <w:pPr>
              <w:spacing w:after="240"/>
              <w:rPr>
                <w:rFonts w:eastAsia="Times New Roman"/>
                <w:color w:val="000000"/>
                <w:sz w:val="20"/>
                <w:lang w:val="es-419"/>
              </w:rPr>
            </w:pPr>
            <w:r w:rsidRPr="00492144">
              <w:rPr>
                <w:color w:val="000000"/>
                <w:sz w:val="20"/>
                <w:lang w:val="es-419"/>
              </w:rPr>
              <w:t xml:space="preserve">Tarea n.º 50 – Apoyar el mantenimiento y la actualización de los estudios publicados en la parte 7 del Manual de la OMPI </w:t>
            </w:r>
          </w:p>
        </w:tc>
        <w:tc>
          <w:tcPr>
            <w:tcW w:w="2824" w:type="dxa"/>
            <w:shd w:val="clear" w:color="auto" w:fill="auto"/>
            <w:noWrap/>
            <w:vAlign w:val="center"/>
            <w:hideMark/>
          </w:tcPr>
          <w:p w14:paraId="27A45FC8" w14:textId="77777777" w:rsidR="00BA28DF" w:rsidRPr="00492144" w:rsidRDefault="00BA28DF" w:rsidP="00021241">
            <w:pPr>
              <w:spacing w:after="240"/>
              <w:jc w:val="right"/>
              <w:rPr>
                <w:rFonts w:eastAsia="Times New Roman"/>
                <w:color w:val="000000"/>
                <w:sz w:val="20"/>
                <w:lang w:val="es-419"/>
              </w:rPr>
            </w:pPr>
            <w:r w:rsidRPr="00492144">
              <w:rPr>
                <w:color w:val="000000"/>
                <w:sz w:val="20"/>
                <w:lang w:val="es-419"/>
              </w:rPr>
              <w:t>2</w:t>
            </w:r>
          </w:p>
        </w:tc>
      </w:tr>
      <w:tr w:rsidR="00BA28DF" w:rsidRPr="00492144" w14:paraId="7617F5A8" w14:textId="77777777" w:rsidTr="00E67567">
        <w:trPr>
          <w:trHeight w:val="315"/>
        </w:trPr>
        <w:tc>
          <w:tcPr>
            <w:tcW w:w="6511" w:type="dxa"/>
            <w:shd w:val="clear" w:color="auto" w:fill="auto"/>
            <w:noWrap/>
            <w:vAlign w:val="center"/>
            <w:hideMark/>
          </w:tcPr>
          <w:p w14:paraId="2B1813D8" w14:textId="77777777" w:rsidR="00BA28DF" w:rsidRPr="00492144" w:rsidRDefault="00BA28DF" w:rsidP="00021241">
            <w:pPr>
              <w:spacing w:after="240"/>
              <w:rPr>
                <w:rFonts w:eastAsia="Times New Roman"/>
                <w:color w:val="000000"/>
                <w:sz w:val="20"/>
                <w:lang w:val="es-419"/>
              </w:rPr>
            </w:pPr>
            <w:r w:rsidRPr="00492144">
              <w:rPr>
                <w:color w:val="000000"/>
                <w:sz w:val="20"/>
                <w:lang w:val="es-419"/>
              </w:rPr>
              <w:t xml:space="preserve">Tarea n.º 61 – Aplicar la Norma ST.91 de la OMPI </w:t>
            </w:r>
          </w:p>
        </w:tc>
        <w:tc>
          <w:tcPr>
            <w:tcW w:w="2824" w:type="dxa"/>
            <w:shd w:val="clear" w:color="auto" w:fill="auto"/>
            <w:noWrap/>
            <w:vAlign w:val="center"/>
            <w:hideMark/>
          </w:tcPr>
          <w:p w14:paraId="55BE06CE" w14:textId="77777777" w:rsidR="00BA28DF" w:rsidRPr="00492144" w:rsidRDefault="00BA28DF" w:rsidP="00021241">
            <w:pPr>
              <w:spacing w:after="240"/>
              <w:jc w:val="right"/>
              <w:rPr>
                <w:rFonts w:eastAsia="Times New Roman"/>
                <w:color w:val="000000"/>
                <w:sz w:val="20"/>
                <w:lang w:val="es-419"/>
              </w:rPr>
            </w:pPr>
            <w:r w:rsidRPr="00492144">
              <w:rPr>
                <w:color w:val="000000"/>
                <w:sz w:val="20"/>
                <w:lang w:val="es-419"/>
              </w:rPr>
              <w:t>3</w:t>
            </w:r>
          </w:p>
        </w:tc>
      </w:tr>
      <w:tr w:rsidR="00BA28DF" w:rsidRPr="00492144" w14:paraId="21174D47" w14:textId="77777777" w:rsidTr="00E67567">
        <w:trPr>
          <w:trHeight w:val="315"/>
        </w:trPr>
        <w:tc>
          <w:tcPr>
            <w:tcW w:w="6511" w:type="dxa"/>
            <w:shd w:val="clear" w:color="auto" w:fill="auto"/>
            <w:noWrap/>
            <w:vAlign w:val="center"/>
            <w:hideMark/>
          </w:tcPr>
          <w:p w14:paraId="103832A8" w14:textId="77777777" w:rsidR="00BA28DF" w:rsidRPr="00492144" w:rsidRDefault="00BA28DF" w:rsidP="00021241">
            <w:pPr>
              <w:spacing w:after="240"/>
              <w:rPr>
                <w:rFonts w:eastAsia="Times New Roman"/>
                <w:color w:val="000000"/>
                <w:sz w:val="20"/>
                <w:lang w:val="es-419"/>
              </w:rPr>
            </w:pPr>
            <w:r w:rsidRPr="00492144">
              <w:rPr>
                <w:color w:val="000000"/>
                <w:sz w:val="20"/>
                <w:lang w:val="es-419"/>
              </w:rPr>
              <w:lastRenderedPageBreak/>
              <w:t xml:space="preserve">Tarea n.º 62 – Apoyar la preparación de una propuesta de revisión de las normas técnicas de la OMPI desarrolladas para los documentos y los procesos institucionales plasmados en papel o en imágenes </w:t>
            </w:r>
          </w:p>
        </w:tc>
        <w:tc>
          <w:tcPr>
            <w:tcW w:w="2824" w:type="dxa"/>
            <w:shd w:val="clear" w:color="auto" w:fill="auto"/>
            <w:noWrap/>
            <w:vAlign w:val="center"/>
            <w:hideMark/>
          </w:tcPr>
          <w:p w14:paraId="56FC1DFD" w14:textId="77777777" w:rsidR="00BA28DF" w:rsidRPr="00492144" w:rsidRDefault="00BA28DF" w:rsidP="00021241">
            <w:pPr>
              <w:spacing w:after="240"/>
              <w:jc w:val="right"/>
              <w:rPr>
                <w:rFonts w:eastAsia="Times New Roman"/>
                <w:color w:val="000000"/>
                <w:sz w:val="20"/>
                <w:lang w:val="es-419"/>
              </w:rPr>
            </w:pPr>
            <w:r w:rsidRPr="00492144">
              <w:rPr>
                <w:color w:val="000000"/>
                <w:sz w:val="20"/>
                <w:lang w:val="es-419"/>
              </w:rPr>
              <w:t>2</w:t>
            </w:r>
          </w:p>
        </w:tc>
      </w:tr>
      <w:tr w:rsidR="00BA28DF" w:rsidRPr="00492144" w14:paraId="08EDECC6" w14:textId="77777777" w:rsidTr="00E67567">
        <w:trPr>
          <w:trHeight w:val="315"/>
        </w:trPr>
        <w:tc>
          <w:tcPr>
            <w:tcW w:w="6511" w:type="dxa"/>
            <w:shd w:val="clear" w:color="auto" w:fill="auto"/>
            <w:noWrap/>
            <w:vAlign w:val="center"/>
            <w:hideMark/>
          </w:tcPr>
          <w:p w14:paraId="15FC5285" w14:textId="77777777" w:rsidR="00BA28DF" w:rsidRPr="00492144" w:rsidRDefault="00BA28DF" w:rsidP="00021241">
            <w:pPr>
              <w:spacing w:after="240"/>
              <w:rPr>
                <w:rFonts w:eastAsia="Times New Roman"/>
                <w:color w:val="000000"/>
                <w:sz w:val="20"/>
                <w:lang w:val="es-419"/>
              </w:rPr>
            </w:pPr>
            <w:r w:rsidRPr="00492144">
              <w:rPr>
                <w:color w:val="000000"/>
                <w:sz w:val="20"/>
                <w:lang w:val="es-419"/>
              </w:rPr>
              <w:t xml:space="preserve">Tarea n.º 52 – Apoyar la preparación de una propuesta de actualización de la parte 6.1 del Manual de la OMPI </w:t>
            </w:r>
          </w:p>
        </w:tc>
        <w:tc>
          <w:tcPr>
            <w:tcW w:w="2824" w:type="dxa"/>
            <w:shd w:val="clear" w:color="auto" w:fill="auto"/>
            <w:noWrap/>
            <w:vAlign w:val="center"/>
            <w:hideMark/>
          </w:tcPr>
          <w:p w14:paraId="0BF674DD" w14:textId="77777777" w:rsidR="00BA28DF" w:rsidRPr="00492144" w:rsidRDefault="00BA28DF" w:rsidP="00021241">
            <w:pPr>
              <w:spacing w:after="240"/>
              <w:jc w:val="right"/>
              <w:rPr>
                <w:rFonts w:eastAsia="Times New Roman"/>
                <w:color w:val="000000"/>
                <w:sz w:val="20"/>
                <w:lang w:val="es-419"/>
              </w:rPr>
            </w:pPr>
            <w:r w:rsidRPr="00492144">
              <w:rPr>
                <w:color w:val="000000"/>
                <w:sz w:val="20"/>
                <w:lang w:val="es-419"/>
              </w:rPr>
              <w:t>1</w:t>
            </w:r>
          </w:p>
        </w:tc>
      </w:tr>
      <w:tr w:rsidR="00BA28DF" w:rsidRPr="00492144" w14:paraId="12C6C814" w14:textId="77777777" w:rsidTr="00E67567">
        <w:trPr>
          <w:trHeight w:val="315"/>
        </w:trPr>
        <w:tc>
          <w:tcPr>
            <w:tcW w:w="6511" w:type="dxa"/>
            <w:shd w:val="clear" w:color="auto" w:fill="auto"/>
            <w:noWrap/>
            <w:vAlign w:val="center"/>
            <w:hideMark/>
          </w:tcPr>
          <w:p w14:paraId="2AA11B08" w14:textId="77777777" w:rsidR="00BA28DF" w:rsidRPr="00492144" w:rsidRDefault="00BA28DF" w:rsidP="00021241">
            <w:pPr>
              <w:spacing w:after="240"/>
              <w:rPr>
                <w:rFonts w:eastAsia="Times New Roman"/>
                <w:color w:val="000000"/>
                <w:sz w:val="20"/>
                <w:lang w:val="es-419"/>
              </w:rPr>
            </w:pPr>
            <w:r w:rsidRPr="00492144">
              <w:rPr>
                <w:color w:val="000000"/>
                <w:sz w:val="20"/>
                <w:lang w:val="es-419"/>
              </w:rPr>
              <w:t xml:space="preserve">Tarea n.º 63 – Apoyar la preparación de una propuesta relativa a las representaciones visuales de los datos XML, sobre la base de las normas XML de la OMPI, para su publicación electrónica  </w:t>
            </w:r>
          </w:p>
        </w:tc>
        <w:tc>
          <w:tcPr>
            <w:tcW w:w="2824" w:type="dxa"/>
            <w:shd w:val="clear" w:color="auto" w:fill="auto"/>
            <w:noWrap/>
            <w:vAlign w:val="center"/>
            <w:hideMark/>
          </w:tcPr>
          <w:p w14:paraId="0196D71B" w14:textId="77777777" w:rsidR="00BA28DF" w:rsidRPr="00492144" w:rsidRDefault="00BA28DF" w:rsidP="00021241">
            <w:pPr>
              <w:spacing w:after="240"/>
              <w:jc w:val="right"/>
              <w:rPr>
                <w:rFonts w:eastAsia="Times New Roman"/>
                <w:color w:val="000000"/>
                <w:sz w:val="20"/>
                <w:lang w:val="es-419"/>
              </w:rPr>
            </w:pPr>
            <w:r w:rsidRPr="00492144">
              <w:rPr>
                <w:color w:val="000000"/>
                <w:sz w:val="20"/>
                <w:lang w:val="es-419"/>
              </w:rPr>
              <w:t>1</w:t>
            </w:r>
          </w:p>
        </w:tc>
      </w:tr>
    </w:tbl>
    <w:p w14:paraId="6EF6739E" w14:textId="77777777" w:rsidR="00BA28DF" w:rsidRPr="00492144" w:rsidRDefault="00BA28DF" w:rsidP="00492144">
      <w:pPr>
        <w:pStyle w:val="ONUMFS"/>
        <w:numPr>
          <w:ilvl w:val="0"/>
          <w:numId w:val="0"/>
        </w:numPr>
        <w:rPr>
          <w:lang w:val="es-419"/>
        </w:rPr>
      </w:pPr>
    </w:p>
    <w:p w14:paraId="7FBE5D42" w14:textId="74D23234" w:rsidR="00BA28DF" w:rsidRPr="00492144" w:rsidRDefault="00BA28DF" w:rsidP="00492144">
      <w:pPr>
        <w:pStyle w:val="ONUMFS"/>
        <w:rPr>
          <w:lang w:val="es-419"/>
        </w:rPr>
      </w:pPr>
      <w:r w:rsidRPr="00492144">
        <w:rPr>
          <w:lang w:val="es-419"/>
        </w:rPr>
        <w:t>Las respuestas a las otras tres actividades relacionadas con el CWS e incluidas en el cuestionario fueron las siguientes:</w:t>
      </w:r>
    </w:p>
    <w:tbl>
      <w:tblPr>
        <w:tblW w:w="9355" w:type="dxa"/>
        <w:tblLook w:val="04A0" w:firstRow="1" w:lastRow="0" w:firstColumn="1" w:lastColumn="0" w:noHBand="0" w:noVBand="1"/>
      </w:tblPr>
      <w:tblGrid>
        <w:gridCol w:w="6516"/>
        <w:gridCol w:w="2839"/>
      </w:tblGrid>
      <w:tr w:rsidR="00BA28DF" w:rsidRPr="00492144" w14:paraId="7B31F8F9" w14:textId="77777777" w:rsidTr="00492144">
        <w:trPr>
          <w:trHeight w:val="255"/>
        </w:trPr>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50CA1F1" w14:textId="77777777" w:rsidR="00BA28DF" w:rsidRPr="00492144" w:rsidRDefault="00BA28DF" w:rsidP="00021241">
            <w:pPr>
              <w:rPr>
                <w:rFonts w:eastAsia="Times New Roman"/>
                <w:b/>
                <w:bCs/>
                <w:szCs w:val="22"/>
                <w:lang w:val="es-419"/>
              </w:rPr>
            </w:pPr>
            <w:r w:rsidRPr="00492144">
              <w:rPr>
                <w:b/>
                <w:lang w:val="es-419"/>
              </w:rPr>
              <w:t>Actividad relacionada con el CWS</w:t>
            </w:r>
          </w:p>
        </w:tc>
        <w:tc>
          <w:tcPr>
            <w:tcW w:w="283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0AD62DC" w14:textId="77777777" w:rsidR="00BA28DF" w:rsidRPr="00492144" w:rsidRDefault="00BA28DF" w:rsidP="00021241">
            <w:pPr>
              <w:rPr>
                <w:rFonts w:eastAsia="Times New Roman"/>
                <w:b/>
                <w:bCs/>
                <w:szCs w:val="22"/>
                <w:lang w:val="es-419"/>
              </w:rPr>
            </w:pPr>
            <w:r w:rsidRPr="00492144">
              <w:rPr>
                <w:b/>
                <w:lang w:val="es-419"/>
              </w:rPr>
              <w:t>Número de Oficinas que la consideran prioritaria</w:t>
            </w:r>
          </w:p>
          <w:p w14:paraId="66B65043" w14:textId="77777777" w:rsidR="00BA28DF" w:rsidRPr="00492144" w:rsidRDefault="00BA28DF" w:rsidP="00021241">
            <w:pPr>
              <w:rPr>
                <w:rFonts w:eastAsia="Times New Roman"/>
                <w:b/>
                <w:bCs/>
                <w:szCs w:val="22"/>
                <w:lang w:val="es-419"/>
              </w:rPr>
            </w:pPr>
          </w:p>
        </w:tc>
      </w:tr>
      <w:tr w:rsidR="00BA28DF" w:rsidRPr="00492144" w14:paraId="01EEBD39" w14:textId="77777777" w:rsidTr="00492144">
        <w:trPr>
          <w:trHeight w:val="255"/>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29521B" w14:textId="77777777" w:rsidR="00BA28DF" w:rsidRPr="00492144" w:rsidRDefault="00BA28DF" w:rsidP="00021241">
            <w:pPr>
              <w:spacing w:after="240"/>
              <w:rPr>
                <w:rFonts w:eastAsia="Times New Roman"/>
                <w:sz w:val="20"/>
                <w:lang w:val="es-419"/>
              </w:rPr>
            </w:pPr>
            <w:r w:rsidRPr="00492144">
              <w:rPr>
                <w:sz w:val="20"/>
                <w:lang w:val="es-419"/>
              </w:rPr>
              <w:t xml:space="preserve">Intercambiar datos de PI con otras Oficinas </w:t>
            </w:r>
          </w:p>
        </w:tc>
        <w:tc>
          <w:tcPr>
            <w:tcW w:w="2839" w:type="dxa"/>
            <w:tcBorders>
              <w:top w:val="single" w:sz="4" w:space="0" w:color="auto"/>
              <w:left w:val="nil"/>
              <w:bottom w:val="single" w:sz="4" w:space="0" w:color="auto"/>
              <w:right w:val="single" w:sz="4" w:space="0" w:color="auto"/>
            </w:tcBorders>
            <w:shd w:val="clear" w:color="auto" w:fill="auto"/>
            <w:noWrap/>
            <w:vAlign w:val="bottom"/>
          </w:tcPr>
          <w:p w14:paraId="173FB425" w14:textId="77777777" w:rsidR="00BA28DF" w:rsidRPr="00492144" w:rsidRDefault="00BA28DF" w:rsidP="00021241">
            <w:pPr>
              <w:spacing w:after="240"/>
              <w:jc w:val="right"/>
              <w:rPr>
                <w:rFonts w:eastAsia="Times New Roman"/>
                <w:sz w:val="20"/>
                <w:lang w:val="es-419"/>
              </w:rPr>
            </w:pPr>
            <w:r w:rsidRPr="00492144">
              <w:rPr>
                <w:sz w:val="20"/>
                <w:lang w:val="es-419"/>
              </w:rPr>
              <w:t>13</w:t>
            </w:r>
          </w:p>
        </w:tc>
      </w:tr>
      <w:tr w:rsidR="00BA28DF" w:rsidRPr="00492144" w14:paraId="2071105E" w14:textId="77777777" w:rsidTr="00492144">
        <w:trPr>
          <w:trHeight w:val="255"/>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DD5A6" w14:textId="77777777" w:rsidR="00BA28DF" w:rsidRPr="00492144" w:rsidRDefault="00BA28DF" w:rsidP="00021241">
            <w:pPr>
              <w:spacing w:after="240"/>
              <w:rPr>
                <w:rFonts w:eastAsia="Times New Roman"/>
                <w:sz w:val="20"/>
                <w:lang w:val="es-419"/>
              </w:rPr>
            </w:pPr>
            <w:r w:rsidRPr="00492144">
              <w:rPr>
                <w:sz w:val="20"/>
                <w:lang w:val="es-419"/>
              </w:rPr>
              <w:t xml:space="preserve">Participar en cursos de formación sobre las normas técnicas de la OMPI o sobre productos como el conjunto de programas de WIPO Sequence </w:t>
            </w:r>
          </w:p>
        </w:tc>
        <w:tc>
          <w:tcPr>
            <w:tcW w:w="2839" w:type="dxa"/>
            <w:tcBorders>
              <w:top w:val="single" w:sz="4" w:space="0" w:color="auto"/>
              <w:left w:val="nil"/>
              <w:bottom w:val="single" w:sz="4" w:space="0" w:color="auto"/>
              <w:right w:val="single" w:sz="4" w:space="0" w:color="auto"/>
            </w:tcBorders>
            <w:shd w:val="clear" w:color="auto" w:fill="auto"/>
            <w:noWrap/>
            <w:vAlign w:val="bottom"/>
            <w:hideMark/>
          </w:tcPr>
          <w:p w14:paraId="5F5A2602" w14:textId="77777777" w:rsidR="00BA28DF" w:rsidRPr="00492144" w:rsidRDefault="00BA28DF" w:rsidP="00021241">
            <w:pPr>
              <w:spacing w:after="240"/>
              <w:jc w:val="right"/>
              <w:rPr>
                <w:rFonts w:eastAsia="Times New Roman"/>
                <w:sz w:val="20"/>
                <w:lang w:val="es-419"/>
              </w:rPr>
            </w:pPr>
            <w:r w:rsidRPr="00492144">
              <w:rPr>
                <w:sz w:val="20"/>
                <w:lang w:val="es-419"/>
              </w:rPr>
              <w:t>6</w:t>
            </w:r>
          </w:p>
        </w:tc>
      </w:tr>
      <w:tr w:rsidR="00BA28DF" w:rsidRPr="00492144" w14:paraId="5E8E85A8" w14:textId="77777777" w:rsidTr="00492144">
        <w:trPr>
          <w:trHeight w:val="255"/>
        </w:trPr>
        <w:tc>
          <w:tcPr>
            <w:tcW w:w="6516" w:type="dxa"/>
            <w:tcBorders>
              <w:top w:val="nil"/>
              <w:left w:val="single" w:sz="4" w:space="0" w:color="auto"/>
              <w:bottom w:val="single" w:sz="4" w:space="0" w:color="auto"/>
              <w:right w:val="single" w:sz="4" w:space="0" w:color="auto"/>
            </w:tcBorders>
            <w:shd w:val="clear" w:color="auto" w:fill="auto"/>
            <w:noWrap/>
            <w:vAlign w:val="bottom"/>
            <w:hideMark/>
          </w:tcPr>
          <w:p w14:paraId="2C8DA05F" w14:textId="77777777" w:rsidR="00BA28DF" w:rsidRPr="00492144" w:rsidRDefault="00BA28DF" w:rsidP="00021241">
            <w:pPr>
              <w:spacing w:after="240"/>
              <w:rPr>
                <w:rFonts w:eastAsia="Times New Roman"/>
                <w:sz w:val="20"/>
                <w:lang w:val="es-419"/>
              </w:rPr>
            </w:pPr>
            <w:r w:rsidRPr="00492144">
              <w:rPr>
                <w:sz w:val="20"/>
                <w:lang w:val="es-419"/>
              </w:rPr>
              <w:t xml:space="preserve">Aplicar otras normas técnicas de la OMPI no mencionadas anteriormente </w:t>
            </w:r>
          </w:p>
        </w:tc>
        <w:tc>
          <w:tcPr>
            <w:tcW w:w="2839" w:type="dxa"/>
            <w:tcBorders>
              <w:top w:val="nil"/>
              <w:left w:val="nil"/>
              <w:bottom w:val="single" w:sz="4" w:space="0" w:color="auto"/>
              <w:right w:val="single" w:sz="4" w:space="0" w:color="auto"/>
            </w:tcBorders>
            <w:shd w:val="clear" w:color="auto" w:fill="auto"/>
            <w:noWrap/>
            <w:vAlign w:val="bottom"/>
            <w:hideMark/>
          </w:tcPr>
          <w:p w14:paraId="504E1528" w14:textId="77777777" w:rsidR="00BA28DF" w:rsidRPr="00492144" w:rsidRDefault="00BA28DF" w:rsidP="00021241">
            <w:pPr>
              <w:spacing w:after="240"/>
              <w:jc w:val="right"/>
              <w:rPr>
                <w:rFonts w:eastAsia="Times New Roman"/>
                <w:sz w:val="20"/>
                <w:lang w:val="es-419"/>
              </w:rPr>
            </w:pPr>
            <w:r w:rsidRPr="00492144">
              <w:rPr>
                <w:sz w:val="20"/>
                <w:lang w:val="es-419"/>
              </w:rPr>
              <w:t>5</w:t>
            </w:r>
          </w:p>
        </w:tc>
      </w:tr>
    </w:tbl>
    <w:p w14:paraId="1CAA6DFA" w14:textId="77777777" w:rsidR="00BA28DF" w:rsidRPr="00492144" w:rsidRDefault="00BA28DF" w:rsidP="00492144">
      <w:pPr>
        <w:pStyle w:val="ONUMFS"/>
        <w:numPr>
          <w:ilvl w:val="0"/>
          <w:numId w:val="0"/>
        </w:numPr>
        <w:rPr>
          <w:lang w:val="es-419"/>
        </w:rPr>
      </w:pPr>
    </w:p>
    <w:p w14:paraId="5149D188" w14:textId="3AF04B48" w:rsidR="00BA28DF" w:rsidRPr="00492144" w:rsidRDefault="00BA28DF" w:rsidP="00492144">
      <w:pPr>
        <w:pStyle w:val="ONUMFS"/>
        <w:rPr>
          <w:lang w:val="es-419"/>
        </w:rPr>
      </w:pPr>
      <w:r w:rsidRPr="00492144">
        <w:rPr>
          <w:lang w:val="es-419"/>
        </w:rPr>
        <w:t>Por último, 17 de las 21 Oficinas (81 %) indicaron que la encuesta simplificada responde a las preocupaciones que plantearon en la última sesión del CWS. No obstante, dos Oficinas formularon sugerencias para mejorar el cuestionario:</w:t>
      </w:r>
    </w:p>
    <w:p w14:paraId="17F833B6" w14:textId="4CCA56A5" w:rsidR="00BA28DF" w:rsidRPr="00492144" w:rsidRDefault="00BA28DF" w:rsidP="00492144">
      <w:pPr>
        <w:pStyle w:val="ONUMFS"/>
        <w:numPr>
          <w:ilvl w:val="0"/>
          <w:numId w:val="13"/>
        </w:numPr>
        <w:ind w:left="1134" w:hanging="567"/>
        <w:rPr>
          <w:lang w:val="es-419"/>
        </w:rPr>
      </w:pPr>
      <w:r w:rsidRPr="00492144">
        <w:rPr>
          <w:i/>
          <w:iCs/>
          <w:lang w:val="es-419"/>
        </w:rPr>
        <w:t>“El cuestionario plantea subtareas para las distintas tareas del CWS,</w:t>
      </w:r>
      <w:r w:rsidRPr="00492144">
        <w:rPr>
          <w:i/>
          <w:lang w:val="es-419"/>
        </w:rPr>
        <w:t xml:space="preserve">  lo que representa una mejora importante. El cuestionario carece de una clasificación u orden de las subtareas que cuentan con el apoyo de cada Oficina. </w:t>
      </w:r>
      <w:r w:rsidRPr="00492144">
        <w:rPr>
          <w:i/>
          <w:iCs/>
          <w:lang w:val="es-419"/>
        </w:rPr>
        <w:t xml:space="preserve">Esto podría ayudar a ordenar definitivamente las subtareas de mayor a menor prioridad”. </w:t>
      </w:r>
    </w:p>
    <w:p w14:paraId="27E496C6" w14:textId="77777777" w:rsidR="00BA28DF" w:rsidRPr="00492144" w:rsidRDefault="00BA28DF" w:rsidP="00492144">
      <w:pPr>
        <w:pStyle w:val="ONUMFS"/>
        <w:numPr>
          <w:ilvl w:val="0"/>
          <w:numId w:val="13"/>
        </w:numPr>
        <w:ind w:left="1134" w:hanging="567"/>
        <w:rPr>
          <w:lang w:val="es-419"/>
        </w:rPr>
      </w:pPr>
      <w:r w:rsidRPr="00492144">
        <w:rPr>
          <w:i/>
          <w:iCs/>
          <w:lang w:val="es-419"/>
        </w:rPr>
        <w:t xml:space="preserve">“[L]a encuesta supone un buen punto de partida para comprender mejor en qué ámbitos se centran las prioridades de las distintas OPI. La clave será aprovechar esta información para encontrar prioridades comunes, llegar a un consenso sobre esas prioridades fundamentales seleccionadas y lograr resultados”. </w:t>
      </w:r>
    </w:p>
    <w:p w14:paraId="0778F29D" w14:textId="77777777" w:rsidR="00BA28DF" w:rsidRPr="00492144" w:rsidRDefault="00BA28DF" w:rsidP="00BA28DF">
      <w:pPr>
        <w:pStyle w:val="Heading2"/>
        <w:keepLines/>
        <w:spacing w:after="0"/>
        <w:rPr>
          <w:lang w:val="es-419"/>
        </w:rPr>
      </w:pPr>
      <w:r w:rsidRPr="00492144">
        <w:rPr>
          <w:caps w:val="0"/>
          <w:lang w:val="es-419"/>
        </w:rPr>
        <w:t>PROPUESTA DE PASOS SIGUIENTES</w:t>
      </w:r>
    </w:p>
    <w:p w14:paraId="46002BDB" w14:textId="0141ACCC" w:rsidR="00BA28DF" w:rsidRPr="00492144" w:rsidRDefault="00BA28DF" w:rsidP="00492144">
      <w:pPr>
        <w:pStyle w:val="ONUMFS"/>
        <w:rPr>
          <w:lang w:val="es-419"/>
        </w:rPr>
      </w:pPr>
      <w:r w:rsidRPr="00492144">
        <w:rPr>
          <w:lang w:val="es-419"/>
        </w:rPr>
        <w:t>La Secretaría recuerda al CWS las preguntas que se mencionan en el párrafo 3 en relación con la priorización de las tareas, y señala que las distintas OPI parecen tener prioridades y urgencias diferentes, en función de sus respectivas agendas. Por consiguiente, la Secretaría propone que los resultados de la encuesta sobre la priorización de las tareas se utilicen únicamente a título informativo y no para orientar las prioridades del programa de trabajo del CWS. El análisis expuesto anteriormente de los resultados de la encuesta oficiosa ofrece las orientaciones que las Oficinas puedan necesitar para priorizar sus propias actividades.</w:t>
      </w:r>
    </w:p>
    <w:p w14:paraId="0F9F3A97" w14:textId="2F94AC79" w:rsidR="00BA28DF" w:rsidRPr="00492144" w:rsidRDefault="00BA28DF" w:rsidP="00492144">
      <w:pPr>
        <w:pStyle w:val="ONUMFS"/>
        <w:rPr>
          <w:lang w:val="es-419"/>
        </w:rPr>
      </w:pPr>
      <w:r w:rsidRPr="00492144">
        <w:rPr>
          <w:lang w:val="es-419"/>
        </w:rPr>
        <w:t>La Secretaría considera que los resultados de la encuesta oficiosa realizada en julio de</w:t>
      </w:r>
      <w:r w:rsidR="00492144" w:rsidRPr="00492144">
        <w:rPr>
          <w:lang w:val="es-419"/>
        </w:rPr>
        <w:t> </w:t>
      </w:r>
      <w:r w:rsidRPr="00492144">
        <w:rPr>
          <w:lang w:val="es-419"/>
        </w:rPr>
        <w:t xml:space="preserve">2024 fueron suficientes para cumplir los objetivos establecidos en las sesiones décima y </w:t>
      </w:r>
      <w:r w:rsidRPr="00492144">
        <w:rPr>
          <w:lang w:val="es-419"/>
        </w:rPr>
        <w:lastRenderedPageBreak/>
        <w:t xml:space="preserve">undécima del CWS. A este respecto, estima que no es necesario realizar una encuesta oficial sobre la priorización. Por esta razón no se presenta un cuestionario oficial para su examen en la presente sesión. La Secretaría propone que no se lleve a cabo una encuesta oficial sobre la priorización de las tareas, sino que sea el CWS quien determine la prioridad de cada tarea en el momento de definir su programa. En la presente sesión, el programa de trabajo del CWS con la lista de tareas se presenta como documento CWS/12/2. </w:t>
      </w:r>
    </w:p>
    <w:p w14:paraId="117D931E" w14:textId="7F2C7862" w:rsidR="00BA28DF" w:rsidRPr="00492144" w:rsidRDefault="00BA28DF" w:rsidP="00492144">
      <w:pPr>
        <w:pStyle w:val="ONUMFS"/>
        <w:ind w:left="5534"/>
        <w:rPr>
          <w:i/>
          <w:lang w:val="es-419"/>
        </w:rPr>
      </w:pPr>
      <w:r w:rsidRPr="00492144">
        <w:rPr>
          <w:i/>
          <w:lang w:val="es-419"/>
        </w:rPr>
        <w:t xml:space="preserve">Se invita al CWS a: </w:t>
      </w:r>
    </w:p>
    <w:p w14:paraId="1981982E" w14:textId="77777777" w:rsidR="00BA28DF" w:rsidRPr="00492144" w:rsidRDefault="00BA28DF" w:rsidP="00492144">
      <w:pPr>
        <w:pStyle w:val="BodyText"/>
        <w:tabs>
          <w:tab w:val="left" w:pos="6160"/>
          <w:tab w:val="left" w:pos="6710"/>
        </w:tabs>
        <w:spacing w:after="120"/>
        <w:ind w:left="5534"/>
        <w:rPr>
          <w:i/>
          <w:lang w:val="es-419"/>
        </w:rPr>
      </w:pPr>
      <w:r w:rsidRPr="00492144">
        <w:rPr>
          <w:i/>
          <w:lang w:val="es-419"/>
        </w:rPr>
        <w:tab/>
        <w:t>a)</w:t>
      </w:r>
      <w:r w:rsidRPr="00492144">
        <w:rPr>
          <w:i/>
          <w:lang w:val="es-419"/>
        </w:rPr>
        <w:tab/>
        <w:t>tomar nota del contenido del presente documento; y</w:t>
      </w:r>
    </w:p>
    <w:p w14:paraId="1BB7CB9E" w14:textId="77777777" w:rsidR="00BA28DF" w:rsidRPr="00492144" w:rsidRDefault="00BA28DF" w:rsidP="00492144">
      <w:pPr>
        <w:pStyle w:val="BodyText"/>
        <w:tabs>
          <w:tab w:val="left" w:pos="6160"/>
          <w:tab w:val="left" w:pos="6710"/>
        </w:tabs>
        <w:spacing w:after="120"/>
        <w:ind w:left="5534"/>
        <w:rPr>
          <w:i/>
          <w:lang w:val="es-419"/>
        </w:rPr>
      </w:pPr>
      <w:r w:rsidRPr="00492144">
        <w:rPr>
          <w:i/>
          <w:lang w:val="es-419"/>
        </w:rPr>
        <w:tab/>
        <w:t>b)</w:t>
      </w:r>
      <w:r w:rsidRPr="00492144">
        <w:rPr>
          <w:i/>
          <w:lang w:val="es-419"/>
        </w:rPr>
        <w:tab/>
        <w:t>examinar y aprobar la propuesta de pasos siguientes que se presenta en los párrafos 10 y 11.</w:t>
      </w:r>
    </w:p>
    <w:p w14:paraId="28C37C35" w14:textId="42B50391" w:rsidR="00152CEA" w:rsidRPr="00492144" w:rsidRDefault="00BA28DF" w:rsidP="00492144">
      <w:pPr>
        <w:pStyle w:val="Endofdocument-Annex"/>
        <w:spacing w:before="720"/>
        <w:rPr>
          <w:lang w:val="es-419"/>
        </w:rPr>
      </w:pPr>
      <w:r w:rsidRPr="00492144">
        <w:rPr>
          <w:lang w:val="es-419"/>
        </w:rPr>
        <w:t>[Fin del documento]</w:t>
      </w:r>
    </w:p>
    <w:sectPr w:rsidR="00152CEA" w:rsidRPr="00492144" w:rsidSect="00BA28DF">
      <w:headerReference w:type="default" r:id="rId8"/>
      <w:footerReference w:type="even" r:id="rId9"/>
      <w:footerReference w:type="default" r:id="rId10"/>
      <w:footerReference w:type="first" r:id="rId11"/>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86C9D" w14:textId="77777777" w:rsidR="00BA28DF" w:rsidRDefault="00BA28DF">
      <w:r>
        <w:separator/>
      </w:r>
    </w:p>
  </w:endnote>
  <w:endnote w:type="continuationSeparator" w:id="0">
    <w:p w14:paraId="3E609E0D" w14:textId="77777777" w:rsidR="00BA28DF" w:rsidRPr="009D30E6" w:rsidRDefault="00BA28DF" w:rsidP="007E663E">
      <w:pPr>
        <w:rPr>
          <w:sz w:val="17"/>
          <w:szCs w:val="17"/>
        </w:rPr>
      </w:pPr>
      <w:r w:rsidRPr="009D30E6">
        <w:rPr>
          <w:sz w:val="17"/>
          <w:szCs w:val="17"/>
        </w:rPr>
        <w:separator/>
      </w:r>
    </w:p>
    <w:p w14:paraId="1B9C1D6F" w14:textId="77777777" w:rsidR="00BA28DF" w:rsidRPr="007E663E" w:rsidRDefault="00BA28DF" w:rsidP="007E663E">
      <w:pPr>
        <w:spacing w:after="60"/>
        <w:rPr>
          <w:sz w:val="17"/>
          <w:szCs w:val="17"/>
        </w:rPr>
      </w:pPr>
      <w:r>
        <w:rPr>
          <w:sz w:val="17"/>
        </w:rPr>
        <w:t>[Continuación de la nota de la página anterior]</w:t>
      </w:r>
    </w:p>
  </w:endnote>
  <w:endnote w:type="continuationNotice" w:id="1">
    <w:p w14:paraId="64ABEAC4" w14:textId="77777777" w:rsidR="00BA28DF" w:rsidRPr="007E663E" w:rsidRDefault="00BA28DF"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94700" w14:textId="1615F7CE" w:rsidR="001D50D1" w:rsidRDefault="001D5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A2895" w14:textId="7BC38017" w:rsidR="001D50D1" w:rsidRDefault="001D50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AB8D6" w14:textId="04C7B04F" w:rsidR="001D50D1" w:rsidRDefault="001D5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9D2A5" w14:textId="77777777" w:rsidR="00BA28DF" w:rsidRDefault="00BA28DF">
      <w:r>
        <w:separator/>
      </w:r>
    </w:p>
  </w:footnote>
  <w:footnote w:type="continuationSeparator" w:id="0">
    <w:p w14:paraId="435A79DF" w14:textId="77777777" w:rsidR="00BA28DF" w:rsidRPr="009D30E6" w:rsidRDefault="00BA28DF" w:rsidP="007E663E">
      <w:pPr>
        <w:rPr>
          <w:sz w:val="17"/>
          <w:szCs w:val="17"/>
        </w:rPr>
      </w:pPr>
      <w:r w:rsidRPr="009D30E6">
        <w:rPr>
          <w:sz w:val="17"/>
          <w:szCs w:val="17"/>
        </w:rPr>
        <w:separator/>
      </w:r>
    </w:p>
    <w:p w14:paraId="01022A92" w14:textId="77777777" w:rsidR="00BA28DF" w:rsidRPr="007E663E" w:rsidRDefault="00BA28DF" w:rsidP="007E663E">
      <w:pPr>
        <w:spacing w:after="60"/>
        <w:rPr>
          <w:sz w:val="17"/>
          <w:szCs w:val="17"/>
        </w:rPr>
      </w:pPr>
      <w:r>
        <w:rPr>
          <w:sz w:val="17"/>
        </w:rPr>
        <w:t>[Continuación de la nota de la página anterior]</w:t>
      </w:r>
    </w:p>
  </w:footnote>
  <w:footnote w:type="continuationNotice" w:id="1">
    <w:p w14:paraId="50D38958" w14:textId="77777777" w:rsidR="00BA28DF" w:rsidRPr="007E663E" w:rsidRDefault="00BA28DF"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44834" w14:textId="77777777" w:rsidR="00F84474" w:rsidRDefault="00BA28DF" w:rsidP="00477D6B">
    <w:pPr>
      <w:jc w:val="right"/>
    </w:pPr>
    <w:bookmarkStart w:id="5" w:name="Code2"/>
    <w:bookmarkEnd w:id="5"/>
    <w:r>
      <w:t>CWS/12/3</w:t>
    </w:r>
  </w:p>
  <w:p w14:paraId="4F52D0B3"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371D4CC1" w14:textId="77777777" w:rsidR="00F84474" w:rsidRDefault="00F84474" w:rsidP="00477D6B">
    <w:pPr>
      <w:jc w:val="right"/>
    </w:pPr>
  </w:p>
  <w:p w14:paraId="7A1646E6"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F3F0F18"/>
    <w:multiLevelType w:val="multilevel"/>
    <w:tmpl w:val="1F1008BE"/>
    <w:lvl w:ilvl="0">
      <w:start w:val="1"/>
      <w:numFmt w:val="bullet"/>
      <w:lvlText w:val="­"/>
      <w:lvlJc w:val="left"/>
      <w:pPr>
        <w:tabs>
          <w:tab w:val="num" w:pos="567"/>
        </w:tabs>
        <w:ind w:left="0" w:firstLine="0"/>
      </w:pPr>
      <w:rPr>
        <w:rFonts w:ascii="Courier New" w:hAnsi="Courier New"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1E03E04"/>
    <w:multiLevelType w:val="hybridMultilevel"/>
    <w:tmpl w:val="13B0A63A"/>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CE860C6"/>
    <w:multiLevelType w:val="multilevel"/>
    <w:tmpl w:val="76C606E6"/>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BC5257"/>
    <w:multiLevelType w:val="multilevel"/>
    <w:tmpl w:val="F6408C34"/>
    <w:lvl w:ilvl="0">
      <w:start w:val="1"/>
      <w:numFmt w:val="lowerRoman"/>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53762287"/>
    <w:multiLevelType w:val="hybridMultilevel"/>
    <w:tmpl w:val="85602DEE"/>
    <w:lvl w:ilvl="0" w:tplc="602630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7987169">
    <w:abstractNumId w:val="3"/>
  </w:num>
  <w:num w:numId="2" w16cid:durableId="1368065899">
    <w:abstractNumId w:val="7"/>
  </w:num>
  <w:num w:numId="3" w16cid:durableId="1509633635">
    <w:abstractNumId w:val="0"/>
  </w:num>
  <w:num w:numId="4" w16cid:durableId="677849983">
    <w:abstractNumId w:val="8"/>
  </w:num>
  <w:num w:numId="5" w16cid:durableId="1988243437">
    <w:abstractNumId w:val="1"/>
  </w:num>
  <w:num w:numId="6" w16cid:durableId="2016496202">
    <w:abstractNumId w:val="4"/>
  </w:num>
  <w:num w:numId="7" w16cid:durableId="986861092">
    <w:abstractNumId w:val="5"/>
  </w:num>
  <w:num w:numId="8" w16cid:durableId="288173310">
    <w:abstractNumId w:val="10"/>
  </w:num>
  <w:num w:numId="9" w16cid:durableId="634287749">
    <w:abstractNumId w:val="1"/>
  </w:num>
  <w:num w:numId="10" w16cid:durableId="1349210940">
    <w:abstractNumId w:val="1"/>
  </w:num>
  <w:num w:numId="11" w16cid:durableId="377245299">
    <w:abstractNumId w:val="9"/>
  </w:num>
  <w:num w:numId="12" w16cid:durableId="1751341256">
    <w:abstractNumId w:val="6"/>
  </w:num>
  <w:num w:numId="13" w16cid:durableId="857817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8DF"/>
    <w:rsid w:val="000E3BB3"/>
    <w:rsid w:val="000E67FD"/>
    <w:rsid w:val="000F5E56"/>
    <w:rsid w:val="001362EE"/>
    <w:rsid w:val="00152CEA"/>
    <w:rsid w:val="001832A6"/>
    <w:rsid w:val="001C4DD3"/>
    <w:rsid w:val="001D50D1"/>
    <w:rsid w:val="002634C4"/>
    <w:rsid w:val="002F4E68"/>
    <w:rsid w:val="00307787"/>
    <w:rsid w:val="00354647"/>
    <w:rsid w:val="00377273"/>
    <w:rsid w:val="003845C1"/>
    <w:rsid w:val="00387287"/>
    <w:rsid w:val="003D41D4"/>
    <w:rsid w:val="00423E3E"/>
    <w:rsid w:val="00427AF4"/>
    <w:rsid w:val="0045231F"/>
    <w:rsid w:val="004647DA"/>
    <w:rsid w:val="00477D6B"/>
    <w:rsid w:val="00492144"/>
    <w:rsid w:val="004A6C37"/>
    <w:rsid w:val="004F7418"/>
    <w:rsid w:val="00511D0C"/>
    <w:rsid w:val="0055013B"/>
    <w:rsid w:val="0056224D"/>
    <w:rsid w:val="00571B99"/>
    <w:rsid w:val="005D64EC"/>
    <w:rsid w:val="00605827"/>
    <w:rsid w:val="00615B8E"/>
    <w:rsid w:val="0066216D"/>
    <w:rsid w:val="00664847"/>
    <w:rsid w:val="00675021"/>
    <w:rsid w:val="006A06C6"/>
    <w:rsid w:val="007230C4"/>
    <w:rsid w:val="007458CA"/>
    <w:rsid w:val="007A19F8"/>
    <w:rsid w:val="007E63AC"/>
    <w:rsid w:val="007E663E"/>
    <w:rsid w:val="00815082"/>
    <w:rsid w:val="00843582"/>
    <w:rsid w:val="008B14EA"/>
    <w:rsid w:val="008B2CC1"/>
    <w:rsid w:val="0090731E"/>
    <w:rsid w:val="00966A22"/>
    <w:rsid w:val="00970F3D"/>
    <w:rsid w:val="00972F03"/>
    <w:rsid w:val="009A0C8B"/>
    <w:rsid w:val="009B6241"/>
    <w:rsid w:val="00A16FC0"/>
    <w:rsid w:val="00A32C9E"/>
    <w:rsid w:val="00A7453D"/>
    <w:rsid w:val="00AB613D"/>
    <w:rsid w:val="00B65A0A"/>
    <w:rsid w:val="00B72D36"/>
    <w:rsid w:val="00BA063E"/>
    <w:rsid w:val="00BA28DF"/>
    <w:rsid w:val="00BA7137"/>
    <w:rsid w:val="00BC4164"/>
    <w:rsid w:val="00BD2DCC"/>
    <w:rsid w:val="00BE1A8C"/>
    <w:rsid w:val="00C06472"/>
    <w:rsid w:val="00C90559"/>
    <w:rsid w:val="00D36B79"/>
    <w:rsid w:val="00D40CF0"/>
    <w:rsid w:val="00D56C7C"/>
    <w:rsid w:val="00D71B4D"/>
    <w:rsid w:val="00D90289"/>
    <w:rsid w:val="00D93D55"/>
    <w:rsid w:val="00E45C84"/>
    <w:rsid w:val="00E504E5"/>
    <w:rsid w:val="00E67567"/>
    <w:rsid w:val="00E73ABF"/>
    <w:rsid w:val="00EB7A3E"/>
    <w:rsid w:val="00EC401A"/>
    <w:rsid w:val="00EF530A"/>
    <w:rsid w:val="00EF6622"/>
    <w:rsid w:val="00F305BD"/>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0265A8"/>
  <w15:docId w15:val="{4813426E-AAED-4438-9CCB-71D8423D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ONUMEChar">
    <w:name w:val="ONUM E Char"/>
    <w:link w:val="ONUME"/>
    <w:rsid w:val="00BA28DF"/>
    <w:rPr>
      <w:rFonts w:ascii="Arial" w:eastAsia="SimSun" w:hAnsi="Arial" w:cs="Arial"/>
      <w:sz w:val="22"/>
      <w:lang w:val="es-ES" w:eastAsia="zh-CN"/>
    </w:rPr>
  </w:style>
  <w:style w:type="character" w:customStyle="1" w:styleId="BodyTextChar">
    <w:name w:val="Body Text Char"/>
    <w:basedOn w:val="DefaultParagraphFont"/>
    <w:link w:val="BodyText"/>
    <w:rsid w:val="00BA28DF"/>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2%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CWS_12 (S).dotm</Template>
  <TotalTime>20</TotalTime>
  <Pages>5</Pages>
  <Words>1778</Words>
  <Characters>8889</Characters>
  <Application>Microsoft Office Word</Application>
  <DocSecurity>0</DocSecurity>
  <Lines>164</Lines>
  <Paragraphs>59</Paragraphs>
  <ScaleCrop>false</ScaleCrop>
  <HeadingPairs>
    <vt:vector size="2" baseType="variant">
      <vt:variant>
        <vt:lpstr>Title</vt:lpstr>
      </vt:variant>
      <vt:variant>
        <vt:i4>1</vt:i4>
      </vt:variant>
    </vt:vector>
  </HeadingPairs>
  <TitlesOfParts>
    <vt:vector size="1" baseType="lpstr">
      <vt:lpstr>CWS/12/</vt:lpstr>
    </vt:vector>
  </TitlesOfParts>
  <Company>WIPO</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CWS/12/3</dc:title>
  <dc:creator>WIPO</dc:creator>
  <cp:keywords>Comité de Normas Técnicas de la OMPI (CWS) Duodécima sesión</cp:keywords>
  <cp:lastModifiedBy>BLANCHET Gaspard</cp:lastModifiedBy>
  <cp:revision>4</cp:revision>
  <dcterms:created xsi:type="dcterms:W3CDTF">2024-08-19T14:28:00Z</dcterms:created>
  <dcterms:modified xsi:type="dcterms:W3CDTF">2024-08-20T09:50:00Z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2024-08-19T14:35:10Z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f8ba57e4-71fc-4848-9d85-ae4fedf59899</vt:lpwstr>
  </property>
  <property fmtid="{D5CDD505-2E9C-101B-9397-08002B2CF9AE}" pid="14" name="MSIP_Label_20773ee6-353b-4fb9-a59d-0b94c8c67bea_ContentBits">
    <vt:lpwstr>0</vt:lpwstr>
  </property>
</Properties>
</file>