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90" w:rsidRPr="00002A15" w:rsidRDefault="002A6090" w:rsidP="00F81607">
      <w:pPr>
        <w:pStyle w:val="Heading1"/>
        <w:keepNext w:val="0"/>
        <w:widowControl w:val="0"/>
        <w:rPr>
          <w:lang w:val="es-ES_tradnl"/>
        </w:rPr>
      </w:pPr>
      <w:r w:rsidRPr="00002A15">
        <w:rPr>
          <w:caps w:val="0"/>
          <w:lang w:val="es-ES_tradnl"/>
        </w:rPr>
        <w:t xml:space="preserve">PROPUESTA DE MODIFICACIONES AL PROYECTO DE NUEVA NORMA </w:t>
      </w:r>
      <w:r w:rsidR="00E110E5" w:rsidRPr="00002A15">
        <w:rPr>
          <w:caps w:val="0"/>
          <w:lang w:val="es-ES_tradnl"/>
        </w:rPr>
        <w:t>ST</w:t>
      </w:r>
      <w:r w:rsidR="009A1BEA">
        <w:rPr>
          <w:caps w:val="0"/>
          <w:lang w:val="es-ES_tradnl"/>
        </w:rPr>
        <w:t>.</w:t>
      </w:r>
      <w:r w:rsidR="00E110E5" w:rsidRPr="00002A15">
        <w:rPr>
          <w:caps w:val="0"/>
          <w:lang w:val="es-ES_tradnl"/>
        </w:rPr>
        <w:t>26</w:t>
      </w:r>
      <w:r w:rsidRPr="00002A15">
        <w:rPr>
          <w:caps w:val="0"/>
          <w:lang w:val="es-ES_tradnl"/>
        </w:rPr>
        <w:t xml:space="preserve"> DE LA OMPI</w:t>
      </w:r>
    </w:p>
    <w:p w:rsidR="002A6090" w:rsidRPr="00002A15" w:rsidRDefault="002A6090" w:rsidP="00F81607">
      <w:pPr>
        <w:widowControl w:val="0"/>
        <w:rPr>
          <w:i/>
          <w:lang w:val="es-ES_tradnl"/>
        </w:rPr>
      </w:pPr>
      <w:r w:rsidRPr="00002A15">
        <w:rPr>
          <w:i/>
          <w:lang w:val="es-ES_tradnl"/>
        </w:rPr>
        <w:t>Documento preparado por la Oficina Europea de Patentes (OEP)</w:t>
      </w:r>
    </w:p>
    <w:p w:rsidR="002A6090" w:rsidRPr="00002A15" w:rsidRDefault="002A6090" w:rsidP="00F81607">
      <w:pPr>
        <w:pStyle w:val="Heading2"/>
        <w:keepNext w:val="0"/>
        <w:widowControl w:val="0"/>
        <w:rPr>
          <w:caps w:val="0"/>
          <w:lang w:val="es-ES_tradnl"/>
        </w:rPr>
      </w:pPr>
    </w:p>
    <w:p w:rsidR="002A6090" w:rsidRPr="00002A15" w:rsidRDefault="002A6090" w:rsidP="00F81607">
      <w:pPr>
        <w:pStyle w:val="Heading2"/>
        <w:keepNext w:val="0"/>
        <w:widowControl w:val="0"/>
        <w:tabs>
          <w:tab w:val="center" w:pos="4536"/>
        </w:tabs>
      </w:pPr>
      <w:r w:rsidRPr="00002A15">
        <w:rPr>
          <w:caps w:val="0"/>
          <w:lang w:val="es-ES_tradnl"/>
        </w:rPr>
        <w:t>INTRODUCCIÓN</w:t>
      </w:r>
    </w:p>
    <w:p w:rsidR="002A6090" w:rsidRPr="00002A15" w:rsidRDefault="002A6090" w:rsidP="00F81607">
      <w:pPr>
        <w:pStyle w:val="ONUMFS"/>
        <w:rPr>
          <w:lang w:val="es-ES_tradnl"/>
        </w:rPr>
      </w:pPr>
      <w:r w:rsidRPr="00002A15">
        <w:rPr>
          <w:lang w:val="es-ES_tradnl"/>
        </w:rPr>
        <w:t xml:space="preserve">Luego de </w:t>
      </w:r>
      <w:r w:rsidR="00B335DE">
        <w:rPr>
          <w:lang w:val="es-ES_tradnl"/>
        </w:rPr>
        <w:t>someter</w:t>
      </w:r>
      <w:r w:rsidRPr="00002A15">
        <w:rPr>
          <w:lang w:val="es-ES_tradnl"/>
        </w:rPr>
        <w:t xml:space="preserve"> el </w:t>
      </w:r>
      <w:r w:rsidR="00A55D08" w:rsidRPr="00002A15">
        <w:rPr>
          <w:lang w:val="es-ES_tradnl"/>
        </w:rPr>
        <w:t>proyecto de nueva N</w:t>
      </w:r>
      <w:r w:rsidRPr="00002A15">
        <w:rPr>
          <w:lang w:val="es-ES_tradnl"/>
        </w:rPr>
        <w:t xml:space="preserve">orma </w:t>
      </w:r>
      <w:r w:rsidR="009A1BEA">
        <w:rPr>
          <w:lang w:val="es-ES_tradnl"/>
        </w:rPr>
        <w:t>ST.26 de la OMPI</w:t>
      </w:r>
      <w:r w:rsidRPr="00002A15">
        <w:rPr>
          <w:lang w:val="es-ES_tradnl"/>
        </w:rPr>
        <w:t xml:space="preserve"> </w:t>
      </w:r>
      <w:r w:rsidR="00B335DE">
        <w:rPr>
          <w:lang w:val="es-ES_tradnl"/>
        </w:rPr>
        <w:t>a examen</w:t>
      </w:r>
      <w:r w:rsidRPr="00002A15">
        <w:rPr>
          <w:lang w:val="es-ES_tradnl"/>
        </w:rPr>
        <w:t xml:space="preserve"> </w:t>
      </w:r>
      <w:r w:rsidR="00B335DE">
        <w:rPr>
          <w:lang w:val="es-ES_tradnl"/>
        </w:rPr>
        <w:t>d</w:t>
      </w:r>
      <w:r w:rsidRPr="00002A15">
        <w:rPr>
          <w:lang w:val="es-ES_tradnl"/>
        </w:rPr>
        <w:t xml:space="preserve">el CWS (véase documento CWS/4/7), un grupo de miembros del Equipo Técnico SEQL, representantes de </w:t>
      </w:r>
      <w:r w:rsidR="00E110E5" w:rsidRPr="00002A15">
        <w:rPr>
          <w:lang w:val="es-ES_tradnl"/>
        </w:rPr>
        <w:t>las Oficinas de la Cooperación Trilateral</w:t>
      </w:r>
      <w:r w:rsidRPr="00002A15">
        <w:rPr>
          <w:lang w:val="es-ES_tradnl"/>
        </w:rPr>
        <w:t xml:space="preserve">, propusieron una serie de modificaciones al cuerpo </w:t>
      </w:r>
      <w:r w:rsidR="00E110E5" w:rsidRPr="00002A15">
        <w:rPr>
          <w:lang w:val="es-ES_tradnl"/>
        </w:rPr>
        <w:t>principal</w:t>
      </w:r>
      <w:r w:rsidRPr="00002A15">
        <w:rPr>
          <w:lang w:val="es-ES_tradnl"/>
        </w:rPr>
        <w:t xml:space="preserve"> del p</w:t>
      </w:r>
      <w:r w:rsidR="00E110E5" w:rsidRPr="00002A15">
        <w:rPr>
          <w:lang w:val="es-ES_tradnl"/>
        </w:rPr>
        <w:t>royecto de nueva N</w:t>
      </w:r>
      <w:r w:rsidRPr="00002A15">
        <w:rPr>
          <w:lang w:val="es-ES_tradnl"/>
        </w:rPr>
        <w:t>orma, así como al Anexo II correspondiente.</w:t>
      </w:r>
      <w:r w:rsidR="001F7DA8" w:rsidRPr="00002A15">
        <w:rPr>
          <w:lang w:val="es-ES_tradnl"/>
        </w:rPr>
        <w:t xml:space="preserve">  </w:t>
      </w:r>
      <w:r w:rsidR="006D134A" w:rsidRPr="00002A15">
        <w:rPr>
          <w:lang w:val="es-ES_tradnl"/>
        </w:rPr>
        <w:t>A continuación se presentan las propuestas acordadas por el Equipo Técnico.</w:t>
      </w:r>
    </w:p>
    <w:p w:rsidR="00A60146" w:rsidRPr="00002A15" w:rsidRDefault="00A60146" w:rsidP="00F81607">
      <w:pPr>
        <w:pStyle w:val="ONUMFS"/>
        <w:rPr>
          <w:lang w:val="es-ES_tradnl"/>
        </w:rPr>
      </w:pPr>
      <w:r w:rsidRPr="00002A15">
        <w:rPr>
          <w:lang w:val="es-ES_tradnl"/>
        </w:rPr>
        <w:t xml:space="preserve">Los cambios que se propone introducir en el párrafo 29 del cuerpo principal tienen por objetivo </w:t>
      </w:r>
      <w:r w:rsidR="009A1BEA">
        <w:rPr>
          <w:lang w:val="es-ES_tradnl"/>
        </w:rPr>
        <w:t>permitir que los profesionales determinen</w:t>
      </w:r>
      <w:r w:rsidRPr="00002A15">
        <w:rPr>
          <w:lang w:val="es-ES_tradnl"/>
        </w:rPr>
        <w:t xml:space="preserve"> </w:t>
      </w:r>
      <w:r w:rsidR="004E09BE">
        <w:rPr>
          <w:lang w:val="es-ES_tradnl"/>
        </w:rPr>
        <w:t>más fácilmente</w:t>
      </w:r>
      <w:r w:rsidRPr="00002A15">
        <w:rPr>
          <w:lang w:val="es-ES_tradnl"/>
        </w:rPr>
        <w:t xml:space="preserve"> si un aminoácido</w:t>
      </w:r>
      <w:r w:rsidR="004E09BE">
        <w:rPr>
          <w:lang w:val="es-ES_tradnl"/>
        </w:rPr>
        <w:t xml:space="preserve"> dado</w:t>
      </w:r>
      <w:r w:rsidRPr="00002A15">
        <w:rPr>
          <w:lang w:val="es-ES_tradnl"/>
        </w:rPr>
        <w:t xml:space="preserve"> ha sido objeto de una modificación postraduccional o no.   </w:t>
      </w:r>
    </w:p>
    <w:p w:rsidR="002A6090" w:rsidRPr="00002A15" w:rsidRDefault="00966D16" w:rsidP="00F81607">
      <w:pPr>
        <w:pStyle w:val="ONUMFS"/>
        <w:rPr>
          <w:lang w:val="es-ES_tradnl"/>
        </w:rPr>
      </w:pPr>
      <w:r w:rsidRPr="00002A15">
        <w:rPr>
          <w:lang w:val="es-ES_tradnl"/>
        </w:rPr>
        <w:t>Los cambios que se propone introducir en el A</w:t>
      </w:r>
      <w:r w:rsidR="001F7DA8" w:rsidRPr="00002A15">
        <w:rPr>
          <w:lang w:val="es-ES_tradnl"/>
        </w:rPr>
        <w:t>nex</w:t>
      </w:r>
      <w:r w:rsidRPr="00002A15">
        <w:rPr>
          <w:lang w:val="es-ES_tradnl"/>
        </w:rPr>
        <w:t>o</w:t>
      </w:r>
      <w:r w:rsidR="001F7DA8" w:rsidRPr="00002A15">
        <w:rPr>
          <w:lang w:val="es-ES_tradnl"/>
        </w:rPr>
        <w:t xml:space="preserve"> II (DTD) </w:t>
      </w:r>
      <w:r w:rsidR="00234CB3" w:rsidRPr="00002A15">
        <w:rPr>
          <w:lang w:val="es-ES_tradnl"/>
        </w:rPr>
        <w:t>tienen por objetivo armonizar su contenido con el del cuerpo principal</w:t>
      </w:r>
      <w:r w:rsidR="001851E3" w:rsidRPr="00002A15">
        <w:rPr>
          <w:lang w:val="es-ES_tradnl"/>
        </w:rPr>
        <w:t xml:space="preserve"> respecto del</w:t>
      </w:r>
      <w:r w:rsidR="00234CB3" w:rsidRPr="00002A15">
        <w:rPr>
          <w:lang w:val="es-ES_tradnl"/>
        </w:rPr>
        <w:t xml:space="preserve"> </w:t>
      </w:r>
      <w:r w:rsidR="001851E3" w:rsidRPr="00002A15">
        <w:rPr>
          <w:lang w:val="es-ES_tradnl"/>
        </w:rPr>
        <w:t xml:space="preserve">elemento </w:t>
      </w:r>
      <w:r w:rsidR="004E09BE">
        <w:rPr>
          <w:lang w:val="es-ES_tradnl"/>
        </w:rPr>
        <w:t>individual de datos</w:t>
      </w:r>
      <w:r w:rsidR="001851E3" w:rsidRPr="00002A15">
        <w:rPr>
          <w:lang w:val="es-ES_tradnl"/>
        </w:rPr>
        <w:t xml:space="preserve"> </w:t>
      </w:r>
      <w:r w:rsidR="001851E3" w:rsidRPr="00002A15">
        <w:rPr>
          <w:rFonts w:ascii="Courier New" w:hAnsi="Courier New" w:cs="Courier New"/>
          <w:szCs w:val="22"/>
          <w:lang w:val="es-ES_tradnl"/>
        </w:rPr>
        <w:t>IPOfficeCode</w:t>
      </w:r>
      <w:r w:rsidR="001851E3" w:rsidRPr="00002A15">
        <w:rPr>
          <w:szCs w:val="22"/>
          <w:lang w:val="es-ES_tradnl"/>
        </w:rPr>
        <w:t>,</w:t>
      </w:r>
      <w:r w:rsidR="004E09BE">
        <w:rPr>
          <w:rFonts w:ascii="Courier New" w:hAnsi="Courier New" w:cs="Courier New"/>
          <w:szCs w:val="22"/>
          <w:lang w:val="es-ES_tradnl"/>
        </w:rPr>
        <w:t xml:space="preserve"> </w:t>
      </w:r>
      <w:r w:rsidR="001851E3" w:rsidRPr="00002A15">
        <w:rPr>
          <w:lang w:val="es-ES_tradnl"/>
        </w:rPr>
        <w:t xml:space="preserve">que era facultativo para los elementos </w:t>
      </w:r>
      <w:r w:rsidR="001F7DA8" w:rsidRPr="00002A15">
        <w:rPr>
          <w:rFonts w:ascii="Courier New" w:hAnsi="Courier New" w:cs="Courier New"/>
          <w:szCs w:val="22"/>
          <w:lang w:val="es-ES_tradnl"/>
        </w:rPr>
        <w:t>ApplicationIdentification</w:t>
      </w:r>
      <w:r w:rsidR="001F7DA8" w:rsidRPr="00002A15">
        <w:rPr>
          <w:lang w:val="es-ES_tradnl"/>
        </w:rPr>
        <w:t xml:space="preserve"> </w:t>
      </w:r>
      <w:r w:rsidR="001851E3" w:rsidRPr="00002A15">
        <w:rPr>
          <w:lang w:val="es-ES_tradnl"/>
        </w:rPr>
        <w:t xml:space="preserve">y </w:t>
      </w:r>
      <w:r w:rsidR="001F7DA8" w:rsidRPr="00002A15">
        <w:rPr>
          <w:rFonts w:ascii="Courier New" w:hAnsi="Courier New" w:cs="Courier New"/>
          <w:szCs w:val="22"/>
          <w:lang w:val="es-ES_tradnl"/>
        </w:rPr>
        <w:t>EarliestPriorityApplicationIdentification</w:t>
      </w:r>
      <w:r w:rsidR="00002A15" w:rsidRPr="00002A15">
        <w:rPr>
          <w:szCs w:val="22"/>
          <w:lang w:val="es-ES_tradnl"/>
        </w:rPr>
        <w:t>,</w:t>
      </w:r>
      <w:r w:rsidR="001F7DA8" w:rsidRPr="00002A15">
        <w:rPr>
          <w:lang w:val="es-ES_tradnl"/>
        </w:rPr>
        <w:t xml:space="preserve"> </w:t>
      </w:r>
      <w:r w:rsidR="001851E3" w:rsidRPr="00002A15">
        <w:rPr>
          <w:lang w:val="es-ES_tradnl"/>
        </w:rPr>
        <w:t xml:space="preserve">y </w:t>
      </w:r>
      <w:r w:rsidR="001F7DA8" w:rsidRPr="00002A15">
        <w:rPr>
          <w:lang w:val="es-ES_tradnl"/>
        </w:rPr>
        <w:t xml:space="preserve"> </w:t>
      </w:r>
      <w:r w:rsidR="00002A15" w:rsidRPr="00002A15">
        <w:rPr>
          <w:lang w:val="es-ES_tradnl"/>
        </w:rPr>
        <w:t>que se ha definido como obl</w:t>
      </w:r>
      <w:r w:rsidR="001F7DA8" w:rsidRPr="00002A15">
        <w:rPr>
          <w:lang w:val="es-ES_tradnl"/>
        </w:rPr>
        <w:t>i</w:t>
      </w:r>
      <w:r w:rsidR="00002A15" w:rsidRPr="00002A15">
        <w:rPr>
          <w:lang w:val="es-ES_tradnl"/>
        </w:rPr>
        <w:t>gatorio en ambos caso</w:t>
      </w:r>
      <w:r w:rsidR="001F7DA8" w:rsidRPr="00002A15">
        <w:rPr>
          <w:lang w:val="es-ES_tradnl"/>
        </w:rPr>
        <w:t>s</w:t>
      </w:r>
      <w:r w:rsidR="00002A15" w:rsidRPr="00002A15">
        <w:rPr>
          <w:lang w:val="es-ES_tradnl"/>
        </w:rPr>
        <w:t xml:space="preserve">. </w:t>
      </w:r>
    </w:p>
    <w:p w:rsidR="002A6090" w:rsidRPr="00002A15" w:rsidRDefault="006D134A" w:rsidP="00F81607">
      <w:pPr>
        <w:pStyle w:val="Heading2"/>
        <w:keepNext w:val="0"/>
        <w:widowControl w:val="0"/>
        <w:rPr>
          <w:lang w:val="es-ES_tradnl"/>
        </w:rPr>
      </w:pPr>
      <w:r w:rsidRPr="00002A15">
        <w:rPr>
          <w:caps w:val="0"/>
          <w:lang w:val="es-ES_tradnl"/>
        </w:rPr>
        <w:t xml:space="preserve">MODIFICACIONES AL </w:t>
      </w:r>
      <w:r w:rsidR="00A55D08" w:rsidRPr="00002A15">
        <w:rPr>
          <w:caps w:val="0"/>
          <w:lang w:val="es-ES_tradnl"/>
        </w:rPr>
        <w:t>CUERPO PRINCIPAL</w:t>
      </w:r>
      <w:r w:rsidRPr="00002A15">
        <w:rPr>
          <w:caps w:val="0"/>
          <w:lang w:val="es-ES_tradnl"/>
        </w:rPr>
        <w:t xml:space="preserve"> DEL PROYECTO DE NUEVA NORMA </w:t>
      </w:r>
      <w:r w:rsidR="009A1BEA">
        <w:rPr>
          <w:caps w:val="0"/>
          <w:lang w:val="es-ES_tradnl"/>
        </w:rPr>
        <w:t>ST.</w:t>
      </w:r>
      <w:r w:rsidR="00A55D08" w:rsidRPr="00002A15">
        <w:rPr>
          <w:caps w:val="0"/>
          <w:lang w:val="es-ES_tradnl"/>
        </w:rPr>
        <w:t>26</w:t>
      </w:r>
      <w:r w:rsidRPr="00002A15">
        <w:rPr>
          <w:caps w:val="0"/>
          <w:lang w:val="es-ES_tradnl"/>
        </w:rPr>
        <w:t xml:space="preserve"> </w:t>
      </w:r>
    </w:p>
    <w:p w:rsidR="002A6090" w:rsidRPr="00002A15" w:rsidRDefault="00386E5E" w:rsidP="00F81607">
      <w:pPr>
        <w:pStyle w:val="List0"/>
        <w:keepLines w:val="0"/>
        <w:widowControl w:val="0"/>
        <w:tabs>
          <w:tab w:val="left" w:pos="567"/>
        </w:tabs>
        <w:rPr>
          <w:szCs w:val="17"/>
          <w:lang w:val="es-ES_tradnl"/>
        </w:rPr>
      </w:pPr>
      <w:bookmarkStart w:id="0" w:name="_Ref371500628"/>
      <w:r>
        <w:rPr>
          <w:szCs w:val="17"/>
          <w:lang w:val="es-ES_tradnl"/>
        </w:rPr>
        <w:t>29.</w:t>
      </w:r>
      <w:r>
        <w:rPr>
          <w:szCs w:val="17"/>
          <w:lang w:val="es-ES_tradnl"/>
        </w:rPr>
        <w:tab/>
      </w:r>
      <w:r w:rsidR="006D134A" w:rsidRPr="00002A15">
        <w:rPr>
          <w:szCs w:val="17"/>
          <w:lang w:val="es-ES_tradnl"/>
        </w:rPr>
        <w:t>Los aminoácidos modificados deberán describirse con detalle en el cuadro de características (véanse los párrafos 60 y siguientes).</w:t>
      </w:r>
      <w:r w:rsidR="001F7DA8" w:rsidRPr="00002A15">
        <w:rPr>
          <w:szCs w:val="17"/>
          <w:lang w:val="es-ES_tradnl"/>
        </w:rPr>
        <w:t xml:space="preserve">  </w:t>
      </w:r>
      <w:r w:rsidR="006D134A" w:rsidRPr="00002A15">
        <w:rPr>
          <w:szCs w:val="17"/>
          <w:lang w:val="es-ES_tradnl"/>
        </w:rPr>
        <w:t xml:space="preserve">La clave de caracterización “MOD_RES” </w:t>
      </w:r>
      <w:r w:rsidR="00413B60">
        <w:rPr>
          <w:szCs w:val="17"/>
          <w:highlight w:val="yellow"/>
          <w:lang w:val="es-ES_tradnl"/>
        </w:rPr>
        <w:t>deb</w:t>
      </w:r>
      <w:r w:rsidR="00413B60" w:rsidRPr="00413B60">
        <w:rPr>
          <w:szCs w:val="17"/>
          <w:highlight w:val="yellow"/>
          <w:lang w:val="es-ES_tradnl"/>
        </w:rPr>
        <w:t>erá</w:t>
      </w:r>
      <w:r w:rsidR="006D134A" w:rsidRPr="00002A15">
        <w:rPr>
          <w:szCs w:val="17"/>
          <w:lang w:val="es-ES_tradnl"/>
        </w:rPr>
        <w:t xml:space="preserve"> utilizarse para las modificaciones postraduccionales de los aminoácidos junto con el calificador “NOTE”</w:t>
      </w:r>
      <w:r w:rsidR="00A55D08" w:rsidRPr="00002A15">
        <w:rPr>
          <w:szCs w:val="17"/>
          <w:highlight w:val="yellow"/>
          <w:lang w:val="es-ES_tradnl"/>
        </w:rPr>
        <w:t>;</w:t>
      </w:r>
      <w:r w:rsidR="006D134A" w:rsidRPr="00002A15">
        <w:rPr>
          <w:szCs w:val="17"/>
          <w:lang w:val="es-ES_tradnl"/>
        </w:rPr>
        <w:t xml:space="preserve"> </w:t>
      </w:r>
      <w:r w:rsidR="0078670F">
        <w:rPr>
          <w:szCs w:val="17"/>
          <w:lang w:val="es-ES_tradnl"/>
        </w:rPr>
        <w:t xml:space="preserve"> </w:t>
      </w:r>
      <w:r w:rsidR="00413B60">
        <w:rPr>
          <w:szCs w:val="17"/>
          <w:highlight w:val="yellow"/>
          <w:lang w:val="es-ES_tradnl"/>
        </w:rPr>
        <w:t>de lo</w:t>
      </w:r>
      <w:r w:rsidR="006D134A" w:rsidRPr="00002A15">
        <w:rPr>
          <w:szCs w:val="17"/>
          <w:highlight w:val="yellow"/>
          <w:lang w:val="es-ES_tradnl"/>
        </w:rPr>
        <w:t xml:space="preserve"> contrario</w:t>
      </w:r>
      <w:r w:rsidR="00413B60">
        <w:rPr>
          <w:szCs w:val="17"/>
          <w:lang w:val="es-ES_tradnl"/>
        </w:rPr>
        <w:t>,</w:t>
      </w:r>
      <w:r w:rsidR="00A55D08" w:rsidRPr="00002A15">
        <w:rPr>
          <w:szCs w:val="17"/>
          <w:lang w:val="es-ES_tradnl"/>
        </w:rPr>
        <w:t xml:space="preserve"> </w:t>
      </w:r>
      <w:r w:rsidR="00A55D08" w:rsidRPr="00002A15">
        <w:rPr>
          <w:strike/>
          <w:shd w:val="clear" w:color="auto" w:fill="ECCACA"/>
          <w:lang w:val="es-ES_tradnl"/>
        </w:rPr>
        <w:t>y</w:t>
      </w:r>
      <w:r w:rsidR="003D71FB" w:rsidRPr="003D71FB">
        <w:rPr>
          <w:lang w:val="es-ES_tradnl"/>
        </w:rPr>
        <w:t xml:space="preserve"> </w:t>
      </w:r>
      <w:r w:rsidR="00413B60">
        <w:rPr>
          <w:szCs w:val="17"/>
          <w:highlight w:val="yellow"/>
          <w:lang w:val="es-ES_tradnl"/>
        </w:rPr>
        <w:t>deberá</w:t>
      </w:r>
      <w:r w:rsidR="006D134A" w:rsidRPr="00002A15">
        <w:rPr>
          <w:szCs w:val="17"/>
          <w:highlight w:val="yellow"/>
          <w:lang w:val="es-ES_tradnl"/>
        </w:rPr>
        <w:t xml:space="preserve"> utilizarse</w:t>
      </w:r>
      <w:r w:rsidR="006D134A" w:rsidRPr="00002A15">
        <w:rPr>
          <w:szCs w:val="17"/>
          <w:lang w:val="es-ES_tradnl"/>
        </w:rPr>
        <w:t xml:space="preserve"> la clave de caracterización “SITE” </w:t>
      </w:r>
      <w:r w:rsidR="009A1BEA">
        <w:rPr>
          <w:strike/>
          <w:shd w:val="clear" w:color="auto" w:fill="ECCACA"/>
          <w:lang w:val="es-ES_tradnl"/>
        </w:rPr>
        <w:t>pa</w:t>
      </w:r>
      <w:r w:rsidR="009A1BEA" w:rsidRPr="009A1BEA">
        <w:rPr>
          <w:strike/>
          <w:shd w:val="clear" w:color="auto" w:fill="ECCACA"/>
          <w:lang w:val="es-ES_tradnl"/>
        </w:rPr>
        <w:t>ra otros aminoácidos modificados</w:t>
      </w:r>
      <w:r w:rsidR="00413B60" w:rsidRPr="00002A15">
        <w:rPr>
          <w:szCs w:val="17"/>
          <w:lang w:val="es-ES_tradnl"/>
        </w:rPr>
        <w:t xml:space="preserve"> </w:t>
      </w:r>
      <w:r w:rsidR="006D134A" w:rsidRPr="00002A15">
        <w:rPr>
          <w:szCs w:val="17"/>
          <w:lang w:val="es-ES_tradnl"/>
        </w:rPr>
        <w:t>junto con el calificador “NOTE”.</w:t>
      </w:r>
      <w:r w:rsidR="001F7DA8" w:rsidRPr="00002A15">
        <w:rPr>
          <w:szCs w:val="17"/>
          <w:lang w:val="es-ES_tradnl"/>
        </w:rPr>
        <w:t xml:space="preserve">  </w:t>
      </w:r>
      <w:bookmarkEnd w:id="0"/>
      <w:r w:rsidR="006D134A" w:rsidRPr="00002A15">
        <w:rPr>
          <w:szCs w:val="17"/>
          <w:lang w:val="es-ES_tradnl"/>
        </w:rPr>
        <w:t xml:space="preserve">El valor del calificador “NOTE” deberá ser ya sea una abreviatura descrita en el Anexo I (véase el Cuadro 4 de la Sección 4), o el nombre completo no abreviado del aminoácido modificado.  Las abreviaturas descritas en el Cuadro 4 que se mencionan </w:t>
      </w:r>
      <w:r w:rsidR="006D134A" w:rsidRPr="00002A15">
        <w:rPr>
          <w:i/>
          <w:szCs w:val="17"/>
          <w:lang w:val="es-ES_tradnl"/>
        </w:rPr>
        <w:t>supra</w:t>
      </w:r>
      <w:r w:rsidR="006D134A" w:rsidRPr="00002A15">
        <w:rPr>
          <w:szCs w:val="17"/>
          <w:lang w:val="es-ES_tradnl"/>
        </w:rPr>
        <w:t xml:space="preserve"> o los nombres completos no abreviados no deberán utilizarse en la propia secuencia.</w:t>
      </w:r>
    </w:p>
    <w:p w:rsidR="002A6090" w:rsidRPr="00002A15" w:rsidRDefault="006D134A" w:rsidP="00F81607">
      <w:pPr>
        <w:pStyle w:val="Heading2"/>
        <w:keepNext w:val="0"/>
        <w:widowControl w:val="0"/>
        <w:rPr>
          <w:lang w:val="es-ES_tradnl"/>
        </w:rPr>
      </w:pPr>
      <w:r w:rsidRPr="00002A15">
        <w:rPr>
          <w:caps w:val="0"/>
          <w:lang w:val="es-ES_tradnl"/>
        </w:rPr>
        <w:t xml:space="preserve">MODIFICACIONES AL </w:t>
      </w:r>
      <w:r w:rsidR="003D71FB">
        <w:rPr>
          <w:caps w:val="0"/>
          <w:lang w:val="es-ES_tradnl"/>
        </w:rPr>
        <w:t xml:space="preserve">ANEXO II DEL </w:t>
      </w:r>
      <w:r w:rsidRPr="00002A15">
        <w:rPr>
          <w:caps w:val="0"/>
          <w:lang w:val="es-ES_tradnl"/>
        </w:rPr>
        <w:t>PROYECTO DE NUEVA NORMA ST.26 (DTD)</w:t>
      </w:r>
      <w:r w:rsidR="00A55D08" w:rsidRPr="00002A15">
        <w:rPr>
          <w:caps w:val="0"/>
          <w:lang w:val="es-ES_tradnl"/>
        </w:rPr>
        <w:t xml:space="preserve"> </w:t>
      </w: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002A15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>--&gt;</w:t>
      </w: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>&lt;!ELEMENT ApplicationIdentification  (IPOfficeCode</w:t>
      </w:r>
      <w:r w:rsidRPr="00002A15">
        <w:rPr>
          <w:rFonts w:ascii="Courier New" w:hAnsi="Courier New" w:cs="Courier New"/>
          <w:strike/>
          <w:sz w:val="17"/>
          <w:shd w:val="clear" w:color="auto" w:fill="ECCACA"/>
        </w:rPr>
        <w:t>?</w:t>
      </w:r>
      <w:r w:rsidRPr="00002A15">
        <w:rPr>
          <w:rFonts w:ascii="Courier New" w:hAnsi="Courier New" w:cs="Courier New"/>
          <w:sz w:val="17"/>
          <w:szCs w:val="17"/>
        </w:rPr>
        <w:t>,ApplicationNumberText,</w:t>
      </w: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 xml:space="preserve">               FilingDate</w:t>
      </w:r>
      <w:r w:rsidRPr="0078670F">
        <w:rPr>
          <w:rFonts w:ascii="Courier New" w:hAnsi="Courier New" w:cs="Courier New"/>
          <w:sz w:val="17"/>
          <w:szCs w:val="17"/>
        </w:rPr>
        <w:t>?</w:t>
      </w:r>
      <w:r w:rsidRPr="00002A15">
        <w:rPr>
          <w:rFonts w:ascii="Courier New" w:hAnsi="Courier New" w:cs="Courier New"/>
          <w:sz w:val="17"/>
          <w:szCs w:val="17"/>
        </w:rPr>
        <w:t>) &gt;</w:t>
      </w:r>
    </w:p>
    <w:p w:rsidR="002A6090" w:rsidRPr="00002A15" w:rsidRDefault="002A6090" w:rsidP="00F81607">
      <w:pPr>
        <w:widowControl w:val="0"/>
        <w:rPr>
          <w:rFonts w:ascii="Courier New" w:hAnsi="Courier New" w:cs="Courier New"/>
          <w:sz w:val="17"/>
          <w:szCs w:val="17"/>
        </w:rPr>
      </w:pP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>&lt;!--EarliestPriorityApplicationIdentification</w:t>
      </w: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>Application identification of the earliest claimed priority, which Con</w:t>
      </w:r>
      <w:bookmarkStart w:id="1" w:name="_GoBack"/>
      <w:bookmarkEnd w:id="1"/>
      <w:r w:rsidRPr="00002A15">
        <w:rPr>
          <w:rFonts w:ascii="Courier New" w:hAnsi="Courier New" w:cs="Courier New"/>
          <w:sz w:val="17"/>
          <w:szCs w:val="17"/>
        </w:rPr>
        <w:t xml:space="preserve">tains IPOfficeCode, ApplicationNumberText and FilingDate elements. </w:t>
      </w: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>--&gt;</w:t>
      </w: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</w:rPr>
      </w:pPr>
      <w:r w:rsidRPr="00002A15">
        <w:rPr>
          <w:rFonts w:ascii="Courier New" w:hAnsi="Courier New" w:cs="Courier New"/>
          <w:sz w:val="17"/>
          <w:szCs w:val="17"/>
        </w:rPr>
        <w:t>&lt;!ELEMENT EarliestPriorityApplicationIdentification  (IPOfficeCode</w:t>
      </w:r>
      <w:r w:rsidRPr="00002A15">
        <w:rPr>
          <w:rFonts w:ascii="Courier New" w:hAnsi="Courier New" w:cs="Courier New"/>
          <w:strike/>
          <w:sz w:val="17"/>
          <w:shd w:val="clear" w:color="auto" w:fill="ECCACA"/>
        </w:rPr>
        <w:t>?</w:t>
      </w:r>
      <w:r w:rsidRPr="00002A15">
        <w:rPr>
          <w:rFonts w:ascii="Courier New" w:hAnsi="Courier New" w:cs="Courier New"/>
          <w:sz w:val="17"/>
          <w:szCs w:val="17"/>
        </w:rPr>
        <w:t>,</w:t>
      </w:r>
    </w:p>
    <w:p w:rsidR="002A6090" w:rsidRPr="00002A15" w:rsidRDefault="001F7DA8" w:rsidP="00F81607">
      <w:pPr>
        <w:widowControl w:val="0"/>
        <w:rPr>
          <w:rFonts w:ascii="Courier New" w:hAnsi="Courier New" w:cs="Courier New"/>
          <w:sz w:val="17"/>
          <w:szCs w:val="17"/>
          <w:lang w:val="es-ES_tradnl"/>
        </w:rPr>
      </w:pPr>
      <w:r w:rsidRPr="00002A15">
        <w:rPr>
          <w:rFonts w:ascii="Courier New" w:hAnsi="Courier New" w:cs="Courier New"/>
          <w:sz w:val="17"/>
          <w:szCs w:val="17"/>
        </w:rPr>
        <w:t xml:space="preserve">               ApplicationNumberText,FilingDate?) </w:t>
      </w:r>
      <w:r w:rsidRPr="00002A15">
        <w:rPr>
          <w:rFonts w:ascii="Courier New" w:hAnsi="Courier New" w:cs="Courier New"/>
          <w:sz w:val="17"/>
          <w:szCs w:val="17"/>
          <w:lang w:val="es-ES_tradnl"/>
        </w:rPr>
        <w:t>&gt;</w:t>
      </w:r>
    </w:p>
    <w:p w:rsidR="002A6090" w:rsidRPr="00002A15" w:rsidRDefault="002A6090" w:rsidP="00F81607">
      <w:pPr>
        <w:widowControl w:val="0"/>
        <w:rPr>
          <w:lang w:val="es-ES_tradnl"/>
        </w:rPr>
      </w:pPr>
    </w:p>
    <w:p w:rsidR="002A6090" w:rsidRPr="00002A15" w:rsidRDefault="002A6090" w:rsidP="00F81607">
      <w:pPr>
        <w:widowControl w:val="0"/>
        <w:rPr>
          <w:lang w:val="es-ES_tradnl"/>
        </w:rPr>
      </w:pPr>
    </w:p>
    <w:p w:rsidR="002A6090" w:rsidRPr="00002A15" w:rsidRDefault="002A6090" w:rsidP="00F81607">
      <w:pPr>
        <w:widowControl w:val="0"/>
        <w:rPr>
          <w:lang w:val="es-ES_tradnl"/>
        </w:rPr>
      </w:pPr>
    </w:p>
    <w:p w:rsidR="000F5E56" w:rsidRPr="00E110E5" w:rsidRDefault="006D134A" w:rsidP="00F81607">
      <w:pPr>
        <w:pStyle w:val="Endofdocument-Annex"/>
        <w:widowControl w:val="0"/>
        <w:rPr>
          <w:lang w:val="es-ES_tradnl"/>
        </w:rPr>
      </w:pPr>
      <w:r w:rsidRPr="00002A15">
        <w:rPr>
          <w:lang w:val="es-ES_tradnl"/>
        </w:rPr>
        <w:t>[Fin del Anexo y del documento]</w:t>
      </w:r>
    </w:p>
    <w:sectPr w:rsidR="000F5E56" w:rsidRPr="00E110E5" w:rsidSect="00804DB7"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29" w:rsidRDefault="006D134A">
      <w:r>
        <w:separator/>
      </w:r>
    </w:p>
  </w:endnote>
  <w:endnote w:type="continuationSeparator" w:id="0">
    <w:p w:rsidR="004C4129" w:rsidRDefault="006D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29" w:rsidRDefault="006D134A">
      <w:r>
        <w:separator/>
      </w:r>
    </w:p>
  </w:footnote>
  <w:footnote w:type="continuationSeparator" w:id="0">
    <w:p w:rsidR="004C4129" w:rsidRDefault="006D1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44" w:rsidRPr="00E73A29" w:rsidRDefault="001F7DA8" w:rsidP="00F51144">
    <w:pPr>
      <w:jc w:val="right"/>
      <w:rPr>
        <w:szCs w:val="22"/>
      </w:rPr>
    </w:pPr>
    <w:r w:rsidRPr="00E73A29">
      <w:rPr>
        <w:szCs w:val="22"/>
      </w:rPr>
      <w:t>CWS/4/7</w:t>
    </w:r>
    <w:r w:rsidR="001B1DBA" w:rsidRPr="00E73A29">
      <w:rPr>
        <w:szCs w:val="22"/>
      </w:rPr>
      <w:t xml:space="preserve"> AD</w:t>
    </w:r>
    <w:r w:rsidR="002C6965" w:rsidRPr="00E73A29">
      <w:rPr>
        <w:szCs w:val="22"/>
      </w:rPr>
      <w:t>D</w:t>
    </w:r>
    <w:r w:rsidRPr="00E73A29">
      <w:rPr>
        <w:szCs w:val="22"/>
      </w:rPr>
      <w:t>.</w:t>
    </w:r>
  </w:p>
  <w:p w:rsidR="00F51144" w:rsidRPr="00E73A29" w:rsidRDefault="00773D1B" w:rsidP="00F51144">
    <w:pPr>
      <w:jc w:val="right"/>
      <w:rPr>
        <w:szCs w:val="22"/>
      </w:rPr>
    </w:pPr>
    <w:r w:rsidRPr="00E73A29">
      <w:rPr>
        <w:szCs w:val="22"/>
      </w:rPr>
      <w:t>AN</w:t>
    </w:r>
    <w:r w:rsidR="001F7DA8" w:rsidRPr="00E73A29">
      <w:rPr>
        <w:szCs w:val="22"/>
      </w:rPr>
      <w:t>EX</w:t>
    </w:r>
    <w:r w:rsidRPr="00E73A29">
      <w:rPr>
        <w:szCs w:val="22"/>
      </w:rPr>
      <w:t>O</w:t>
    </w:r>
  </w:p>
  <w:p w:rsidR="00F51144" w:rsidRDefault="0078670F" w:rsidP="00F81607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FC33D7"/>
    <w:rsid w:val="00002A15"/>
    <w:rsid w:val="00022694"/>
    <w:rsid w:val="00061537"/>
    <w:rsid w:val="000A542F"/>
    <w:rsid w:val="000F5E56"/>
    <w:rsid w:val="001269AC"/>
    <w:rsid w:val="001776CF"/>
    <w:rsid w:val="001851E3"/>
    <w:rsid w:val="001B1DBA"/>
    <w:rsid w:val="001F7DA8"/>
    <w:rsid w:val="002003E3"/>
    <w:rsid w:val="00202FF3"/>
    <w:rsid w:val="00234CB3"/>
    <w:rsid w:val="0023587F"/>
    <w:rsid w:val="002A4FED"/>
    <w:rsid w:val="002A6090"/>
    <w:rsid w:val="002C6965"/>
    <w:rsid w:val="00386D3C"/>
    <w:rsid w:val="00386E5E"/>
    <w:rsid w:val="003C6381"/>
    <w:rsid w:val="003D71FB"/>
    <w:rsid w:val="00410345"/>
    <w:rsid w:val="00413B60"/>
    <w:rsid w:val="00431118"/>
    <w:rsid w:val="004A247E"/>
    <w:rsid w:val="004C4129"/>
    <w:rsid w:val="004E09BE"/>
    <w:rsid w:val="00512CBD"/>
    <w:rsid w:val="005568DB"/>
    <w:rsid w:val="005734A3"/>
    <w:rsid w:val="005C1C33"/>
    <w:rsid w:val="005D3515"/>
    <w:rsid w:val="00654E27"/>
    <w:rsid w:val="0065722D"/>
    <w:rsid w:val="00666E1D"/>
    <w:rsid w:val="00680C20"/>
    <w:rsid w:val="006C682C"/>
    <w:rsid w:val="006D134A"/>
    <w:rsid w:val="00703892"/>
    <w:rsid w:val="00720775"/>
    <w:rsid w:val="00773D1B"/>
    <w:rsid w:val="007818CD"/>
    <w:rsid w:val="0078670F"/>
    <w:rsid w:val="007B240C"/>
    <w:rsid w:val="007B5811"/>
    <w:rsid w:val="007D53C7"/>
    <w:rsid w:val="007D7E1B"/>
    <w:rsid w:val="00804DB7"/>
    <w:rsid w:val="00806ACB"/>
    <w:rsid w:val="00810043"/>
    <w:rsid w:val="008141DD"/>
    <w:rsid w:val="008A154B"/>
    <w:rsid w:val="008C4DD8"/>
    <w:rsid w:val="0090768E"/>
    <w:rsid w:val="00913C98"/>
    <w:rsid w:val="00914F26"/>
    <w:rsid w:val="00966411"/>
    <w:rsid w:val="00966D16"/>
    <w:rsid w:val="00976F77"/>
    <w:rsid w:val="009A1BEA"/>
    <w:rsid w:val="009B7D07"/>
    <w:rsid w:val="009D7A6E"/>
    <w:rsid w:val="009F7329"/>
    <w:rsid w:val="00A17AE1"/>
    <w:rsid w:val="00A55D08"/>
    <w:rsid w:val="00A60146"/>
    <w:rsid w:val="00A7146B"/>
    <w:rsid w:val="00A86C14"/>
    <w:rsid w:val="00AF4AD9"/>
    <w:rsid w:val="00B27BAA"/>
    <w:rsid w:val="00B335DE"/>
    <w:rsid w:val="00BE44E6"/>
    <w:rsid w:val="00BF597C"/>
    <w:rsid w:val="00C05B17"/>
    <w:rsid w:val="00C62772"/>
    <w:rsid w:val="00C710F6"/>
    <w:rsid w:val="00C8675F"/>
    <w:rsid w:val="00CB370B"/>
    <w:rsid w:val="00CD6474"/>
    <w:rsid w:val="00CF222C"/>
    <w:rsid w:val="00CF5946"/>
    <w:rsid w:val="00DD0E41"/>
    <w:rsid w:val="00DE3D76"/>
    <w:rsid w:val="00E110E5"/>
    <w:rsid w:val="00E36071"/>
    <w:rsid w:val="00E73A29"/>
    <w:rsid w:val="00E868B8"/>
    <w:rsid w:val="00EF3C14"/>
    <w:rsid w:val="00F050C9"/>
    <w:rsid w:val="00F41FF9"/>
    <w:rsid w:val="00F61F0F"/>
    <w:rsid w:val="00F73A00"/>
    <w:rsid w:val="00F81607"/>
    <w:rsid w:val="00F819A3"/>
    <w:rsid w:val="00F960E2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DA8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List0">
    <w:name w:val="List0"/>
    <w:basedOn w:val="Normal"/>
    <w:link w:val="List0Char"/>
    <w:rsid w:val="001F7DA8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1F7DA8"/>
    <w:rPr>
      <w:rFonts w:ascii="Arial" w:hAnsi="Arial"/>
      <w:sz w:val="17"/>
      <w:lang w:val="en-US" w:eastAsia="en-US"/>
    </w:rPr>
  </w:style>
  <w:style w:type="paragraph" w:customStyle="1" w:styleId="Endofdocument-Annex">
    <w:name w:val="[End of document - Annex]"/>
    <w:basedOn w:val="Normal"/>
    <w:rsid w:val="001F7DA8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DA8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List0">
    <w:name w:val="List0"/>
    <w:basedOn w:val="Normal"/>
    <w:link w:val="List0Char"/>
    <w:rsid w:val="001F7DA8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1F7DA8"/>
    <w:rPr>
      <w:rFonts w:ascii="Arial" w:hAnsi="Arial"/>
      <w:sz w:val="17"/>
      <w:lang w:val="en-US" w:eastAsia="en-US"/>
    </w:rPr>
  </w:style>
  <w:style w:type="paragraph" w:customStyle="1" w:styleId="Endofdocument-Annex">
    <w:name w:val="[End of document - Annex]"/>
    <w:basedOn w:val="Normal"/>
    <w:rsid w:val="001F7DA8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FEFD-FAE3-4B28-8616-15CC6809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ADD. Anexo (in Spanish)</vt:lpstr>
    </vt:vector>
  </TitlesOfParts>
  <Company>OMPI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ADD. Anexo (en Español)</dc:title>
  <dc:subject>Propuesta de modificaciones al proyecto de nueva norma ST.26 de la OMPI </dc:subject>
  <dc:creator>OMPI</dc:creator>
  <cp:lastModifiedBy>Geraldine Rodriguez</cp:lastModifiedBy>
  <cp:revision>4</cp:revision>
  <cp:lastPrinted>2014-04-30T11:32:00Z</cp:lastPrinted>
  <dcterms:created xsi:type="dcterms:W3CDTF">2014-05-01T06:38:00Z</dcterms:created>
  <dcterms:modified xsi:type="dcterms:W3CDTF">2014-05-05T14:49:00Z</dcterms:modified>
</cp:coreProperties>
</file>