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F4148D" w:rsidP="00AB613D">
            <w:r>
              <w:rPr>
                <w:noProof/>
                <w:lang w:val="en-US"/>
              </w:rPr>
              <w:drawing>
                <wp:inline distT="0" distB="0" distL="0" distR="0">
                  <wp:extent cx="1856740" cy="1323975"/>
                  <wp:effectExtent l="0" t="0" r="0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4148D" w:rsidP="00F4148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CWS/4BIS/</w:t>
            </w:r>
            <w:bookmarkStart w:id="0" w:name="Code"/>
            <w:bookmarkEnd w:id="0"/>
            <w:r w:rsidR="009C45CD"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7C1BEA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9C45CD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7C1BEA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9C45CD">
              <w:rPr>
                <w:rFonts w:ascii="Arial Black" w:hAnsi="Arial Black"/>
                <w:caps/>
                <w:sz w:val="15"/>
              </w:rPr>
              <w:t>22 DE FEBRERO DE 2016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67CDC" w:rsidRPr="00B67CDC" w:rsidRDefault="00F4148D" w:rsidP="00B67CDC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Comité de Normas Técnicas de la OMPI (CWS)</w:t>
      </w:r>
    </w:p>
    <w:p w:rsidR="003845C1" w:rsidRDefault="003845C1" w:rsidP="003845C1"/>
    <w:p w:rsidR="003845C1" w:rsidRDefault="003845C1" w:rsidP="003845C1"/>
    <w:p w:rsidR="00B67CDC" w:rsidRPr="00B67CDC" w:rsidRDefault="00F4148D" w:rsidP="00B67CDC">
      <w:pPr>
        <w:rPr>
          <w:b/>
          <w:sz w:val="24"/>
          <w:szCs w:val="24"/>
        </w:rPr>
      </w:pPr>
      <w:r>
        <w:rPr>
          <w:b/>
          <w:sz w:val="24"/>
          <w:szCs w:val="24"/>
        </w:rPr>
        <w:t>Reanudación de la cuarta s</w:t>
      </w:r>
      <w:r w:rsidR="00B67CDC" w:rsidRPr="00B67CDC">
        <w:rPr>
          <w:b/>
          <w:sz w:val="24"/>
          <w:szCs w:val="24"/>
        </w:rPr>
        <w:t>esión</w:t>
      </w:r>
    </w:p>
    <w:p w:rsidR="00B67CDC" w:rsidRPr="00B67CDC" w:rsidRDefault="00F4148D" w:rsidP="00B67CDC">
      <w:pPr>
        <w:rPr>
          <w:b/>
          <w:sz w:val="24"/>
          <w:szCs w:val="24"/>
        </w:rPr>
      </w:pPr>
      <w:r>
        <w:rPr>
          <w:b/>
          <w:sz w:val="24"/>
          <w:szCs w:val="24"/>
        </w:rPr>
        <w:t>Ginebra, 21 a 24 de marzo de 2016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9C45CD" w:rsidRPr="00C236B7" w:rsidRDefault="007C1BEA" w:rsidP="009C45CD">
      <w:pPr>
        <w:rPr>
          <w:caps/>
          <w:sz w:val="24"/>
        </w:rPr>
      </w:pPr>
      <w:bookmarkStart w:id="3" w:name="TitleOfDoc"/>
      <w:bookmarkEnd w:id="3"/>
      <w:r w:rsidRPr="00C236B7">
        <w:rPr>
          <w:sz w:val="24"/>
        </w:rPr>
        <w:t>INFORME DE SITUACIÓN SOBRE LA PREPARACIÓN DE LOS ANEXOS V Y VI, Y LA REVISIÓN DE LA NORMA ST.96 DE LA OMPI</w:t>
      </w:r>
    </w:p>
    <w:p w:rsidR="009C45CD" w:rsidRPr="00C236B7" w:rsidRDefault="009C45CD" w:rsidP="009C45CD"/>
    <w:p w:rsidR="009C45CD" w:rsidRPr="00C236B7" w:rsidRDefault="009C45CD" w:rsidP="009C45CD">
      <w:pPr>
        <w:rPr>
          <w:i/>
        </w:rPr>
      </w:pPr>
      <w:r w:rsidRPr="00C236B7">
        <w:rPr>
          <w:i/>
        </w:rPr>
        <w:t>Documento preparado por la Secretaría</w:t>
      </w:r>
    </w:p>
    <w:p w:rsidR="009C45CD" w:rsidRPr="00C236B7" w:rsidRDefault="009C45CD" w:rsidP="009C45CD"/>
    <w:p w:rsidR="009C45CD" w:rsidRPr="00C236B7" w:rsidRDefault="009C45CD" w:rsidP="009C45CD"/>
    <w:p w:rsidR="009C45CD" w:rsidRPr="00C236B7" w:rsidRDefault="009C45CD" w:rsidP="009C45CD"/>
    <w:p w:rsidR="009C45CD" w:rsidRPr="00C236B7" w:rsidRDefault="009C45CD" w:rsidP="009C45CD"/>
    <w:p w:rsidR="009C45CD" w:rsidRPr="00C236B7" w:rsidRDefault="009C45CD" w:rsidP="009C45CD"/>
    <w:p w:rsidR="009C45CD" w:rsidRPr="00C236B7" w:rsidRDefault="009C45CD" w:rsidP="009C45CD">
      <w:pPr>
        <w:pStyle w:val="Heading2"/>
      </w:pPr>
      <w:r w:rsidRPr="00C236B7">
        <w:t>INTRODUCCIÓN</w:t>
      </w:r>
    </w:p>
    <w:p w:rsidR="009C45CD" w:rsidRPr="00C236B7" w:rsidRDefault="009C45CD" w:rsidP="009C45CD">
      <w:pPr>
        <w:pStyle w:val="ONUME"/>
      </w:pPr>
      <w:r w:rsidRPr="00C236B7">
        <w:t xml:space="preserve">Desde la presentación del informe sobre la marcha de los trabajos en la cuarta sesión </w:t>
      </w:r>
      <w:r>
        <w:t xml:space="preserve">del </w:t>
      </w:r>
      <w:r w:rsidRPr="00C236B7">
        <w:t xml:space="preserve">Comité de Normas Técnicas de la OMPI (CWS), celebrada en mayo de 2014, el Equipo Técnico XML4IP ha proseguido sus debates, por conducto de su foro electrónico, </w:t>
      </w:r>
      <w:r>
        <w:t xml:space="preserve">mediante </w:t>
      </w:r>
      <w:r w:rsidRPr="00C236B7">
        <w:t xml:space="preserve">conferencias en línea y </w:t>
      </w:r>
      <w:r>
        <w:t xml:space="preserve">en </w:t>
      </w:r>
      <w:r w:rsidRPr="00C236B7">
        <w:t>reuniones presenciales, con miras a llevar a cabo la Tarea Nº 41:  “</w:t>
      </w:r>
      <w:r w:rsidRPr="00C236B7">
        <w:rPr>
          <w:szCs w:val="22"/>
        </w:rPr>
        <w:t>Preparar una propuesta para los anexos V y VI de la Norma ST.96 de la OMPI para su aprobación por el CWS y garantizar las necesarias revisiones y actualizaciones de la</w:t>
      </w:r>
      <w:r w:rsidRPr="00C236B7">
        <w:t xml:space="preserve"> Norma ST.96 de la OMPI”.</w:t>
      </w:r>
    </w:p>
    <w:p w:rsidR="009C45CD" w:rsidRPr="00C236B7" w:rsidRDefault="009C45CD" w:rsidP="009C45CD">
      <w:pPr>
        <w:pStyle w:val="ONUME"/>
      </w:pPr>
      <w:r w:rsidRPr="00C236B7">
        <w:t>El Equipo Técnico XML4IP preparó una propuesta relativa a los Anexos V y VI de la Norma ST.96 de la OMPI con el fin de someterla al examen del CWS para su aprobación en la presente sesión (véase el documento CWS/4BIS/12).  El Equipo Técnico XML4IP revis</w:t>
      </w:r>
      <w:r>
        <w:t>ó</w:t>
      </w:r>
      <w:r w:rsidRPr="00C236B7">
        <w:t xml:space="preserve"> asimismo dos veces la Norma ST.96, en mayo y en diciembre de 2015.</w:t>
      </w:r>
    </w:p>
    <w:p w:rsidR="009C45CD" w:rsidRPr="00C236B7" w:rsidRDefault="009C45CD" w:rsidP="009C45CD">
      <w:pPr>
        <w:pStyle w:val="Heading2"/>
      </w:pPr>
      <w:r w:rsidRPr="0003537B">
        <w:t>REVISIÓN</w:t>
      </w:r>
      <w:r w:rsidRPr="00C236B7">
        <w:rPr>
          <w:caps w:val="0"/>
        </w:rPr>
        <w:t xml:space="preserve"> DE LA NORMA ST.96 DE LA OMPI</w:t>
      </w:r>
    </w:p>
    <w:p w:rsidR="009C45CD" w:rsidRPr="00C236B7" w:rsidRDefault="009C45CD" w:rsidP="009C45CD">
      <w:pPr>
        <w:pStyle w:val="Heading3"/>
        <w:spacing w:before="0"/>
      </w:pPr>
      <w:r w:rsidRPr="00C236B7">
        <w:t>Versión 2.0</w:t>
      </w:r>
    </w:p>
    <w:p w:rsidR="009C45CD" w:rsidRPr="00C236B7" w:rsidRDefault="009C45CD" w:rsidP="009C45CD">
      <w:pPr>
        <w:pStyle w:val="ONUME"/>
      </w:pPr>
      <w:r w:rsidRPr="00C236B7">
        <w:t>Tal como informara al CWS en mayo de 2014 (véase el documento CWS/4/6), el Equipo Técnico XML4IP ha venido elaborando la versión 2.0 de la Norma ST.96 desde 2012 y esa versión fue aprobada en mayo de 2015.  En la versión 2.0, se revisaron el cuerpo principal y los cuatro Anexos de la Norma ST.96.</w:t>
      </w:r>
    </w:p>
    <w:p w:rsidR="009C45CD" w:rsidRPr="00C236B7" w:rsidRDefault="009C45CD" w:rsidP="009C45CD">
      <w:pPr>
        <w:pStyle w:val="ONUME"/>
        <w:rPr>
          <w:rFonts w:eastAsia="Arial"/>
        </w:rPr>
      </w:pPr>
      <w:r w:rsidRPr="00C236B7">
        <w:rPr>
          <w:rFonts w:eastAsia="Arial"/>
        </w:rPr>
        <w:lastRenderedPageBreak/>
        <w:t>Se introdujeron mejoras significativas en la versión 2.0, y ello incluye el perfeccionamiento de la documentación de los esquemas XML.  Las principales revisiones se refirieron a lo siguiente:</w:t>
      </w:r>
    </w:p>
    <w:p w:rsidR="009C45CD" w:rsidRPr="00C236B7" w:rsidRDefault="009C45CD" w:rsidP="009C45CD">
      <w:pPr>
        <w:pStyle w:val="ListParagraph"/>
        <w:numPr>
          <w:ilvl w:val="0"/>
          <w:numId w:val="7"/>
        </w:numPr>
        <w:rPr>
          <w:lang w:val="es-ES"/>
        </w:rPr>
      </w:pPr>
      <w:r w:rsidRPr="00C236B7">
        <w:rPr>
          <w:lang w:val="es-ES"/>
        </w:rPr>
        <w:t>imágenes, pagos, párrafos y figuras de referencia en los apartados comunes;</w:t>
      </w:r>
    </w:p>
    <w:p w:rsidR="009C45CD" w:rsidRPr="00C236B7" w:rsidRDefault="009C45CD" w:rsidP="009C45CD">
      <w:pPr>
        <w:pStyle w:val="ListParagraph"/>
        <w:numPr>
          <w:ilvl w:val="0"/>
          <w:numId w:val="7"/>
        </w:numPr>
        <w:rPr>
          <w:lang w:val="es-ES"/>
        </w:rPr>
      </w:pPr>
      <w:r w:rsidRPr="00C236B7">
        <w:rPr>
          <w:lang w:val="es-ES"/>
        </w:rPr>
        <w:t>clasificación de patentes, datos bibliográficos, publicación de patentes y nueva publicación de patentes en el apartado relativo a las patentes;</w:t>
      </w:r>
    </w:p>
    <w:p w:rsidR="009C45CD" w:rsidRPr="00C236B7" w:rsidRDefault="009C45CD" w:rsidP="009C45CD">
      <w:pPr>
        <w:pStyle w:val="ListParagraph"/>
        <w:numPr>
          <w:ilvl w:val="0"/>
          <w:numId w:val="7"/>
        </w:numPr>
        <w:rPr>
          <w:lang w:val="es-ES"/>
        </w:rPr>
      </w:pPr>
      <w:r w:rsidRPr="00C236B7">
        <w:rPr>
          <w:lang w:val="es-ES"/>
        </w:rPr>
        <w:t>categoría de marca, marca colectiva y clasificación de productos y servicios en el apartado relativo a las marcas;</w:t>
      </w:r>
      <w:r>
        <w:rPr>
          <w:lang w:val="es-ES"/>
        </w:rPr>
        <w:t xml:space="preserve"> </w:t>
      </w:r>
      <w:r w:rsidRPr="00C236B7">
        <w:rPr>
          <w:lang w:val="es-ES"/>
        </w:rPr>
        <w:t xml:space="preserve"> y</w:t>
      </w:r>
    </w:p>
    <w:p w:rsidR="009C45CD" w:rsidRPr="00C236B7" w:rsidRDefault="009C45CD" w:rsidP="009C45CD">
      <w:pPr>
        <w:pStyle w:val="ListParagraph"/>
        <w:numPr>
          <w:ilvl w:val="0"/>
          <w:numId w:val="7"/>
        </w:numPr>
        <w:rPr>
          <w:lang w:val="es-ES"/>
        </w:rPr>
      </w:pPr>
      <w:r w:rsidRPr="00C236B7">
        <w:rPr>
          <w:lang w:val="es-ES"/>
        </w:rPr>
        <w:t>Clasificación de Locarno, categoría de perspectiva en el apartado relativo a los dibujos o modelos.</w:t>
      </w:r>
    </w:p>
    <w:p w:rsidR="009C45CD" w:rsidRPr="00C236B7" w:rsidRDefault="009C45CD" w:rsidP="009C45CD"/>
    <w:p w:rsidR="009C45CD" w:rsidRPr="00C236B7" w:rsidRDefault="009C45CD" w:rsidP="009C45CD">
      <w:pPr>
        <w:pStyle w:val="ONUME"/>
      </w:pPr>
      <w:r w:rsidRPr="00C236B7">
        <w:t xml:space="preserve">La versión 2.0 se ha publicado en el sitio web de la OMPI en:  </w:t>
      </w:r>
      <w:hyperlink r:id="rId9" w:history="1">
        <w:r w:rsidRPr="00C236B7">
          <w:rPr>
            <w:rStyle w:val="Hyperlink"/>
          </w:rPr>
          <w:t>http://www.wipo.int/standards/es/st96/v2-0</w:t>
        </w:r>
      </w:hyperlink>
      <w:r w:rsidRPr="00C236B7">
        <w:t>.</w:t>
      </w:r>
    </w:p>
    <w:p w:rsidR="009C45CD" w:rsidRPr="00C236B7" w:rsidRDefault="009C45CD" w:rsidP="009C45CD">
      <w:pPr>
        <w:pStyle w:val="Heading3"/>
      </w:pPr>
      <w:r w:rsidRPr="00C236B7">
        <w:t>Versión 2.1</w:t>
      </w:r>
    </w:p>
    <w:p w:rsidR="009C45CD" w:rsidRPr="00C236B7" w:rsidRDefault="009C45CD" w:rsidP="009C45CD">
      <w:pPr>
        <w:pStyle w:val="ONUME"/>
      </w:pPr>
      <w:r w:rsidRPr="00C236B7">
        <w:t xml:space="preserve">La versión 2.1 se creó para corregir algunos errores menores y añadir nuevos componentes al esquema XML de la Norma ST.96 (Anexo III), pero la versión 2.1 también atañe a otras partes de la Norma ST.96, incluido el cuerpo principal, para garantizar </w:t>
      </w:r>
      <w:r>
        <w:t>la coherencia entre todas ellas</w:t>
      </w:r>
      <w:r w:rsidRPr="00C236B7">
        <w:t>.  Entre las modificaciones introducidas en la versión 2.1 cabe señalar las siguientes:</w:t>
      </w:r>
    </w:p>
    <w:p w:rsidR="009C45CD" w:rsidRPr="00C236B7" w:rsidRDefault="009C45CD" w:rsidP="009C45CD">
      <w:pPr>
        <w:pStyle w:val="ListParagraph"/>
        <w:numPr>
          <w:ilvl w:val="0"/>
          <w:numId w:val="8"/>
        </w:numPr>
        <w:spacing w:after="220"/>
        <w:ind w:left="851" w:hanging="284"/>
        <w:contextualSpacing w:val="0"/>
        <w:rPr>
          <w:szCs w:val="22"/>
          <w:lang w:val="es-ES"/>
        </w:rPr>
      </w:pPr>
      <w:r w:rsidRPr="00C236B7">
        <w:rPr>
          <w:szCs w:val="22"/>
          <w:lang w:val="es-ES"/>
        </w:rPr>
        <w:t>actualizar algunos componentes relacionados con los párrafos, por ejemplo, com:SmallCapital, com:Sub y com:Sup;</w:t>
      </w:r>
    </w:p>
    <w:p w:rsidR="009C45CD" w:rsidRPr="00C236B7" w:rsidRDefault="009C45CD" w:rsidP="009C45CD">
      <w:pPr>
        <w:pStyle w:val="ListParagraph"/>
        <w:numPr>
          <w:ilvl w:val="0"/>
          <w:numId w:val="8"/>
        </w:numPr>
        <w:spacing w:after="220"/>
        <w:ind w:left="851" w:hanging="284"/>
        <w:contextualSpacing w:val="0"/>
        <w:rPr>
          <w:szCs w:val="22"/>
          <w:lang w:val="es-ES"/>
        </w:rPr>
      </w:pPr>
      <w:r w:rsidRPr="00C236B7">
        <w:rPr>
          <w:szCs w:val="22"/>
          <w:lang w:val="es-ES"/>
        </w:rPr>
        <w:t>añadir el nuevo valor de enumeración “Pt” (Points) a com:MeasureUnitCodeType;</w:t>
      </w:r>
    </w:p>
    <w:p w:rsidR="009C45CD" w:rsidRPr="00C236B7" w:rsidRDefault="009C45CD" w:rsidP="009C45CD">
      <w:pPr>
        <w:pStyle w:val="ListParagraph"/>
        <w:numPr>
          <w:ilvl w:val="0"/>
          <w:numId w:val="8"/>
        </w:numPr>
        <w:spacing w:after="220"/>
        <w:ind w:left="851" w:hanging="284"/>
        <w:contextualSpacing w:val="0"/>
        <w:rPr>
          <w:szCs w:val="22"/>
          <w:lang w:val="es-ES"/>
        </w:rPr>
      </w:pPr>
      <w:r w:rsidRPr="00C236B7">
        <w:rPr>
          <w:szCs w:val="22"/>
          <w:lang w:val="es-ES"/>
        </w:rPr>
        <w:t>añadir com:PublicationContact a algunos componentes de marca, por ejemplo, tmk:ApplicantType;  y</w:t>
      </w:r>
    </w:p>
    <w:p w:rsidR="009C45CD" w:rsidRPr="00C236B7" w:rsidRDefault="009C45CD" w:rsidP="009C45CD">
      <w:pPr>
        <w:pStyle w:val="ListParagraph"/>
        <w:numPr>
          <w:ilvl w:val="0"/>
          <w:numId w:val="8"/>
        </w:numPr>
        <w:spacing w:after="220"/>
        <w:ind w:left="851" w:hanging="284"/>
        <w:contextualSpacing w:val="0"/>
        <w:rPr>
          <w:szCs w:val="22"/>
          <w:lang w:val="es-ES"/>
        </w:rPr>
      </w:pPr>
      <w:r w:rsidRPr="00C236B7">
        <w:rPr>
          <w:szCs w:val="22"/>
          <w:lang w:val="es-ES"/>
        </w:rPr>
        <w:t>añadir el nuevo valor de enumeración “Breeder” al componente existente com:RoleCategoryType.</w:t>
      </w:r>
    </w:p>
    <w:p w:rsidR="009C45CD" w:rsidRPr="00C236B7" w:rsidRDefault="009C45CD" w:rsidP="009C45CD">
      <w:pPr>
        <w:pStyle w:val="ONUME"/>
      </w:pPr>
      <w:r w:rsidRPr="00C236B7">
        <w:rPr>
          <w:rStyle w:val="ONUMEChar"/>
        </w:rPr>
        <w:t>La versión 2.1 es la más reciente, en el momento de preparar el presente documento</w:t>
      </w:r>
      <w:r>
        <w:rPr>
          <w:rStyle w:val="ONUMEChar"/>
        </w:rPr>
        <w:t>,</w:t>
      </w:r>
      <w:r w:rsidRPr="00C236B7">
        <w:rPr>
          <w:rStyle w:val="ONUMEChar"/>
        </w:rPr>
        <w:t xml:space="preserve"> y se ha publicado en el sitio web de la OMPI</w:t>
      </w:r>
      <w:r w:rsidRPr="00C236B7">
        <w:t xml:space="preserve"> en:  </w:t>
      </w:r>
      <w:hyperlink r:id="rId10" w:history="1">
        <w:r w:rsidRPr="00C236B7">
          <w:rPr>
            <w:rStyle w:val="Hyperlink"/>
          </w:rPr>
          <w:t>http://www.wipo.int/standards/es/part_03_standards.html</w:t>
        </w:r>
      </w:hyperlink>
      <w:r w:rsidRPr="00C236B7">
        <w:t>.</w:t>
      </w:r>
    </w:p>
    <w:p w:rsidR="009C45CD" w:rsidRPr="00C236B7" w:rsidRDefault="009C45CD" w:rsidP="009C45CD">
      <w:pPr>
        <w:pStyle w:val="Heading2"/>
      </w:pPr>
      <w:r w:rsidRPr="00C236B7">
        <w:rPr>
          <w:caps w:val="0"/>
        </w:rPr>
        <w:t>OTRAS ACTIVIDADES DEL EQUIPO TÉCNICO XML4IP</w:t>
      </w:r>
    </w:p>
    <w:p w:rsidR="009C45CD" w:rsidRPr="00C236B7" w:rsidRDefault="009C45CD" w:rsidP="009C45CD">
      <w:pPr>
        <w:pStyle w:val="ONUME"/>
      </w:pPr>
      <w:r w:rsidRPr="00C236B7">
        <w:t>Después de la sesión del CWS celebrada en mayo de 2014, se celebraron cuatro reuniones del Equipo Técnico XML4IP, con objetivos específicos:</w:t>
      </w:r>
    </w:p>
    <w:p w:rsidR="009C45CD" w:rsidRPr="00C236B7" w:rsidRDefault="009C45CD" w:rsidP="009C45CD">
      <w:pPr>
        <w:pStyle w:val="ListParagraph"/>
        <w:numPr>
          <w:ilvl w:val="0"/>
          <w:numId w:val="8"/>
        </w:numPr>
        <w:spacing w:after="220"/>
        <w:ind w:left="851" w:hanging="284"/>
        <w:contextualSpacing w:val="0"/>
        <w:rPr>
          <w:szCs w:val="22"/>
          <w:lang w:val="es-ES"/>
        </w:rPr>
      </w:pPr>
      <w:r w:rsidRPr="00C236B7">
        <w:rPr>
          <w:szCs w:val="22"/>
          <w:lang w:val="es-ES"/>
        </w:rPr>
        <w:t xml:space="preserve">una reunión en Alexandria (Estados Unidos de América) (octubre de 2014), celebrada principalmente para desarrollar el esquema XML para marcas, en particular, </w:t>
      </w:r>
      <w:r>
        <w:rPr>
          <w:szCs w:val="22"/>
          <w:lang w:val="es-ES"/>
        </w:rPr>
        <w:t>en lo referente a la</w:t>
      </w:r>
      <w:r w:rsidRPr="00C236B7">
        <w:rPr>
          <w:szCs w:val="22"/>
          <w:lang w:val="es-ES"/>
        </w:rPr>
        <w:t xml:space="preserve"> comunicación electrónica del Sistema de Madrid;</w:t>
      </w:r>
    </w:p>
    <w:p w:rsidR="009C45CD" w:rsidRPr="00C236B7" w:rsidRDefault="009C45CD" w:rsidP="009C45CD">
      <w:pPr>
        <w:pStyle w:val="ListParagraph"/>
        <w:numPr>
          <w:ilvl w:val="0"/>
          <w:numId w:val="8"/>
        </w:numPr>
        <w:spacing w:after="220"/>
        <w:ind w:left="851" w:hanging="284"/>
        <w:contextualSpacing w:val="0"/>
        <w:rPr>
          <w:szCs w:val="22"/>
          <w:lang w:val="es-ES"/>
        </w:rPr>
      </w:pPr>
      <w:r w:rsidRPr="00C236B7">
        <w:rPr>
          <w:szCs w:val="22"/>
          <w:lang w:val="es-ES"/>
        </w:rPr>
        <w:t>una reunión en Londres (Reino Unido) (noviembre de 2014), celebrada principalmente para preparar el proyecto final de los dos Anexos pendientes, los Anexos V y VI, y para desarrollar la versión 2.0;</w:t>
      </w:r>
    </w:p>
    <w:p w:rsidR="009C45CD" w:rsidRPr="00C236B7" w:rsidRDefault="009C45CD" w:rsidP="009C45CD">
      <w:pPr>
        <w:pStyle w:val="ListParagraph"/>
        <w:numPr>
          <w:ilvl w:val="0"/>
          <w:numId w:val="8"/>
        </w:numPr>
        <w:spacing w:after="220"/>
        <w:ind w:left="851" w:hanging="284"/>
        <w:contextualSpacing w:val="0"/>
        <w:rPr>
          <w:szCs w:val="22"/>
          <w:lang w:val="es-ES"/>
        </w:rPr>
      </w:pPr>
      <w:r w:rsidRPr="00C236B7">
        <w:rPr>
          <w:szCs w:val="22"/>
          <w:lang w:val="es-ES"/>
        </w:rPr>
        <w:t>una reunión en Ginebra (Suiza) (junio de 2015), celebrada principalmente para finalizar los Anexos V y VI;  y</w:t>
      </w:r>
    </w:p>
    <w:p w:rsidR="009C45CD" w:rsidRPr="00C236B7" w:rsidRDefault="009C45CD" w:rsidP="009C45CD">
      <w:pPr>
        <w:pStyle w:val="ListParagraph"/>
        <w:numPr>
          <w:ilvl w:val="0"/>
          <w:numId w:val="8"/>
        </w:numPr>
        <w:spacing w:after="220"/>
        <w:ind w:left="851" w:hanging="284"/>
        <w:contextualSpacing w:val="0"/>
        <w:rPr>
          <w:szCs w:val="22"/>
          <w:lang w:val="es-ES"/>
        </w:rPr>
      </w:pPr>
      <w:r w:rsidRPr="00C236B7">
        <w:rPr>
          <w:szCs w:val="22"/>
          <w:lang w:val="es-ES"/>
        </w:rPr>
        <w:t>una reunión en Alexandria (Estados Unidos de América) (octubre de 2015), celebrada principalmente para preparar un proyecto de componentes de esquema para los mecanismos de comunicación del Sistema de Madrid y del Sistema de La Haya.</w:t>
      </w:r>
    </w:p>
    <w:p w:rsidR="009C45CD" w:rsidRPr="00C236B7" w:rsidRDefault="009C45CD" w:rsidP="009C45CD">
      <w:pPr>
        <w:pStyle w:val="ONUME"/>
      </w:pPr>
      <w:r w:rsidRPr="00C236B7">
        <w:lastRenderedPageBreak/>
        <w:t xml:space="preserve">Otra actividad importante fue el intercambio entre oficinas de </w:t>
      </w:r>
      <w:r>
        <w:t xml:space="preserve">la </w:t>
      </w:r>
      <w:r w:rsidRPr="00C236B7">
        <w:t>información sobre el plan de aplicación e</w:t>
      </w:r>
      <w:r>
        <w:t>n</w:t>
      </w:r>
      <w:r w:rsidRPr="00C236B7">
        <w:t xml:space="preserve"> cada oficina y la experiencia con la Norma ST.96</w:t>
      </w:r>
      <w:r>
        <w:t>, llevado a cabo en un</w:t>
      </w:r>
      <w:r w:rsidRPr="00C236B7">
        <w:t xml:space="preserve">a reunión presencial y por conducto del foro electrónico del Equipo Técnico.  Ese tipo de colaboración </w:t>
      </w:r>
      <w:r>
        <w:t xml:space="preserve">redunda en beneficio mutuo a la hora de </w:t>
      </w:r>
      <w:r w:rsidRPr="00C236B7">
        <w:t>aplicar la Norma ST.96 y facilitar el intercambio de datos entre oficinas.</w:t>
      </w:r>
    </w:p>
    <w:p w:rsidR="009C45CD" w:rsidRPr="00C236B7" w:rsidRDefault="009C45CD" w:rsidP="009C45CD">
      <w:pPr>
        <w:pStyle w:val="ONUME"/>
      </w:pPr>
      <w:r w:rsidRPr="00C236B7">
        <w:t>Para abordar cuestiones o peticiones específicas, el Equipo Técnico XML4IP utiliza su Registro de cuestiones</w:t>
      </w:r>
      <w:r>
        <w:t>,</w:t>
      </w:r>
      <w:r w:rsidRPr="00C236B7">
        <w:t xml:space="preserve"> en el que había 585 cuestiones registradas en el momento de redactar el presente documento.  Muchas de esas cuestiones ya han quedado cerradas, y aún quedan abiertas unas 40 cuestiones.</w:t>
      </w:r>
    </w:p>
    <w:p w:rsidR="009C45CD" w:rsidRPr="00C236B7" w:rsidRDefault="00116256" w:rsidP="009C45CD">
      <w:pPr>
        <w:pStyle w:val="Heading2"/>
      </w:pPr>
      <w:bookmarkStart w:id="4" w:name="_GoBack"/>
      <w:r w:rsidRPr="00C236B7">
        <w:rPr>
          <w:caps w:val="0"/>
        </w:rPr>
        <w:t>PLAN DE TRABAJO</w:t>
      </w:r>
    </w:p>
    <w:bookmarkEnd w:id="4"/>
    <w:p w:rsidR="009C45CD" w:rsidRPr="00C236B7" w:rsidRDefault="009C45CD" w:rsidP="009C45CD">
      <w:pPr>
        <w:pStyle w:val="ONUME"/>
      </w:pPr>
      <w:r w:rsidRPr="00C236B7">
        <w:t xml:space="preserve">El Equipo Técnico XML4IP </w:t>
      </w:r>
      <w:r>
        <w:t>ha recibido</w:t>
      </w:r>
      <w:r w:rsidRPr="00C236B7">
        <w:t xml:space="preserve"> peticiones de ampliar la Norma ST.96 de la OMPI para satisfacer </w:t>
      </w:r>
      <w:r>
        <w:t xml:space="preserve">otras </w:t>
      </w:r>
      <w:r w:rsidRPr="00C236B7">
        <w:t>necesidades de funcionamiento.  M</w:t>
      </w:r>
      <w:r>
        <w:t>uchas de es</w:t>
      </w:r>
      <w:r w:rsidRPr="00C236B7">
        <w:t xml:space="preserve">as </w:t>
      </w:r>
      <w:r>
        <w:t xml:space="preserve">peticiones </w:t>
      </w:r>
      <w:r w:rsidRPr="00C236B7">
        <w:t xml:space="preserve">ya han sido abordadas, aunque quedan algunas pendientes, que se </w:t>
      </w:r>
      <w:r>
        <w:t>enumeran</w:t>
      </w:r>
      <w:r w:rsidRPr="00C236B7">
        <w:t xml:space="preserve"> a continuación.</w:t>
      </w:r>
    </w:p>
    <w:p w:rsidR="009C45CD" w:rsidRPr="00C236B7" w:rsidRDefault="009C45CD" w:rsidP="009C45CD">
      <w:pPr>
        <w:pStyle w:val="Heading3"/>
      </w:pPr>
      <w:r w:rsidRPr="00C236B7">
        <w:t>Comunes</w:t>
      </w:r>
    </w:p>
    <w:p w:rsidR="009C45CD" w:rsidRPr="00C236B7" w:rsidRDefault="009C45CD" w:rsidP="009C45CD">
      <w:pPr>
        <w:pStyle w:val="ListParagraph"/>
        <w:numPr>
          <w:ilvl w:val="0"/>
          <w:numId w:val="8"/>
        </w:numPr>
        <w:spacing w:after="220"/>
        <w:ind w:left="851" w:hanging="284"/>
        <w:contextualSpacing w:val="0"/>
        <w:rPr>
          <w:szCs w:val="22"/>
          <w:lang w:val="es-ES"/>
        </w:rPr>
      </w:pPr>
      <w:r w:rsidRPr="00C236B7">
        <w:rPr>
          <w:szCs w:val="22"/>
          <w:lang w:val="es-ES"/>
        </w:rPr>
        <w:t>Paquete/Transacción para la presentación electrónica de solicitudes y renovación para el sistema de ventanilla única</w:t>
      </w:r>
    </w:p>
    <w:p w:rsidR="009C45CD" w:rsidRPr="00C236B7" w:rsidRDefault="009C45CD" w:rsidP="009C45CD">
      <w:pPr>
        <w:pStyle w:val="Heading3"/>
      </w:pPr>
      <w:r w:rsidRPr="00C236B7">
        <w:t>Apartado relativo a las patentes</w:t>
      </w:r>
    </w:p>
    <w:p w:rsidR="009C45CD" w:rsidRPr="00C236B7" w:rsidRDefault="009C45CD" w:rsidP="009C45CD">
      <w:pPr>
        <w:pStyle w:val="ListParagraph"/>
        <w:numPr>
          <w:ilvl w:val="0"/>
          <w:numId w:val="8"/>
        </w:numPr>
        <w:spacing w:after="220"/>
        <w:ind w:left="851" w:hanging="284"/>
        <w:contextualSpacing w:val="0"/>
        <w:rPr>
          <w:szCs w:val="22"/>
          <w:lang w:val="es-ES"/>
        </w:rPr>
      </w:pPr>
      <w:r w:rsidRPr="00C236B7">
        <w:rPr>
          <w:szCs w:val="22"/>
          <w:lang w:val="es-ES"/>
        </w:rPr>
        <w:t>Informe de búsqueda/opinión escrita</w:t>
      </w:r>
    </w:p>
    <w:p w:rsidR="009C45CD" w:rsidRPr="00C236B7" w:rsidRDefault="009C45CD" w:rsidP="009C45CD">
      <w:pPr>
        <w:pStyle w:val="ListParagraph"/>
        <w:numPr>
          <w:ilvl w:val="0"/>
          <w:numId w:val="8"/>
        </w:numPr>
        <w:spacing w:after="220"/>
        <w:ind w:left="851" w:hanging="284"/>
        <w:contextualSpacing w:val="0"/>
        <w:rPr>
          <w:szCs w:val="22"/>
          <w:lang w:val="es-ES"/>
        </w:rPr>
      </w:pPr>
      <w:r w:rsidRPr="00C236B7">
        <w:rPr>
          <w:szCs w:val="22"/>
          <w:lang w:val="es-ES"/>
        </w:rPr>
        <w:t>Datos bibliográficos para certificado complementario de protección (CPS)</w:t>
      </w:r>
    </w:p>
    <w:p w:rsidR="009C45CD" w:rsidRPr="00C236B7" w:rsidRDefault="009C45CD" w:rsidP="009C45CD">
      <w:pPr>
        <w:pStyle w:val="ListParagraph"/>
        <w:numPr>
          <w:ilvl w:val="0"/>
          <w:numId w:val="8"/>
        </w:numPr>
        <w:spacing w:after="220"/>
        <w:ind w:left="851" w:hanging="284"/>
        <w:contextualSpacing w:val="0"/>
        <w:rPr>
          <w:szCs w:val="22"/>
          <w:lang w:val="es-ES"/>
        </w:rPr>
      </w:pPr>
      <w:r w:rsidRPr="00C236B7">
        <w:rPr>
          <w:szCs w:val="22"/>
          <w:lang w:val="es-ES"/>
        </w:rPr>
        <w:t>Renovación de patente</w:t>
      </w:r>
    </w:p>
    <w:p w:rsidR="009C45CD" w:rsidRPr="00C236B7" w:rsidRDefault="009C45CD" w:rsidP="009C45CD">
      <w:pPr>
        <w:pStyle w:val="ListParagraph"/>
        <w:numPr>
          <w:ilvl w:val="0"/>
          <w:numId w:val="8"/>
        </w:numPr>
        <w:spacing w:after="220"/>
        <w:ind w:left="851" w:hanging="284"/>
        <w:contextualSpacing w:val="0"/>
        <w:rPr>
          <w:szCs w:val="22"/>
          <w:lang w:val="es-ES"/>
        </w:rPr>
      </w:pPr>
      <w:r w:rsidRPr="00C236B7">
        <w:rPr>
          <w:szCs w:val="22"/>
          <w:lang w:val="es-ES"/>
        </w:rPr>
        <w:t>Documento de prioridad</w:t>
      </w:r>
    </w:p>
    <w:p w:rsidR="009C45CD" w:rsidRPr="00C236B7" w:rsidRDefault="009C45CD" w:rsidP="009C45CD">
      <w:pPr>
        <w:pStyle w:val="ListParagraph"/>
        <w:numPr>
          <w:ilvl w:val="0"/>
          <w:numId w:val="8"/>
        </w:numPr>
        <w:spacing w:after="220"/>
        <w:ind w:left="851" w:hanging="284"/>
        <w:contextualSpacing w:val="0"/>
        <w:rPr>
          <w:szCs w:val="22"/>
          <w:lang w:val="es-ES"/>
        </w:rPr>
      </w:pPr>
      <w:r w:rsidRPr="00C236B7">
        <w:rPr>
          <w:szCs w:val="22"/>
          <w:lang w:val="es-ES"/>
        </w:rPr>
        <w:t>Datos sobre la situación jurídica</w:t>
      </w:r>
    </w:p>
    <w:p w:rsidR="009C45CD" w:rsidRPr="00C236B7" w:rsidRDefault="009C45CD" w:rsidP="009C45CD">
      <w:pPr>
        <w:pStyle w:val="ListParagraph"/>
        <w:numPr>
          <w:ilvl w:val="0"/>
          <w:numId w:val="8"/>
        </w:numPr>
        <w:spacing w:after="220"/>
        <w:ind w:left="851" w:hanging="284"/>
        <w:contextualSpacing w:val="0"/>
        <w:rPr>
          <w:szCs w:val="22"/>
          <w:lang w:val="es-ES"/>
        </w:rPr>
      </w:pPr>
      <w:r w:rsidRPr="00C236B7">
        <w:rPr>
          <w:szCs w:val="22"/>
          <w:lang w:val="es-ES"/>
        </w:rPr>
        <w:t>Formularios PCT</w:t>
      </w:r>
    </w:p>
    <w:p w:rsidR="009C45CD" w:rsidRPr="00C236B7" w:rsidRDefault="009C45CD" w:rsidP="009C45CD">
      <w:pPr>
        <w:pStyle w:val="ListParagraph"/>
        <w:numPr>
          <w:ilvl w:val="0"/>
          <w:numId w:val="8"/>
        </w:numPr>
        <w:spacing w:after="220"/>
        <w:ind w:left="851" w:hanging="284"/>
        <w:contextualSpacing w:val="0"/>
        <w:rPr>
          <w:szCs w:val="22"/>
          <w:lang w:val="es-ES"/>
        </w:rPr>
      </w:pPr>
      <w:r w:rsidRPr="00C236B7">
        <w:rPr>
          <w:szCs w:val="22"/>
          <w:lang w:val="es-ES"/>
        </w:rPr>
        <w:t>Transacción</w:t>
      </w:r>
    </w:p>
    <w:p w:rsidR="009C45CD" w:rsidRPr="00C236B7" w:rsidRDefault="009C45CD" w:rsidP="009C45CD">
      <w:pPr>
        <w:pStyle w:val="ListParagraph"/>
        <w:numPr>
          <w:ilvl w:val="0"/>
          <w:numId w:val="8"/>
        </w:numPr>
        <w:spacing w:after="220"/>
        <w:ind w:left="851" w:hanging="284"/>
        <w:contextualSpacing w:val="0"/>
        <w:rPr>
          <w:szCs w:val="22"/>
          <w:lang w:val="es-ES"/>
        </w:rPr>
      </w:pPr>
      <w:r w:rsidRPr="00C236B7">
        <w:rPr>
          <w:szCs w:val="22"/>
          <w:lang w:val="es-ES"/>
        </w:rPr>
        <w:t>Modificación</w:t>
      </w:r>
    </w:p>
    <w:p w:rsidR="009C45CD" w:rsidRPr="00C236B7" w:rsidRDefault="009C45CD" w:rsidP="009C45CD">
      <w:pPr>
        <w:pStyle w:val="Heading3"/>
      </w:pPr>
      <w:r w:rsidRPr="00C236B7">
        <w:t>Apartado relativo a las marcas</w:t>
      </w:r>
    </w:p>
    <w:p w:rsidR="009C45CD" w:rsidRPr="00C236B7" w:rsidRDefault="009C45CD" w:rsidP="009C45CD">
      <w:pPr>
        <w:pStyle w:val="ListParagraph"/>
        <w:numPr>
          <w:ilvl w:val="0"/>
          <w:numId w:val="8"/>
        </w:numPr>
        <w:spacing w:after="220"/>
        <w:ind w:left="851" w:hanging="284"/>
        <w:contextualSpacing w:val="0"/>
        <w:rPr>
          <w:szCs w:val="22"/>
          <w:lang w:val="es-ES"/>
        </w:rPr>
      </w:pPr>
      <w:r w:rsidRPr="00C236B7">
        <w:rPr>
          <w:szCs w:val="22"/>
          <w:lang w:val="es-ES"/>
        </w:rPr>
        <w:t>Comunicación electrónica del Sistema de Madrid</w:t>
      </w:r>
    </w:p>
    <w:p w:rsidR="009C45CD" w:rsidRPr="00C236B7" w:rsidRDefault="009C45CD" w:rsidP="009C45CD">
      <w:pPr>
        <w:pStyle w:val="Heading3"/>
        <w:rPr>
          <w:shd w:val="clear" w:color="auto" w:fill="FFFFFF"/>
        </w:rPr>
      </w:pPr>
      <w:r w:rsidRPr="00C236B7">
        <w:t>Apartado relativo a los dibujos o modelos</w:t>
      </w:r>
    </w:p>
    <w:p w:rsidR="009C45CD" w:rsidRPr="00C236B7" w:rsidRDefault="009C45CD" w:rsidP="009C45CD">
      <w:pPr>
        <w:pStyle w:val="ListParagraph"/>
        <w:numPr>
          <w:ilvl w:val="0"/>
          <w:numId w:val="8"/>
        </w:numPr>
        <w:spacing w:after="220"/>
        <w:ind w:left="851" w:hanging="284"/>
        <w:contextualSpacing w:val="0"/>
        <w:rPr>
          <w:szCs w:val="22"/>
          <w:lang w:val="es-ES"/>
        </w:rPr>
      </w:pPr>
      <w:r w:rsidRPr="00C236B7">
        <w:rPr>
          <w:szCs w:val="22"/>
          <w:lang w:val="es-ES"/>
        </w:rPr>
        <w:t>Comunicación electrónica del Sistema de La Haya</w:t>
      </w:r>
    </w:p>
    <w:p w:rsidR="009C45CD" w:rsidRPr="00C236B7" w:rsidRDefault="009C45CD" w:rsidP="009C45CD">
      <w:pPr>
        <w:pStyle w:val="ListParagraph"/>
        <w:numPr>
          <w:ilvl w:val="0"/>
          <w:numId w:val="8"/>
        </w:numPr>
        <w:spacing w:after="220"/>
        <w:ind w:left="851" w:hanging="284"/>
        <w:contextualSpacing w:val="0"/>
        <w:rPr>
          <w:szCs w:val="22"/>
          <w:lang w:val="es-ES"/>
        </w:rPr>
      </w:pPr>
      <w:r w:rsidRPr="00C236B7">
        <w:rPr>
          <w:szCs w:val="22"/>
          <w:lang w:val="es-ES"/>
        </w:rPr>
        <w:t>Datos bibliográficos sobre dibujos o modelos</w:t>
      </w:r>
    </w:p>
    <w:p w:rsidR="009C45CD" w:rsidRPr="00C236B7" w:rsidRDefault="009C45CD" w:rsidP="009C45CD">
      <w:pPr>
        <w:pStyle w:val="ONUME"/>
      </w:pPr>
      <w:r w:rsidRPr="00C236B7">
        <w:t>El Equipo Técnico acordó, en principio, incluir los elementos siguientes en la próxima versión del esquema XML de la Norma ST.96.</w:t>
      </w:r>
    </w:p>
    <w:p w:rsidR="009C45CD" w:rsidRPr="00C236B7" w:rsidRDefault="009C45CD" w:rsidP="009C45CD">
      <w:pPr>
        <w:pStyle w:val="ListParagraph"/>
        <w:numPr>
          <w:ilvl w:val="0"/>
          <w:numId w:val="8"/>
        </w:numPr>
        <w:spacing w:after="220"/>
        <w:ind w:left="851" w:hanging="284"/>
        <w:contextualSpacing w:val="0"/>
        <w:rPr>
          <w:szCs w:val="22"/>
          <w:lang w:val="es-ES"/>
        </w:rPr>
      </w:pPr>
      <w:r w:rsidRPr="00C236B7">
        <w:rPr>
          <w:szCs w:val="22"/>
          <w:lang w:val="es-ES"/>
        </w:rPr>
        <w:t>Comunicación electrónica del Sistema de Madrid</w:t>
      </w:r>
    </w:p>
    <w:p w:rsidR="009C45CD" w:rsidRPr="00C236B7" w:rsidRDefault="009C45CD" w:rsidP="009C45CD">
      <w:pPr>
        <w:pStyle w:val="ListParagraph"/>
        <w:numPr>
          <w:ilvl w:val="0"/>
          <w:numId w:val="8"/>
        </w:numPr>
        <w:spacing w:after="220"/>
        <w:ind w:left="851" w:hanging="284"/>
        <w:contextualSpacing w:val="0"/>
        <w:rPr>
          <w:szCs w:val="22"/>
          <w:lang w:val="es-ES"/>
        </w:rPr>
      </w:pPr>
      <w:r w:rsidRPr="00C236B7">
        <w:rPr>
          <w:szCs w:val="22"/>
          <w:lang w:val="es-ES"/>
        </w:rPr>
        <w:t>Comunicación electrónica del Sistema de La Haya</w:t>
      </w:r>
    </w:p>
    <w:p w:rsidR="009C45CD" w:rsidRPr="00C236B7" w:rsidRDefault="009C45CD" w:rsidP="009C45CD">
      <w:pPr>
        <w:pStyle w:val="ListParagraph"/>
        <w:numPr>
          <w:ilvl w:val="0"/>
          <w:numId w:val="8"/>
        </w:numPr>
        <w:spacing w:after="220"/>
        <w:ind w:left="851" w:hanging="284"/>
        <w:contextualSpacing w:val="0"/>
        <w:rPr>
          <w:szCs w:val="22"/>
          <w:lang w:val="es-ES"/>
        </w:rPr>
      </w:pPr>
      <w:r w:rsidRPr="00C236B7">
        <w:rPr>
          <w:szCs w:val="22"/>
          <w:lang w:val="es-ES"/>
        </w:rPr>
        <w:t>Datos bibliográficos para certificado complementario de protección (CPS)</w:t>
      </w:r>
    </w:p>
    <w:p w:rsidR="009C45CD" w:rsidRPr="00C236B7" w:rsidRDefault="009C45CD" w:rsidP="009C45CD">
      <w:pPr>
        <w:pStyle w:val="ListParagraph"/>
        <w:numPr>
          <w:ilvl w:val="0"/>
          <w:numId w:val="8"/>
        </w:numPr>
        <w:spacing w:after="220"/>
        <w:ind w:left="851" w:hanging="284"/>
        <w:contextualSpacing w:val="0"/>
        <w:rPr>
          <w:szCs w:val="22"/>
          <w:lang w:val="es-ES"/>
        </w:rPr>
      </w:pPr>
      <w:r w:rsidRPr="00C236B7">
        <w:rPr>
          <w:szCs w:val="22"/>
          <w:lang w:val="es-ES"/>
        </w:rPr>
        <w:t>Informe de búsqueda/opinión escrita</w:t>
      </w:r>
    </w:p>
    <w:p w:rsidR="009C45CD" w:rsidRPr="00C236B7" w:rsidRDefault="009C45CD" w:rsidP="009C45CD">
      <w:pPr>
        <w:pStyle w:val="ONUME"/>
      </w:pPr>
      <w:r w:rsidRPr="00C236B7">
        <w:lastRenderedPageBreak/>
        <w:t>Con miras a preparar la próxima versión del esquema XML de la Norma ST.96, el Equipo Técnico XML4IP prevé organizar una reunión presencial en 2016.</w:t>
      </w:r>
    </w:p>
    <w:p w:rsidR="009C45CD" w:rsidRPr="00C236B7" w:rsidRDefault="009C45CD" w:rsidP="009C45CD">
      <w:pPr>
        <w:pStyle w:val="ONUME"/>
        <w:numPr>
          <w:ilvl w:val="0"/>
          <w:numId w:val="0"/>
        </w:numPr>
        <w:ind w:left="5533"/>
        <w:rPr>
          <w:i/>
        </w:rPr>
      </w:pPr>
      <w:r w:rsidRPr="00C236B7">
        <w:rPr>
          <w:i/>
        </w:rPr>
        <w:t>14.</w:t>
      </w:r>
      <w:r w:rsidRPr="00C236B7">
        <w:rPr>
          <w:i/>
        </w:rPr>
        <w:tab/>
        <w:t>Se invita al CWS a:</w:t>
      </w:r>
    </w:p>
    <w:p w:rsidR="009C45CD" w:rsidRPr="00C236B7" w:rsidRDefault="009C45CD" w:rsidP="009C45CD">
      <w:pPr>
        <w:pStyle w:val="BodyText"/>
        <w:tabs>
          <w:tab w:val="left" w:pos="6160"/>
          <w:tab w:val="left" w:pos="6710"/>
        </w:tabs>
        <w:ind w:left="5533"/>
        <w:rPr>
          <w:i/>
        </w:rPr>
      </w:pPr>
      <w:r w:rsidRPr="00C236B7">
        <w:rPr>
          <w:i/>
        </w:rPr>
        <w:tab/>
        <w:t>a)</w:t>
      </w:r>
      <w:r w:rsidRPr="00C236B7">
        <w:rPr>
          <w:i/>
        </w:rPr>
        <w:tab/>
        <w:t>tomar nota de los resultados de la labor del Equipo Técnico XML4IP y del informe del responsable de dicho Equipo, según se expone en el presente documento;  y</w:t>
      </w:r>
    </w:p>
    <w:p w:rsidR="009C45CD" w:rsidRPr="00C236B7" w:rsidRDefault="009C45CD" w:rsidP="009C45CD">
      <w:pPr>
        <w:pStyle w:val="BodyText"/>
        <w:tabs>
          <w:tab w:val="left" w:pos="6160"/>
          <w:tab w:val="left" w:pos="6710"/>
        </w:tabs>
        <w:ind w:left="5533"/>
        <w:rPr>
          <w:i/>
        </w:rPr>
      </w:pPr>
      <w:r w:rsidRPr="00C236B7">
        <w:rPr>
          <w:i/>
        </w:rPr>
        <w:tab/>
        <w:t>b)</w:t>
      </w:r>
      <w:r w:rsidRPr="00C236B7">
        <w:rPr>
          <w:i/>
        </w:rPr>
        <w:tab/>
        <w:t>tomar nota del plan de trabajo del Equipo Técnico XML4IP, mencionado en los párrafos 11 y 13 del presente documento.</w:t>
      </w:r>
    </w:p>
    <w:p w:rsidR="009C45CD" w:rsidRPr="00C236B7" w:rsidRDefault="009C45CD" w:rsidP="009C45CD">
      <w:pPr>
        <w:pStyle w:val="DecisionInvitingPara"/>
        <w:spacing w:line="360" w:lineRule="auto"/>
        <w:rPr>
          <w:sz w:val="22"/>
          <w:szCs w:val="22"/>
          <w:lang w:val="es-ES"/>
        </w:rPr>
      </w:pPr>
    </w:p>
    <w:p w:rsidR="009C45CD" w:rsidRPr="00433A46" w:rsidRDefault="009C45CD" w:rsidP="009C45CD">
      <w:pPr>
        <w:pStyle w:val="Endofdocument-Annex"/>
        <w:rPr>
          <w:caps/>
          <w:szCs w:val="22"/>
          <w:lang w:val="es-ES"/>
        </w:rPr>
      </w:pPr>
      <w:r w:rsidRPr="00433A46">
        <w:rPr>
          <w:caps/>
          <w:szCs w:val="22"/>
          <w:lang w:val="es-ES"/>
        </w:rPr>
        <w:t>[</w:t>
      </w:r>
      <w:r w:rsidRPr="00433A46">
        <w:rPr>
          <w:szCs w:val="22"/>
          <w:lang w:val="es-ES"/>
        </w:rPr>
        <w:t>Fin del documento</w:t>
      </w:r>
      <w:r w:rsidRPr="00433A46">
        <w:rPr>
          <w:caps/>
          <w:szCs w:val="22"/>
          <w:lang w:val="es-ES"/>
        </w:rPr>
        <w:t>]</w:t>
      </w:r>
    </w:p>
    <w:p w:rsidR="009C45CD" w:rsidRPr="00C236B7" w:rsidRDefault="009C45CD" w:rsidP="009C45CD">
      <w:pPr>
        <w:pStyle w:val="Endofdocument-Annex"/>
        <w:rPr>
          <w:caps/>
          <w:sz w:val="24"/>
          <w:lang w:val="es-ES"/>
        </w:rPr>
      </w:pPr>
    </w:p>
    <w:p w:rsidR="00152CEA" w:rsidRDefault="00152CEA" w:rsidP="009C45CD"/>
    <w:sectPr w:rsidR="00152CEA" w:rsidSect="009C45CD">
      <w:headerReference w:type="default" r:id="rId11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5CD" w:rsidRDefault="009C45CD">
      <w:r>
        <w:separator/>
      </w:r>
    </w:p>
  </w:endnote>
  <w:endnote w:type="continuationSeparator" w:id="0">
    <w:p w:rsidR="009C45CD" w:rsidRPr="009D30E6" w:rsidRDefault="009C45C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C45CD" w:rsidRPr="007E663E" w:rsidRDefault="009C45C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9C45CD" w:rsidRPr="007E663E" w:rsidRDefault="009C45CD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5CD" w:rsidRDefault="009C45CD">
      <w:r>
        <w:separator/>
      </w:r>
    </w:p>
  </w:footnote>
  <w:footnote w:type="continuationSeparator" w:id="0">
    <w:p w:rsidR="009C45CD" w:rsidRPr="009D30E6" w:rsidRDefault="009C45C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C45CD" w:rsidRPr="007E663E" w:rsidRDefault="009C45C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9C45CD" w:rsidRPr="007E663E" w:rsidRDefault="009C45CD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9C45CD" w:rsidP="00477D6B">
    <w:pPr>
      <w:jc w:val="right"/>
    </w:pPr>
    <w:bookmarkStart w:id="5" w:name="Code2"/>
    <w:bookmarkEnd w:id="5"/>
    <w:r>
      <w:t>CWS/4BIS/4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116256">
      <w:rPr>
        <w:noProof/>
      </w:rPr>
      <w:t>3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88C22E3"/>
    <w:multiLevelType w:val="hybridMultilevel"/>
    <w:tmpl w:val="4176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CE49D9"/>
    <w:multiLevelType w:val="hybridMultilevel"/>
    <w:tmpl w:val="8E2C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CD"/>
    <w:rsid w:val="00010686"/>
    <w:rsid w:val="00052915"/>
    <w:rsid w:val="000E3BB3"/>
    <w:rsid w:val="000F5E56"/>
    <w:rsid w:val="00116256"/>
    <w:rsid w:val="001362EE"/>
    <w:rsid w:val="00152CEA"/>
    <w:rsid w:val="001832A6"/>
    <w:rsid w:val="002634C4"/>
    <w:rsid w:val="002E0F47"/>
    <w:rsid w:val="002F4E68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14B"/>
    <w:rsid w:val="004647DA"/>
    <w:rsid w:val="0046793F"/>
    <w:rsid w:val="00477808"/>
    <w:rsid w:val="00477D6B"/>
    <w:rsid w:val="004A28D5"/>
    <w:rsid w:val="004A6C37"/>
    <w:rsid w:val="004E297D"/>
    <w:rsid w:val="00531B02"/>
    <w:rsid w:val="005332F0"/>
    <w:rsid w:val="0055013B"/>
    <w:rsid w:val="00571B99"/>
    <w:rsid w:val="00605827"/>
    <w:rsid w:val="00675021"/>
    <w:rsid w:val="006A06C6"/>
    <w:rsid w:val="0071263A"/>
    <w:rsid w:val="007224C8"/>
    <w:rsid w:val="00794BE2"/>
    <w:rsid w:val="007B71FE"/>
    <w:rsid w:val="007C1BEA"/>
    <w:rsid w:val="007D781E"/>
    <w:rsid w:val="007E663E"/>
    <w:rsid w:val="00815082"/>
    <w:rsid w:val="0088395E"/>
    <w:rsid w:val="008B2CC1"/>
    <w:rsid w:val="008E6BD6"/>
    <w:rsid w:val="0090731E"/>
    <w:rsid w:val="00966A22"/>
    <w:rsid w:val="00972F03"/>
    <w:rsid w:val="009A0C8B"/>
    <w:rsid w:val="009B6241"/>
    <w:rsid w:val="009C45CD"/>
    <w:rsid w:val="009E4968"/>
    <w:rsid w:val="00A16FC0"/>
    <w:rsid w:val="00A32C9E"/>
    <w:rsid w:val="00AB613D"/>
    <w:rsid w:val="00AE7F20"/>
    <w:rsid w:val="00B65A0A"/>
    <w:rsid w:val="00B67CDC"/>
    <w:rsid w:val="00B72D36"/>
    <w:rsid w:val="00BC4164"/>
    <w:rsid w:val="00BD2DCC"/>
    <w:rsid w:val="00C90559"/>
    <w:rsid w:val="00CA2251"/>
    <w:rsid w:val="00D56C7C"/>
    <w:rsid w:val="00D71B4D"/>
    <w:rsid w:val="00D7355D"/>
    <w:rsid w:val="00D90289"/>
    <w:rsid w:val="00D93D55"/>
    <w:rsid w:val="00DC4C60"/>
    <w:rsid w:val="00E0079A"/>
    <w:rsid w:val="00E444DA"/>
    <w:rsid w:val="00E45C84"/>
    <w:rsid w:val="00E504E5"/>
    <w:rsid w:val="00EB7A3E"/>
    <w:rsid w:val="00EC401A"/>
    <w:rsid w:val="00EF530A"/>
    <w:rsid w:val="00EF6622"/>
    <w:rsid w:val="00F4148D"/>
    <w:rsid w:val="00F55408"/>
    <w:rsid w:val="00F66152"/>
    <w:rsid w:val="00F80845"/>
    <w:rsid w:val="00F84474"/>
    <w:rsid w:val="00FA0F0D"/>
    <w:rsid w:val="00FB24B6"/>
    <w:rsid w:val="00FD59D1"/>
    <w:rsid w:val="00FF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9C45CD"/>
    <w:pPr>
      <w:ind w:left="720"/>
      <w:contextualSpacing/>
    </w:pPr>
    <w:rPr>
      <w:lang w:val="en-US"/>
    </w:rPr>
  </w:style>
  <w:style w:type="character" w:customStyle="1" w:styleId="ONUMEChar">
    <w:name w:val="ONUM E Char"/>
    <w:basedOn w:val="DefaultParagraphFont"/>
    <w:link w:val="ONUME"/>
    <w:rsid w:val="009C45CD"/>
    <w:rPr>
      <w:rFonts w:ascii="Arial" w:eastAsia="SimSun" w:hAnsi="Arial" w:cs="Arial"/>
      <w:sz w:val="22"/>
      <w:lang w:val="es-ES" w:eastAsia="zh-CN"/>
    </w:rPr>
  </w:style>
  <w:style w:type="character" w:customStyle="1" w:styleId="BodyTextChar">
    <w:name w:val="Body Text Char"/>
    <w:basedOn w:val="DefaultParagraphFont"/>
    <w:link w:val="BodyText"/>
    <w:rsid w:val="009C45CD"/>
    <w:rPr>
      <w:rFonts w:ascii="Arial" w:eastAsia="SimSun" w:hAnsi="Arial" w:cs="Arial"/>
      <w:sz w:val="22"/>
      <w:lang w:val="es-ES" w:eastAsia="zh-CN"/>
    </w:rPr>
  </w:style>
  <w:style w:type="paragraph" w:customStyle="1" w:styleId="DecisionInvitingPara">
    <w:name w:val="Decision Inviting Para."/>
    <w:basedOn w:val="Normal"/>
    <w:rsid w:val="009C45CD"/>
    <w:pPr>
      <w:spacing w:line="260" w:lineRule="atLeast"/>
      <w:ind w:left="6096" w:hanging="562"/>
    </w:pPr>
    <w:rPr>
      <w:rFonts w:eastAsia="Batang" w:cs="Times New Roman"/>
      <w:i/>
      <w:sz w:val="20"/>
      <w:lang w:val="en-US" w:eastAsia="en-US"/>
    </w:rPr>
  </w:style>
  <w:style w:type="character" w:styleId="Hyperlink">
    <w:name w:val="Hyperlink"/>
    <w:basedOn w:val="DefaultParagraphFont"/>
    <w:rsid w:val="009C45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46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414B"/>
    <w:rPr>
      <w:rFonts w:ascii="Tahoma" w:eastAsia="SimSun" w:hAnsi="Tahoma" w:cs="Tahoma"/>
      <w:sz w:val="16"/>
      <w:szCs w:val="16"/>
      <w:lang w:val="es-ES" w:eastAsia="zh-CN"/>
    </w:rPr>
  </w:style>
  <w:style w:type="character" w:styleId="FollowedHyperlink">
    <w:name w:val="FollowedHyperlink"/>
    <w:basedOn w:val="DefaultParagraphFont"/>
    <w:rsid w:val="007C1B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9C45CD"/>
    <w:pPr>
      <w:ind w:left="720"/>
      <w:contextualSpacing/>
    </w:pPr>
    <w:rPr>
      <w:lang w:val="en-US"/>
    </w:rPr>
  </w:style>
  <w:style w:type="character" w:customStyle="1" w:styleId="ONUMEChar">
    <w:name w:val="ONUM E Char"/>
    <w:basedOn w:val="DefaultParagraphFont"/>
    <w:link w:val="ONUME"/>
    <w:rsid w:val="009C45CD"/>
    <w:rPr>
      <w:rFonts w:ascii="Arial" w:eastAsia="SimSun" w:hAnsi="Arial" w:cs="Arial"/>
      <w:sz w:val="22"/>
      <w:lang w:val="es-ES" w:eastAsia="zh-CN"/>
    </w:rPr>
  </w:style>
  <w:style w:type="character" w:customStyle="1" w:styleId="BodyTextChar">
    <w:name w:val="Body Text Char"/>
    <w:basedOn w:val="DefaultParagraphFont"/>
    <w:link w:val="BodyText"/>
    <w:rsid w:val="009C45CD"/>
    <w:rPr>
      <w:rFonts w:ascii="Arial" w:eastAsia="SimSun" w:hAnsi="Arial" w:cs="Arial"/>
      <w:sz w:val="22"/>
      <w:lang w:val="es-ES" w:eastAsia="zh-CN"/>
    </w:rPr>
  </w:style>
  <w:style w:type="paragraph" w:customStyle="1" w:styleId="DecisionInvitingPara">
    <w:name w:val="Decision Inviting Para."/>
    <w:basedOn w:val="Normal"/>
    <w:rsid w:val="009C45CD"/>
    <w:pPr>
      <w:spacing w:line="260" w:lineRule="atLeast"/>
      <w:ind w:left="6096" w:hanging="562"/>
    </w:pPr>
    <w:rPr>
      <w:rFonts w:eastAsia="Batang" w:cs="Times New Roman"/>
      <w:i/>
      <w:sz w:val="20"/>
      <w:lang w:val="en-US" w:eastAsia="en-US"/>
    </w:rPr>
  </w:style>
  <w:style w:type="character" w:styleId="Hyperlink">
    <w:name w:val="Hyperlink"/>
    <w:basedOn w:val="DefaultParagraphFont"/>
    <w:rsid w:val="009C45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46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414B"/>
    <w:rPr>
      <w:rFonts w:ascii="Tahoma" w:eastAsia="SimSun" w:hAnsi="Tahoma" w:cs="Tahoma"/>
      <w:sz w:val="16"/>
      <w:szCs w:val="16"/>
      <w:lang w:val="es-ES" w:eastAsia="zh-CN"/>
    </w:rPr>
  </w:style>
  <w:style w:type="character" w:styleId="FollowedHyperlink">
    <w:name w:val="FollowedHyperlink"/>
    <w:basedOn w:val="DefaultParagraphFont"/>
    <w:rsid w:val="007C1B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ipo.int/standards/es/part_03_standard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standards/es/st96/v2-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BIS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4BIS (S)</Template>
  <TotalTime>8</TotalTime>
  <Pages>4</Pages>
  <Words>1043</Words>
  <Characters>5678</Characters>
  <Application>Microsoft Office Word</Application>
  <DocSecurity>0</DocSecurity>
  <Lines>145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CWS/4BIS/4 (en español)</vt:lpstr>
    </vt:vector>
  </TitlesOfParts>
  <Company>WIPO</Company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CWS/4BIS/4 (en español)</dc:title>
  <dc:subject>INFORME DE SITUACIÓN SOBRE LA PREPARACIÓN DE LOS ANEXOS V Y VI, Y LA REVISIÓN DE LA NORMA ST.96 DE LA OMPI</dc:subject>
  <dc:creator>OMPI/WIPO</dc:creator>
  <cp:keywords>CWS</cp:keywords>
  <cp:lastModifiedBy>RODRIGUEZ Geraldine</cp:lastModifiedBy>
  <cp:revision>5</cp:revision>
  <dcterms:created xsi:type="dcterms:W3CDTF">2016-02-24T13:55:00Z</dcterms:created>
  <dcterms:modified xsi:type="dcterms:W3CDTF">2016-02-26T16:26:00Z</dcterms:modified>
</cp:coreProperties>
</file>